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4"/>
          <w:szCs w:val="24"/>
          <w:color w:val="auto"/>
        </w:rPr>
      </w:pPr>
    </w:p>
    <w:p>
      <w:pPr>
        <w:ind w:left="4200"/>
        <w:spacing w:after="0"/>
        <w:rPr>
          <w:sz w:val="20"/>
          <w:szCs w:val="20"/>
          <w:color w:val="auto"/>
        </w:rPr>
      </w:pPr>
      <w:r>
        <w:rPr>
          <w:rFonts w:ascii="Courier New" w:cs="Courier New" w:eastAsia="Courier New" w:hAnsi="Courier New"/>
          <w:sz w:val="15"/>
          <w:szCs w:val="15"/>
          <w:color w:val="auto"/>
        </w:rPr>
        <w:t>Filed Pursuant to Rule 424(b)(1)</w:t>
      </w:r>
    </w:p>
    <w:p>
      <w:pPr>
        <w:spacing w:after="0" w:line="2" w:lineRule="exact"/>
        <w:rPr>
          <w:sz w:val="24"/>
          <w:szCs w:val="24"/>
          <w:color w:val="auto"/>
        </w:rPr>
      </w:pPr>
    </w:p>
    <w:p>
      <w:pPr>
        <w:ind w:left="4200"/>
        <w:spacing w:after="0"/>
        <w:rPr>
          <w:sz w:val="20"/>
          <w:szCs w:val="20"/>
          <w:color w:val="auto"/>
        </w:rPr>
      </w:pPr>
      <w:r>
        <w:rPr>
          <w:rFonts w:ascii="Courier New" w:cs="Courier New" w:eastAsia="Courier New" w:hAnsi="Courier New"/>
          <w:sz w:val="15"/>
          <w:szCs w:val="15"/>
          <w:color w:val="auto"/>
        </w:rPr>
        <w:t>Registration no. 333-86609</w:t>
      </w:r>
    </w:p>
    <w:p>
      <w:pPr>
        <w:spacing w:after="0" w:line="174"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18,000,000 Shares</w:t>
      </w:r>
    </w:p>
    <w:p>
      <w:pPr>
        <w:spacing w:after="0" w:line="174"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Ordinary Shares</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All of the ordinary shares in the offering are being sold by the selling shareholder identified in this prospectus. Amdocs will not receive any of the proceeds from the sale of the ordinary shares.</w:t>
      </w:r>
    </w:p>
    <w:p>
      <w:pPr>
        <w:spacing w:after="0" w:line="176" w:lineRule="exact"/>
        <w:rPr>
          <w:sz w:val="24"/>
          <w:szCs w:val="24"/>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ordinary shares are listed on the New York Stock Exchange under the symbol "DOX." The last reported sale price of the ordinary shares on October 6, 1999 was $24.44 per share.</w:t>
      </w:r>
    </w:p>
    <w:p>
      <w:pPr>
        <w:spacing w:after="0" w:line="176" w:lineRule="exact"/>
        <w:rPr>
          <w:sz w:val="24"/>
          <w:szCs w:val="24"/>
          <w:color w:val="auto"/>
        </w:rPr>
      </w:pPr>
    </w:p>
    <w:p>
      <w:pPr>
        <w:ind w:right="3519" w:firstLine="447"/>
        <w:spacing w:after="0"/>
        <w:rPr>
          <w:sz w:val="20"/>
          <w:szCs w:val="20"/>
          <w:color w:val="auto"/>
        </w:rPr>
      </w:pPr>
      <w:r>
        <w:rPr>
          <w:rFonts w:ascii="Courier New" w:cs="Courier New" w:eastAsia="Courier New" w:hAnsi="Courier New"/>
          <w:sz w:val="15"/>
          <w:szCs w:val="15"/>
          <w:color w:val="auto"/>
        </w:rPr>
        <w:t>See "Risk Factors" on page 9 to read about factors you should consider before buying the ordinary shares.</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Per Share</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54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Initial price to public.....................................</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24.25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$436,500,000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Underwriting discount.......................................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0.91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$ 16,380,000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before expenses, to the selling shareholder.......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23.34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$420,120,000</w:t>
            </w:r>
          </w:p>
        </w:tc>
      </w:tr>
    </w:tbl>
    <w:p>
      <w:pPr>
        <w:spacing w:after="0" w:line="348" w:lineRule="exact"/>
        <w:rPr>
          <w:sz w:val="24"/>
          <w:szCs w:val="24"/>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the request of the selling shareholder, the underwriters will reserve at the initial public offering price up to 1.0 million ordinary shares for sale to certain purchasers. See "Underwriting" on page U-1. If these purchasers purchase the shares reserved for them, the underwriting discount will be reduced and the proceeds to the selling shareholder will increase by an amount equal to $0.55 per share with respect to the shares purchased by these purchasers, or an aggregate of $550,000.</w:t>
      </w:r>
    </w:p>
    <w:p>
      <w:pPr>
        <w:spacing w:after="0" w:line="177" w:lineRule="exact"/>
        <w:rPr>
          <w:sz w:val="24"/>
          <w:szCs w:val="24"/>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To the extent that the underwriters sell more than 18,000,000 ordinary shares, the underwriters have the option to purchase up to an additional 2,700,000 shares from the selling shareholder at the initial price to public less the underwriting discount.</w:t>
      </w:r>
    </w:p>
    <w:p>
      <w:pPr>
        <w:spacing w:after="0" w:line="1"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ind w:right="3159" w:firstLine="447"/>
        <w:spacing w:after="0"/>
        <w:rPr>
          <w:sz w:val="20"/>
          <w:szCs w:val="20"/>
          <w:color w:val="auto"/>
        </w:rPr>
      </w:pPr>
      <w:r>
        <w:rPr>
          <w:rFonts w:ascii="Courier New" w:cs="Courier New" w:eastAsia="Courier New" w:hAnsi="Courier New"/>
          <w:sz w:val="15"/>
          <w:szCs w:val="15"/>
          <w:color w:val="auto"/>
        </w:rPr>
        <w:t>The underwriters expect to deliver the shares against payment in New York, New York on October 13, 1999.</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DEUTSCHE BANC ALEX. BROWN</w:t>
      </w:r>
    </w:p>
    <w:p>
      <w:pPr>
        <w:spacing w:after="0" w:line="2" w:lineRule="exact"/>
        <w:rPr>
          <w:sz w:val="24"/>
          <w:szCs w:val="24"/>
          <w:color w:val="auto"/>
        </w:rPr>
      </w:pPr>
    </w:p>
    <w:p>
      <w:pPr>
        <w:ind w:left="3660"/>
        <w:spacing w:after="0"/>
        <w:rPr>
          <w:sz w:val="20"/>
          <w:szCs w:val="20"/>
          <w:color w:val="auto"/>
        </w:rPr>
      </w:pPr>
      <w:r>
        <w:rPr>
          <w:rFonts w:ascii="Courier New" w:cs="Courier New" w:eastAsia="Courier New" w:hAnsi="Courier New"/>
          <w:sz w:val="15"/>
          <w:szCs w:val="15"/>
          <w:color w:val="auto"/>
        </w:rPr>
        <w:t>LEHMAN BROTHERS</w:t>
      </w:r>
    </w:p>
    <w:p>
      <w:pPr>
        <w:spacing w:after="0" w:line="2" w:lineRule="exact"/>
        <w:rPr>
          <w:sz w:val="24"/>
          <w:szCs w:val="24"/>
          <w:color w:val="auto"/>
        </w:rPr>
      </w:pPr>
    </w:p>
    <w:p>
      <w:pPr>
        <w:ind w:left="4460"/>
        <w:spacing w:after="0"/>
        <w:rPr>
          <w:sz w:val="20"/>
          <w:szCs w:val="20"/>
          <w:color w:val="auto"/>
        </w:rPr>
      </w:pPr>
      <w:r>
        <w:rPr>
          <w:rFonts w:ascii="Courier New" w:cs="Courier New" w:eastAsia="Courier New" w:hAnsi="Courier New"/>
          <w:sz w:val="15"/>
          <w:szCs w:val="15"/>
          <w:color w:val="auto"/>
        </w:rPr>
        <w:t>PRUDENTIAL SECURITIES</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Prospectus dated October 6, 1999.</w:t>
      </w:r>
    </w:p>
    <w:p>
      <w:pPr>
        <w:sectPr>
          <w:pgSz w:w="11900" w:h="16838" w:orient="portrait"/>
          <w:cols w:equalWidth="0" w:num="1">
            <w:col w:w="10219"/>
          </w:cols>
          <w:pgMar w:left="240" w:top="231"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inside front cover pages contain the following:</w:t>
      </w:r>
    </w:p>
    <w:p>
      <w:pPr>
        <w:spacing w:after="0" w:line="176" w:lineRule="exact"/>
        <w:rPr>
          <w:sz w:val="20"/>
          <w:szCs w:val="20"/>
          <w:color w:val="auto"/>
        </w:rPr>
      </w:pPr>
    </w:p>
    <w:p>
      <w:pPr>
        <w:ind w:left="360" w:right="3339" w:hanging="181"/>
        <w:spacing w:after="0" w:line="241" w:lineRule="auto"/>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pictures of telecommunications users superimposed upon a globe of the Earth. Text: Business Support Systems Solutions for the Telecommunications Industry.</w:t>
      </w:r>
    </w:p>
    <w:p>
      <w:pPr>
        <w:spacing w:after="0" w:line="176" w:lineRule="exact"/>
        <w:rPr>
          <w:rFonts w:ascii="Courier New" w:cs="Courier New" w:eastAsia="Courier New" w:hAnsi="Courier New"/>
          <w:sz w:val="15"/>
          <w:szCs w:val="15"/>
          <w:color w:val="auto"/>
        </w:rPr>
      </w:pPr>
    </w:p>
    <w:p>
      <w:pPr>
        <w:ind w:left="360" w:right="3079" w:hanging="181"/>
        <w:spacing w:after="0" w:line="242" w:lineRule="auto"/>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a graphical representation of the different components that comprise Amdocs' customer care and billing platform. Text: Customer Care and Billing Platform. Comprehensive Customer Care and Billing Platform supporting wireline, wireless and multi-service convergence telecom carriers.</w:t>
      </w:r>
    </w:p>
    <w:p>
      <w:pPr>
        <w:sectPr>
          <w:pgSz w:w="11900" w:h="16838" w:orient="portrait"/>
          <w:cols w:equalWidth="0" w:num="1">
            <w:col w:w="9959"/>
          </w:cols>
          <w:pgMar w:left="50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incorporated under the laws of the Island of Guernsey ("Guernsey"). Several of our directors and officers named herein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180" w:lineRule="exact"/>
        <w:rPr>
          <w:sz w:val="20"/>
          <w:szCs w:val="20"/>
          <w:color w:val="auto"/>
        </w:rPr>
      </w:pPr>
    </w:p>
    <w:p>
      <w:pPr>
        <w:ind w:left="620" w:right="3079" w:hanging="181"/>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176"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176" w:lineRule="exact"/>
        <w:rPr>
          <w:rFonts w:ascii="Courier New" w:cs="Courier New" w:eastAsia="Courier New" w:hAnsi="Courier New"/>
          <w:sz w:val="15"/>
          <w:szCs w:val="15"/>
          <w:color w:val="auto"/>
        </w:rPr>
      </w:pPr>
    </w:p>
    <w:p>
      <w:pPr>
        <w:jc w:val="both"/>
        <w:ind w:left="620" w:right="3259" w:hanging="181"/>
        <w:spacing w:after="0" w:line="241"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You should read the following summary together with the more detailed information regarding our company and the ordinary shares being sold in this offering and our financial statements and notes to those financial statements appearing elsewhere in this prospectus. Unless otherwise indicated, all information in this prospectus assumes the underwriters' option to purchase additional shares in the offering will not be exercised. See "Description of Share Capital" and "Underwriting". References in this prospectus to "Amdocs," "we," "our," "us" and the "Company" refer to Amdocs Limited and its consolidated subsidiaries and their respective predecessors. References to "dollars" or $ are to United States dollars.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Unless otherwise stated, all references in this prospectus to ordinary shares are to both voting and nonvoting ordinary shares, all references to percentage ownership of our ordinary shares exclude the effect of the ordinary shares being offered by this prospectus and all references to ordinary voting and nonvoting share ownership, as expressed in percentages, are as of October 6, 1999.</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AMDOCS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around the world. Our Business Support Systems consist of families of products designed to meet the mission-critical needs of specific market sectors. We provide integrated, comprehensive customer care and billing systems for wireline and wireless network operators and service providers. We also provide customer care and billing systems to companies that offer multiple service packages, commonly referred to as convergent services, such as local, long distance, international, data, Internet, Voice Over Internet Protocol, cellular, personal communications services and paging. In addition, we provide a full-range of directory sales and publishing systems to publishers of both traditional printed yellow page and white page directories and Internet directories.</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major foreign network operators and service providers such as Deutsche Telekom (Germany), Vodafone Group (United Kingdom), Mannesmann (Germany) and Telstra (Australia) and emerging market leaders.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total solutions orientation, product functionality and quality personnel permit us to offer effective solutions to our customers that are both highly innovative and reliable. Our software products are based on an advanced multi-tier client-server architecture that provides the flexibility and scalability needed by major companies in the highly competitive and rapidly growing telecommunications industry. We have developed an extensive library of Business Support System software products, providing comprehensive support for the various types of telecommunications operations. Core elements include customer care, order management, call rating, invoice calculation, bill formatting, collections, fraud management and directory publishing. Our products have also been configured to support the growing trend for communications companies to provide convergent wireline and wireless services. We also offer our customers a range of support services to provide a complete systems solution. These services include software customization to address each customer's specific requirements, as well as implementation support, system integration, maintenance, ongoing support and outsourcing services.</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telecommunications industry is undergoing rapid and fundamental changes due to the increased demand for telecommunications services, deregulation, privatization and technological advancements. These changes are creating opportunities for new entrants to provide both traditional and new types of services, including Internet, Voice over Internet Protocol telephony, Internet directories, data and convergent services. In this environment, telecommunications service providers increasingly need to compete for customers by providing service and product offerings that are differentiated by factors such as service quality, advanced features, rapid implementation of new services, technological innovation and price.</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a result of these developments, many telecommunications companies are seeking a new generation of information systems to support their operations and to be more competitive. In addition, many new and existing service providers do not have the financial or human resources or technological capability to internally develop efficient, flexible, cost-effective information systems on a timely basis. Moreover, as many telecommunications companies strive to become more consumer oriented, they are concentrating their efforts and resources on marketing to consumers and expanding their service offerings and many are turning to third party vendors for their information systems. All of these factors create significant opportunities for us to provide information system solutions.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right="3339" w:firstLine="439"/>
        <w:spacing w:after="0" w:line="274" w:lineRule="auto"/>
        <w:tabs>
          <w:tab w:leader="none" w:pos="62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our Business Support System products and related services, including license fees and customization and implementation services, and</w:t>
      </w:r>
    </w:p>
    <w:p>
      <w:pPr>
        <w:spacing w:after="0" w:line="153" w:lineRule="exact"/>
        <w:rPr>
          <w:rFonts w:ascii="Courier New" w:cs="Courier New" w:eastAsia="Courier New" w:hAnsi="Courier New"/>
          <w:sz w:val="14"/>
          <w:szCs w:val="14"/>
          <w:color w:val="auto"/>
        </w:rPr>
      </w:pPr>
    </w:p>
    <w:p>
      <w:pPr>
        <w:ind w:right="3259" w:firstLine="439"/>
        <w:spacing w:after="0" w:line="267" w:lineRule="auto"/>
        <w:tabs>
          <w:tab w:leader="none" w:pos="62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maintenance, support, outsourcing and related services provided to our customers and to a lesser degree, from incremental license fees resulting from increases in a customer's subscribers.</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Customer care and billing systems and related services accounted for $325.4 million or 73.3% of our revenue for the nine months ended June 30, 1999 and $251.8 million or 62.4% of our revenue for the year ended September 30, 1998. Directory sales and publishing systems and related services and other activities accounted for $118.8 million or 26.7% of our revenue for the nine months ended June 30, 1999 and $151.9 million or 37.6% of our revenue for the year ended September 30, 1998.</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As of July 31, 1999, we had approximately 4,900 full-time equivalent employees, of which approximately 4,300 were software and information technology specialists engaged in research, development, maintenance and support activities. Our Israeli subsidiary employs over 2,900 software and information technology specialists and operates our largest development facility. In the United States, our main sales and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16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RECENT DEVELOPMENTS</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On September 3, 1999, we signed an agreement to acquire International Telecommunication Data Systems, Inc., or ITDS, in a stock-for-stock merger transaction having an estimated total purchase price of approximately $181.5 million (excluding the fair value of vested stock options and estimated transaction costs). ITDS is a leading provider of billing and customer care service bureau solutions to wireless telecommunication service providers. ITDS' revenue and net loss for its fiscal year ended December 31, 1998 were $115.5 million and $3.9 million, respectively. For the six months ended June 30, 1999, ITDS' revenue and net income were $68.6 million and $8.7 million, respectively.</w:t>
      </w:r>
    </w:p>
    <w:p>
      <w:pPr>
        <w:spacing w:after="0" w:line="16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3048"/>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27"/>
          </w:cols>
          <w:pgMar w:left="232" w:top="289" w:right="1440" w:bottom="1440" w:gutter="0" w:footer="0" w:header="0"/>
        </w:sectPr>
      </w:pPr>
    </w:p>
    <w:p>
      <w:pPr>
        <w:spacing w:after="0" w:line="185" w:lineRule="exact"/>
        <w:rPr>
          <w:sz w:val="20"/>
          <w:szCs w:val="20"/>
          <w:color w:val="auto"/>
        </w:rPr>
      </w:pPr>
    </w:p>
    <w:p>
      <w:pPr>
        <w:ind w:left="8"/>
        <w:spacing w:after="0" w:line="274" w:lineRule="auto"/>
        <w:rPr>
          <w:sz w:val="20"/>
          <w:szCs w:val="20"/>
          <w:color w:val="auto"/>
        </w:rPr>
      </w:pPr>
      <w:r>
        <w:rPr>
          <w:rFonts w:ascii="Courier New" w:cs="Courier New" w:eastAsia="Courier New" w:hAnsi="Courier New"/>
          <w:sz w:val="14"/>
          <w:szCs w:val="14"/>
          <w:color w:val="auto"/>
        </w:rPr>
        <w:t>Shares offered by the selling shareholder........</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18,000,000 shares</w:t>
      </w:r>
    </w:p>
    <w:p>
      <w:pPr>
        <w:spacing w:after="0" w:line="185" w:lineRule="exact"/>
        <w:rPr>
          <w:sz w:val="20"/>
          <w:szCs w:val="20"/>
          <w:color w:val="auto"/>
        </w:rPr>
      </w:pPr>
    </w:p>
    <w:p>
      <w:pPr>
        <w:sectPr>
          <w:pgSz w:w="11900" w:h="16838" w:orient="portrait"/>
          <w:cols w:equalWidth="0" w:num="2">
            <w:col w:w="2408" w:space="180"/>
            <w:col w:w="7639"/>
          </w:cols>
          <w:pgMar w:left="232" w:top="289" w:right="1440" w:bottom="1440" w:gutter="0" w:footer="0" w:header="0"/>
          <w:type w:val="continuous"/>
        </w:sectPr>
      </w:pPr>
    </w:p>
    <w:p>
      <w:pPr>
        <w:ind w:left="8"/>
        <w:spacing w:after="0" w:line="274" w:lineRule="auto"/>
        <w:rPr>
          <w:sz w:val="20"/>
          <w:szCs w:val="20"/>
          <w:color w:val="auto"/>
        </w:rPr>
      </w:pPr>
      <w:r>
        <w:rPr>
          <w:rFonts w:ascii="Courier New" w:cs="Courier New" w:eastAsia="Courier New" w:hAnsi="Courier New"/>
          <w:sz w:val="14"/>
          <w:szCs w:val="14"/>
          <w:color w:val="auto"/>
        </w:rPr>
        <w:t>Shares to be outstanding after the offering.........</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198,800,024(1)</w:t>
      </w:r>
    </w:p>
    <w:p>
      <w:pPr>
        <w:spacing w:after="0" w:line="175" w:lineRule="exact"/>
        <w:rPr>
          <w:sz w:val="20"/>
          <w:szCs w:val="20"/>
          <w:color w:val="auto"/>
        </w:rPr>
      </w:pPr>
    </w:p>
    <w:p>
      <w:pPr>
        <w:sectPr>
          <w:pgSz w:w="11900" w:h="16838" w:orient="portrait"/>
          <w:cols w:equalWidth="0" w:num="2">
            <w:col w:w="2408" w:space="180"/>
            <w:col w:w="763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ind w:right="3339"/>
        <w:spacing w:after="0"/>
        <w:rPr>
          <w:sz w:val="20"/>
          <w:szCs w:val="20"/>
          <w:color w:val="auto"/>
        </w:rPr>
      </w:pPr>
      <w:r>
        <w:rPr>
          <w:rFonts w:ascii="Courier New" w:cs="Courier New" w:eastAsia="Courier New" w:hAnsi="Courier New"/>
          <w:sz w:val="15"/>
          <w:szCs w:val="15"/>
          <w:color w:val="auto"/>
        </w:rPr>
        <w:t>We will not receive any of the proceeds from the sale of the shares.</w:t>
      </w:r>
    </w:p>
    <w:p>
      <w:pPr>
        <w:spacing w:after="0" w:line="174" w:lineRule="exact"/>
        <w:rPr>
          <w:sz w:val="20"/>
          <w:szCs w:val="20"/>
          <w:color w:val="auto"/>
        </w:rPr>
      </w:pPr>
    </w:p>
    <w:p>
      <w:pPr>
        <w:sectPr>
          <w:pgSz w:w="11900" w:h="16838" w:orient="portrait"/>
          <w:cols w:equalWidth="0" w:num="2">
            <w:col w:w="2408" w:space="180"/>
            <w:col w:w="7639"/>
          </w:cols>
          <w:pgMar w:left="232" w:top="289" w:right="1440" w:bottom="1440" w:gutter="0" w:footer="0" w:header="0"/>
          <w:type w:val="continuous"/>
        </w:sectPr>
      </w:pPr>
    </w:p>
    <w:p>
      <w:pPr>
        <w:ind w:left="8"/>
        <w:spacing w:after="0"/>
        <w:tabs>
          <w:tab w:leader="none" w:pos="2568" w:val="left"/>
        </w:tabs>
        <w:rPr>
          <w:sz w:val="20"/>
          <w:szCs w:val="20"/>
          <w:color w:val="auto"/>
        </w:rPr>
      </w:pPr>
      <w:r>
        <w:rPr>
          <w:rFonts w:ascii="Courier New" w:cs="Courier New" w:eastAsia="Courier New" w:hAnsi="Courier New"/>
          <w:sz w:val="15"/>
          <w:szCs w:val="15"/>
          <w:color w:val="auto"/>
        </w:rPr>
        <w:t>NYSE symbol................</w:t>
        <w:tab/>
        <w:t>DOX</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7"/>
          </w:cols>
          <w:pgMar w:left="232" w:top="289" w:right="1440" w:bottom="1440" w:gutter="0" w:footer="0" w:header="0"/>
          <w:type w:val="continuous"/>
        </w:sectPr>
      </w:pPr>
    </w:p>
    <w:p>
      <w:pPr>
        <w:spacing w:after="0" w:line="4" w:lineRule="exact"/>
        <w:rPr>
          <w:sz w:val="20"/>
          <w:szCs w:val="20"/>
          <w:color w:val="auto"/>
        </w:rPr>
      </w:pPr>
    </w:p>
    <w:p>
      <w:pPr>
        <w:ind w:left="348" w:hanging="348"/>
        <w:spacing w:after="0"/>
        <w:tabs>
          <w:tab w:leader="none" w:pos="34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ordinary shares outstanding as of October 6, 1999. Does not include</w:t>
      </w:r>
    </w:p>
    <w:p>
      <w:pPr>
        <w:spacing w:after="0" w:line="13" w:lineRule="exact"/>
        <w:rPr>
          <w:rFonts w:ascii="Courier New" w:cs="Courier New" w:eastAsia="Courier New" w:hAnsi="Courier New"/>
          <w:sz w:val="14"/>
          <w:szCs w:val="14"/>
          <w:color w:val="auto"/>
        </w:rPr>
      </w:pPr>
    </w:p>
    <w:p>
      <w:pPr>
        <w:ind w:left="348" w:right="3079" w:firstLine="10"/>
        <w:spacing w:after="0" w:line="265" w:lineRule="auto"/>
        <w:tabs>
          <w:tab w:leader="none" w:pos="706"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approximately 6,111,000 ordinary shares reserved for issuance upon the exercise of stock options that have been granted through July 31, 1999 under our stock option plan and (ii) approximately 489,000 ordinary shares to be reserved for future issuance of stock options under our stock option plan.</w:t>
      </w:r>
    </w:p>
    <w:p>
      <w:pPr>
        <w:spacing w:after="0" w:line="15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89" w:right="1440" w:bottom="1440" w:gutter="0" w:footer="0" w:header="0"/>
          <w:type w:val="continuous"/>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jc w:val="center"/>
        <w:ind w:right="4112"/>
        <w:spacing w:after="0"/>
        <w:rPr>
          <w:sz w:val="20"/>
          <w:szCs w:val="20"/>
          <w:color w:val="auto"/>
        </w:rPr>
      </w:pPr>
      <w:r>
        <w:rPr>
          <w:rFonts w:ascii="Courier New" w:cs="Courier New" w:eastAsia="Courier New" w:hAnsi="Courier New"/>
          <w:sz w:val="15"/>
          <w:szCs w:val="15"/>
          <w:color w:val="auto"/>
        </w:rPr>
        <w:t>SUMMARY HISTORICAL CONSOLIDATED FINANCIAL INFORMATION</w:t>
      </w:r>
    </w:p>
    <w:p>
      <w:pPr>
        <w:spacing w:after="0" w:line="176" w:lineRule="exact"/>
        <w:rPr>
          <w:sz w:val="20"/>
          <w:szCs w:val="20"/>
          <w:color w:val="auto"/>
        </w:rPr>
      </w:pPr>
    </w:p>
    <w:p>
      <w:pPr>
        <w:ind w:left="8" w:right="4040" w:firstLine="447"/>
        <w:spacing w:after="0" w:line="242" w:lineRule="auto"/>
        <w:rPr>
          <w:sz w:val="20"/>
          <w:szCs w:val="20"/>
          <w:color w:val="auto"/>
        </w:rPr>
      </w:pPr>
      <w:r>
        <w:rPr>
          <w:rFonts w:ascii="Courier New" w:cs="Courier New" w:eastAsia="Courier New" w:hAnsi="Courier New"/>
          <w:sz w:val="15"/>
          <w:szCs w:val="15"/>
          <w:color w:val="auto"/>
        </w:rPr>
        <w:t>Our consolidated financial statements are prepared in accordance with generally accepted accounting principles in the United States ("U.S. GAAP") and presented in U.S. dollars. The summary historical consolidated financial information set forth below has been derived from the combined or consolidated financial statements of Amdocs and its subsidiaries for the periods presented. During the year ended September 30, 1994, Amdocs' operating subsidiaries were operated as a group of companies owned by common shareholders, and financial statements for such periods were prepared on a combined basis and were not audited. Historical information as of and for the four years ended September 30, 1998 is derived from our consolidated financial statements which have been audited by Ernst &amp; Young LLP, our independent auditors. The summary historical consolidated financial information as of and for the nine months ended June 30, 1999 and 1998 is derived from our unaudited historical consolidated financial statements. The unaudited historical financial information reflects all adjustments (consisting only of normal recurring adjustments) that we consider necessary for a fair statement of our consolidated financial position and the results of operations for such periods. The results of operations for the nine months ended June 30, 1999 are not necessarily indicative of results to be expected for any future period.</w:t>
      </w:r>
    </w:p>
    <w:p>
      <w:pPr>
        <w:spacing w:after="0" w:line="185" w:lineRule="exact"/>
        <w:rPr>
          <w:sz w:val="20"/>
          <w:szCs w:val="20"/>
          <w:color w:val="auto"/>
        </w:rPr>
      </w:pPr>
    </w:p>
    <w:p>
      <w:pPr>
        <w:ind w:left="8" w:right="4220" w:firstLine="447"/>
        <w:spacing w:after="0" w:line="242" w:lineRule="auto"/>
        <w:rPr>
          <w:sz w:val="20"/>
          <w:szCs w:val="20"/>
          <w:color w:val="auto"/>
        </w:rPr>
      </w:pPr>
      <w:r>
        <w:rPr>
          <w:rFonts w:ascii="Courier New" w:cs="Courier New" w:eastAsia="Courier New" w:hAnsi="Courier New"/>
          <w:sz w:val="15"/>
          <w:szCs w:val="15"/>
          <w:color w:val="auto"/>
        </w:rPr>
        <w:t>The information presented below is qualified by the more detailed historical consolidated financial statements included elsewhere in this prospectus and should be read in conjunction with those consolidated financial statements and the discussion under "Management's Discussion and Analysis of Results of Operations and Financial Condition" included elsewhere in this prospectus.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19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NINE MONTHS</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460" w:type="dxa"/>
            <w:vAlign w:val="bottom"/>
          </w:tcPr>
          <w:p>
            <w:pPr>
              <w:spacing w:after="0"/>
              <w:rPr>
                <w:sz w:val="14"/>
                <w:szCs w:val="14"/>
                <w:color w:val="auto"/>
              </w:rPr>
            </w:pPr>
          </w:p>
        </w:tc>
        <w:tc>
          <w:tcPr>
            <w:tcW w:w="198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ENDED</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460" w:type="dxa"/>
            <w:vAlign w:val="bottom"/>
          </w:tcPr>
          <w:p>
            <w:pPr>
              <w:spacing w:after="0"/>
              <w:rPr>
                <w:sz w:val="14"/>
                <w:szCs w:val="14"/>
                <w:color w:val="auto"/>
              </w:rPr>
            </w:pPr>
          </w:p>
        </w:tc>
        <w:tc>
          <w:tcPr>
            <w:tcW w:w="19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JUNE 30,</w:t>
            </w:r>
          </w:p>
        </w:tc>
        <w:tc>
          <w:tcPr>
            <w:tcW w:w="980" w:type="dxa"/>
            <w:vAlign w:val="bottom"/>
          </w:tcPr>
          <w:p>
            <w:pPr>
              <w:spacing w:after="0"/>
              <w:rPr>
                <w:sz w:val="14"/>
                <w:szCs w:val="14"/>
                <w:color w:val="auto"/>
              </w:rPr>
            </w:pPr>
          </w:p>
        </w:tc>
        <w:tc>
          <w:tcPr>
            <w:tcW w:w="290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rPr>
              <w:t>YEAR ENDED SEPTEMBER 30,</w:t>
            </w:r>
          </w:p>
        </w:tc>
        <w:tc>
          <w:tcPr>
            <w:tcW w:w="860" w:type="dxa"/>
            <w:vAlign w:val="bottom"/>
          </w:tcPr>
          <w:p>
            <w:pPr>
              <w:spacing w:after="0"/>
              <w:rPr>
                <w:sz w:val="14"/>
                <w:szCs w:val="14"/>
                <w:color w:val="auto"/>
              </w:rPr>
            </w:pPr>
          </w:p>
        </w:tc>
      </w:tr>
      <w:tr>
        <w:trPr>
          <w:trHeight w:val="172"/>
        </w:trPr>
        <w:tc>
          <w:tcPr>
            <w:tcW w:w="446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7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446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 THOUSANDS, EXCEPT PER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SHARE DATA)</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$444,139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$287,063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$403,767</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$290,102</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$211,720</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$167,312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$121,310</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103,568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58,791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84,895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26,969</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35,490</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15,377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22,047</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68,704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18,509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30,107</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5,876</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24,508</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11,224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16,068</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0.05</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0.23</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0.05</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0.22</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0.18</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0.35</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860"/>
        </w:trPr>
        <w:tc>
          <w:tcPr>
            <w:tcW w:w="4460" w:type="dxa"/>
            <w:vAlign w:val="bottom"/>
          </w:tcPr>
          <w:p>
            <w:pPr>
              <w:spacing w:after="0"/>
              <w:rPr>
                <w:sz w:val="24"/>
                <w:szCs w:val="24"/>
                <w:color w:val="auto"/>
              </w:rPr>
            </w:pPr>
          </w:p>
        </w:tc>
        <w:tc>
          <w:tcPr>
            <w:tcW w:w="19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AS OF JUNE 30,</w:t>
            </w:r>
          </w:p>
        </w:tc>
        <w:tc>
          <w:tcPr>
            <w:tcW w:w="980" w:type="dxa"/>
            <w:vAlign w:val="bottom"/>
          </w:tcPr>
          <w:p>
            <w:pPr>
              <w:spacing w:after="0"/>
              <w:rPr>
                <w:sz w:val="24"/>
                <w:szCs w:val="24"/>
                <w:color w:val="auto"/>
              </w:rPr>
            </w:pPr>
          </w:p>
        </w:tc>
        <w:tc>
          <w:tcPr>
            <w:tcW w:w="2900" w:type="dxa"/>
            <w:vAlign w:val="bottom"/>
            <w:gridSpan w:val="3"/>
          </w:tcPr>
          <w:p>
            <w:pPr>
              <w:jc w:val="right"/>
              <w:ind w:right="585"/>
              <w:spacing w:after="0"/>
              <w:rPr>
                <w:sz w:val="20"/>
                <w:szCs w:val="20"/>
                <w:color w:val="auto"/>
              </w:rPr>
            </w:pPr>
            <w:r>
              <w:rPr>
                <w:rFonts w:ascii="Courier New" w:cs="Courier New" w:eastAsia="Courier New" w:hAnsi="Courier New"/>
                <w:sz w:val="15"/>
                <w:szCs w:val="15"/>
                <w:color w:val="auto"/>
              </w:rPr>
              <w:t>AS OF SEPTEMBER 30,</w:t>
            </w:r>
          </w:p>
        </w:tc>
        <w:tc>
          <w:tcPr>
            <w:tcW w:w="860" w:type="dxa"/>
            <w:vAlign w:val="bottom"/>
          </w:tcPr>
          <w:p>
            <w:pPr>
              <w:spacing w:after="0"/>
              <w:rPr>
                <w:sz w:val="24"/>
                <w:szCs w:val="24"/>
                <w:color w:val="auto"/>
              </w:rPr>
            </w:pPr>
          </w:p>
        </w:tc>
      </w:tr>
      <w:tr>
        <w:trPr>
          <w:trHeight w:val="172"/>
        </w:trPr>
        <w:tc>
          <w:tcPr>
            <w:tcW w:w="446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7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446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$$386,782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$237,923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$239,966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$220,582</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$104,531</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$101,483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$ 77,106</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Long-term obligations (net of current portion)...</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12,649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101,847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9,215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7,370</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1,663</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Shareholders' equity (deficit)(2)(3).............</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96,272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(33,284)</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(21,889)</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94,253</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15,988</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29,429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21,872</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300" w:hanging="348"/>
        <w:spacing w:after="0" w:line="242" w:lineRule="auto"/>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a contribution to a trust and the balance, $1,800, is due to the write-off of in-process technology related to certain software rights acquired from several operating subsidiaries of SBC Communications Inc.</w:t>
      </w:r>
    </w:p>
    <w:p>
      <w:pPr>
        <w:spacing w:after="0" w:line="17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pacing w:after="0" w:line="175" w:lineRule="exact"/>
        <w:rPr>
          <w:rFonts w:ascii="Courier New" w:cs="Courier New" w:eastAsia="Courier New" w:hAnsi="Courier New"/>
          <w:sz w:val="15"/>
          <w:szCs w:val="15"/>
          <w:color w:val="auto"/>
        </w:rPr>
      </w:pPr>
    </w:p>
    <w:p>
      <w:pPr>
        <w:ind w:left="348" w:right="4220" w:hanging="348"/>
        <w:spacing w:after="0" w:line="242" w:lineRule="auto"/>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completed an initial public offering of 18,000 ordinary shares in June 1998 and a public offering of an additional 2,000 ordinary shares in June 1999. The net proceeds from the offerings to us were $234,190 and $41,400, respectively.</w:t>
      </w:r>
    </w:p>
    <w:p>
      <w:pPr>
        <w:sectPr>
          <w:pgSz w:w="11900" w:h="16838" w:orient="portrait"/>
          <w:cols w:equalWidth="0" w:num="1">
            <w:col w:w="11188"/>
          </w:cols>
          <w:pgMar w:left="232" w:top="289" w:right="479" w:bottom="1440" w:gutter="0" w:footer="0" w:header="0"/>
        </w:sectPr>
      </w:pPr>
    </w:p>
    <w:p>
      <w:pPr>
        <w:spacing w:after="0" w:line="173"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188"/>
          </w:cols>
          <w:pgMar w:left="232" w:top="289" w:right="479"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SUMMARY PRO FORMA COMBINED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summary pro forma financial information presented below is derived from the unaudited pro forma condensed combined financial statements and notes thereto included elsewhere in this prospectus. The pro forma combined statement of operations data reflect the acquisition of ITDS as if the acquisition had occurred on October 1, 1997. The pro forma combined balance sheet data reflect the acquisition of ITDS as if the acquisition had occurred on June 30, 1999.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information presented below is qualified by the more detailed pro forma condensed combined financial statements included elsewhere in this prospectus and should be read in conjunction with those pro forma condensed combined financial statements.</w:t>
      </w:r>
    </w:p>
    <w:p>
      <w:pPr>
        <w:spacing w:after="0" w:line="200" w:lineRule="exact"/>
        <w:rPr>
          <w:sz w:val="20"/>
          <w:szCs w:val="20"/>
          <w:color w:val="auto"/>
        </w:rPr>
      </w:pPr>
    </w:p>
    <w:p>
      <w:pPr>
        <w:spacing w:after="0" w:line="317" w:lineRule="exact"/>
        <w:rPr>
          <w:sz w:val="20"/>
          <w:szCs w:val="20"/>
          <w:color w:val="auto"/>
        </w:rPr>
      </w:pPr>
    </w:p>
    <w:p>
      <w:pPr>
        <w:ind w:left="6620"/>
        <w:spacing w:after="0"/>
        <w:rPr>
          <w:sz w:val="20"/>
          <w:szCs w:val="20"/>
          <w:color w:val="auto"/>
        </w:rPr>
      </w:pPr>
      <w:r>
        <w:rPr>
          <w:rFonts w:ascii="Courier New" w:cs="Courier New" w:eastAsia="Courier New" w:hAnsi="Courier New"/>
          <w:sz w:val="15"/>
          <w:szCs w:val="15"/>
          <w:color w:val="auto"/>
        </w:rPr>
        <w:t>PRO FORMA</w:t>
      </w:r>
    </w:p>
    <w:p>
      <w:pPr>
        <w:spacing w:after="0" w:line="4" w:lineRule="exact"/>
        <w:rPr>
          <w:sz w:val="20"/>
          <w:szCs w:val="20"/>
          <w:color w:val="auto"/>
        </w:rPr>
      </w:pPr>
    </w:p>
    <w:p>
      <w:pPr>
        <w:ind w:left="55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NINE MONTHS</w:t>
      </w:r>
    </w:p>
    <w:p>
      <w:pPr>
        <w:spacing w:after="0" w:line="2" w:lineRule="exact"/>
        <w:rPr>
          <w:sz w:val="20"/>
          <w:szCs w:val="20"/>
          <w:color w:val="auto"/>
        </w:rPr>
      </w:pPr>
    </w:p>
    <w:p>
      <w:pPr>
        <w:ind w:left="5900"/>
        <w:spacing w:after="0"/>
        <w:tabs>
          <w:tab w:leader="none" w:pos="7300" w:val="left"/>
        </w:tabs>
        <w:rPr>
          <w:sz w:val="20"/>
          <w:szCs w:val="20"/>
          <w:color w:val="auto"/>
        </w:rPr>
      </w:pPr>
      <w:r>
        <w:rPr>
          <w:rFonts w:ascii="Courier New" w:cs="Courier New" w:eastAsia="Courier New" w:hAnsi="Courier New"/>
          <w:sz w:val="15"/>
          <w:szCs w:val="15"/>
          <w:color w:val="auto"/>
        </w:rPr>
        <w:t>ENDED</w:t>
      </w:r>
      <w:r>
        <w:rPr>
          <w:sz w:val="20"/>
          <w:szCs w:val="20"/>
          <w:color w:val="auto"/>
        </w:rPr>
        <w:tab/>
      </w:r>
      <w:r>
        <w:rPr>
          <w:rFonts w:ascii="Courier New" w:cs="Courier New" w:eastAsia="Courier New" w:hAnsi="Courier New"/>
          <w:sz w:val="15"/>
          <w:szCs w:val="15"/>
          <w:color w:val="auto"/>
        </w:rPr>
        <w:t>YEAR ENDED</w:t>
      </w:r>
    </w:p>
    <w:p>
      <w:pPr>
        <w:spacing w:after="0" w:line="2" w:lineRule="exact"/>
        <w:rPr>
          <w:sz w:val="20"/>
          <w:szCs w:val="20"/>
          <w:color w:val="auto"/>
        </w:rPr>
      </w:pPr>
    </w:p>
    <w:p>
      <w:pPr>
        <w:ind w:left="5540"/>
        <w:spacing w:after="0"/>
        <w:tabs>
          <w:tab w:leader="none" w:pos="6940" w:val="left"/>
        </w:tabs>
        <w:rPr>
          <w:sz w:val="20"/>
          <w:szCs w:val="20"/>
          <w:color w:val="auto"/>
        </w:rPr>
      </w:pPr>
      <w:r>
        <w:rPr>
          <w:rFonts w:ascii="Courier New" w:cs="Courier New" w:eastAsia="Courier New" w:hAnsi="Courier New"/>
          <w:sz w:val="15"/>
          <w:szCs w:val="15"/>
          <w:color w:val="auto"/>
        </w:rPr>
        <w:t>JUNE 30, 1999</w:t>
      </w:r>
      <w:r>
        <w:rPr>
          <w:sz w:val="20"/>
          <w:szCs w:val="20"/>
          <w:color w:val="auto"/>
        </w:rPr>
        <w:tab/>
      </w:r>
      <w:r>
        <w:rPr>
          <w:rFonts w:ascii="Courier New" w:cs="Courier New" w:eastAsia="Courier New" w:hAnsi="Courier New"/>
          <w:sz w:val="14"/>
          <w:szCs w:val="14"/>
          <w:color w:val="auto"/>
        </w:rPr>
        <w:t>SEPTEMBER 30, 1998</w:t>
      </w:r>
    </w:p>
    <w:p>
      <w:pPr>
        <w:spacing w:after="0" w:line="4" w:lineRule="exact"/>
        <w:rPr>
          <w:sz w:val="20"/>
          <w:szCs w:val="20"/>
          <w:color w:val="auto"/>
        </w:rPr>
      </w:pPr>
    </w:p>
    <w:p>
      <w:pPr>
        <w:ind w:left="5540"/>
        <w:spacing w:after="0"/>
        <w:tabs>
          <w:tab w:leader="none" w:pos="6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(IN THOUSANDS, EXCEPT</w:t>
      </w:r>
    </w:p>
    <w:p>
      <w:pPr>
        <w:spacing w:after="0" w:line="2" w:lineRule="exact"/>
        <w:rPr>
          <w:sz w:val="20"/>
          <w:szCs w:val="20"/>
          <w:color w:val="auto"/>
        </w:rPr>
      </w:pPr>
    </w:p>
    <w:p>
      <w:pPr>
        <w:ind w:left="6340"/>
        <w:spacing w:after="0"/>
        <w:rPr>
          <w:sz w:val="20"/>
          <w:szCs w:val="20"/>
          <w:color w:val="auto"/>
        </w:rPr>
      </w:pPr>
      <w:r>
        <w:rPr>
          <w:rFonts w:ascii="Courier New" w:cs="Courier New" w:eastAsia="Courier New" w:hAnsi="Courier New"/>
          <w:sz w:val="15"/>
          <w:szCs w:val="15"/>
          <w:color w:val="auto"/>
        </w:rPr>
        <w:t>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OPERATIONS DATA:</w:t>
      </w:r>
    </w:p>
    <w:p>
      <w:pPr>
        <w:sectPr>
          <w:pgSz w:w="11900" w:h="16838" w:orient="portrait"/>
          <w:cols w:equalWidth="0" w:num="1">
            <w:col w:w="10219"/>
          </w:cols>
          <w:pgMar w:left="240" w:top="289"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income............................................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earnings per share....................................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earnings per share..................................</w:t>
      </w:r>
    </w:p>
    <w:p>
      <w:pPr>
        <w:spacing w:after="0" w:line="20" w:lineRule="exact"/>
        <w:rPr>
          <w:sz w:val="20"/>
          <w:szCs w:val="20"/>
          <w:color w:val="auto"/>
        </w:rPr>
      </w:pPr>
      <w:r>
        <w:rPr>
          <w:sz w:val="20"/>
          <w:szCs w:val="20"/>
          <w:color w:val="auto"/>
        </w:rPr>
        <w:br w:type="column"/>
      </w:r>
    </w:p>
    <w:p>
      <w:pPr>
        <w:jc w:val="right"/>
        <w:ind w:right="260"/>
        <w:spacing w:after="0"/>
        <w:rPr>
          <w:sz w:val="20"/>
          <w:szCs w:val="20"/>
          <w:color w:val="auto"/>
        </w:rPr>
      </w:pPr>
      <w:r>
        <w:rPr>
          <w:rFonts w:ascii="Courier New" w:cs="Courier New" w:eastAsia="Courier New" w:hAnsi="Courier New"/>
          <w:sz w:val="15"/>
          <w:szCs w:val="15"/>
          <w:color w:val="auto"/>
        </w:rPr>
        <w:t>$546,024</w:t>
      </w:r>
    </w:p>
    <w:p>
      <w:pPr>
        <w:spacing w:after="0" w:line="2"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121,234</w:t>
      </w:r>
    </w:p>
    <w:p>
      <w:pPr>
        <w:spacing w:after="0" w:line="2"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79,102</w:t>
      </w:r>
    </w:p>
    <w:p>
      <w:pPr>
        <w:spacing w:after="0" w:line="2"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0.39</w:t>
      </w:r>
    </w:p>
    <w:p>
      <w:pPr>
        <w:spacing w:after="0" w:line="2"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0.38</w:t>
      </w:r>
    </w:p>
    <w:p>
      <w:pPr>
        <w:spacing w:after="0" w:line="20" w:lineRule="exact"/>
        <w:rPr>
          <w:sz w:val="20"/>
          <w:szCs w:val="20"/>
          <w:color w:val="auto"/>
        </w:rPr>
      </w:pPr>
      <w:r>
        <w:rPr>
          <w:sz w:val="20"/>
          <w:szCs w:val="20"/>
          <w:color w:val="auto"/>
        </w:rPr>
        <w:br w:type="column"/>
      </w:r>
    </w:p>
    <w:p>
      <w:pPr>
        <w:jc w:val="right"/>
        <w:ind w:right="2079"/>
        <w:spacing w:after="0"/>
        <w:rPr>
          <w:sz w:val="20"/>
          <w:szCs w:val="20"/>
          <w:color w:val="auto"/>
        </w:rPr>
      </w:pPr>
      <w:r>
        <w:rPr>
          <w:rFonts w:ascii="Courier New" w:cs="Courier New" w:eastAsia="Courier New" w:hAnsi="Courier New"/>
          <w:sz w:val="15"/>
          <w:szCs w:val="15"/>
          <w:color w:val="auto"/>
        </w:rPr>
        <w:t>$519,227</w:t>
      </w:r>
    </w:p>
    <w:p>
      <w:pPr>
        <w:spacing w:after="0" w:line="2"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5"/>
          <w:szCs w:val="15"/>
          <w:color w:val="auto"/>
        </w:rPr>
        <w:t>78,372</w:t>
      </w:r>
    </w:p>
    <w:p>
      <w:pPr>
        <w:spacing w:after="0" w:line="2"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5"/>
          <w:szCs w:val="15"/>
          <w:color w:val="auto"/>
        </w:rPr>
        <w:t>22,663</w:t>
      </w:r>
    </w:p>
    <w:p>
      <w:pPr>
        <w:spacing w:after="0" w:line="2"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5"/>
          <w:szCs w:val="15"/>
          <w:color w:val="auto"/>
        </w:rPr>
        <w:t>0.14</w:t>
      </w:r>
    </w:p>
    <w:p>
      <w:pPr>
        <w:spacing w:after="0" w:line="2"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5"/>
          <w:szCs w:val="15"/>
          <w:color w:val="auto"/>
        </w:rPr>
        <w:t>0.14</w:t>
      </w:r>
    </w:p>
    <w:p>
      <w:pPr>
        <w:spacing w:after="0" w:line="200" w:lineRule="exact"/>
        <w:rPr>
          <w:sz w:val="20"/>
          <w:szCs w:val="20"/>
          <w:color w:val="auto"/>
        </w:rPr>
      </w:pPr>
    </w:p>
    <w:p>
      <w:pPr>
        <w:sectPr>
          <w:pgSz w:w="11900" w:h="16838" w:orient="portrait"/>
          <w:cols w:equalWidth="0" w:num="3">
            <w:col w:w="5360" w:space="360"/>
            <w:col w:w="980" w:space="720"/>
            <w:col w:w="2799"/>
          </w:cols>
          <w:pgMar w:left="240" w:top="289" w:right="1440"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PRO FORMA</w:t>
      </w:r>
    </w:p>
    <w:p>
      <w:pPr>
        <w:spacing w:after="0" w:line="2"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AS OF</w:t>
      </w:r>
    </w:p>
    <w:p>
      <w:pPr>
        <w:spacing w:after="0" w:line="2"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JUNE 30, 1999</w:t>
      </w:r>
    </w:p>
    <w:p>
      <w:pPr>
        <w:spacing w:after="0" w:line="2"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5540"/>
        <w:spacing w:after="0"/>
        <w:rPr>
          <w:sz w:val="20"/>
          <w:szCs w:val="20"/>
          <w:color w:val="auto"/>
        </w:rPr>
      </w:pPr>
      <w:r>
        <w:rPr>
          <w:rFonts w:ascii="Courier New" w:cs="Courier New" w:eastAsia="Courier New" w:hAnsi="Courier New"/>
          <w:sz w:val="14"/>
          <w:szCs w:val="14"/>
          <w:color w:val="auto"/>
        </w:rPr>
        <w:t>(IN THOUSANDS)</w:t>
      </w:r>
    </w:p>
    <w:p>
      <w:pPr>
        <w:sectPr>
          <w:pgSz w:w="11900" w:h="16838" w:orient="portrait"/>
          <w:cols w:equalWidth="0" w:num="1">
            <w:col w:w="10219"/>
          </w:cols>
          <w:pgMar w:left="240" w:top="289" w:right="1440"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 DATA: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assets................................................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obligations (net of current portion)..............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$602,714</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12,670</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281,772</w:t>
      </w:r>
    </w:p>
    <w:p>
      <w:pPr>
        <w:spacing w:after="0" w:line="200" w:lineRule="exact"/>
        <w:rPr>
          <w:sz w:val="20"/>
          <w:szCs w:val="20"/>
          <w:color w:val="auto"/>
        </w:rPr>
      </w:pPr>
    </w:p>
    <w:p>
      <w:pPr>
        <w:sectPr>
          <w:pgSz w:w="11900" w:h="16838" w:orient="portrait"/>
          <w:cols w:equalWidth="0" w:num="2">
            <w:col w:w="5360" w:space="440"/>
            <w:col w:w="4419"/>
          </w:cols>
          <w:pgMar w:left="240" w:top="289" w:right="1440" w:bottom="1440" w:gutter="0" w:footer="0" w:header="0"/>
          <w:type w:val="continuous"/>
        </w:sectPr>
      </w:pPr>
    </w:p>
    <w:p>
      <w:pPr>
        <w:spacing w:after="0" w:line="1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for more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76" w:lineRule="exact"/>
        <w:rPr>
          <w:sz w:val="20"/>
          <w:szCs w:val="20"/>
          <w:color w:val="auto"/>
        </w:rPr>
      </w:pPr>
    </w:p>
    <w:p>
      <w:pPr>
        <w:ind w:left="440" w:right="3339"/>
        <w:spacing w:after="0"/>
        <w:rPr>
          <w:sz w:val="20"/>
          <w:szCs w:val="20"/>
          <w:color w:val="auto"/>
        </w:rPr>
      </w:pPr>
      <w:r>
        <w:rPr>
          <w:rFonts w:ascii="Courier New" w:cs="Courier New" w:eastAsia="Courier New" w:hAnsi="Courier New"/>
          <w:sz w:val="15"/>
          <w:szCs w:val="15"/>
          <w:color w:val="auto"/>
        </w:rPr>
        <w:t>FUNDAMENTAL CHANGES IN THE TELECOMMUNICATIONS MARKET COULD REDUCE DEMAND FOR OUR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Future developments in the telecommunications industry, such as continued industry consolidation, the formation of alliances among network operators and service providers and changes in the regulatory environment, could materially affect our existing or potential customers. This could reduce the demand for our products and services. As a result, we may be unable to effectively market and sell our information systems to potential customers in the telecommunications industry.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derive a significant portion of our revenue from products and services provided to directory publishers. We believe that the demand for those products and services will be affected by the extent of increased competition between directory publishers and other media channels, as well as a broader introduction of electronic directories. Our new products for these markets may not be successful or we may be unable to maintain our current level of revenue from directory systems.</w:t>
      </w:r>
    </w:p>
    <w:p>
      <w:pPr>
        <w:spacing w:after="0" w:line="177" w:lineRule="exact"/>
        <w:rPr>
          <w:sz w:val="20"/>
          <w:szCs w:val="20"/>
          <w:color w:val="auto"/>
        </w:rPr>
      </w:pPr>
    </w:p>
    <w:p>
      <w:pPr>
        <w:ind w:left="440" w:right="3519"/>
        <w:spacing w:after="0"/>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telecommunications information systems is highly competitive and fragmented, and we expect this competition to increase. We compete with independent providers of information systems and services and with in-house software departments of telecommunications companies. Our competitors include firms that provide comprehensive information systems, software vendors that sell products for particular aspects of a total information system, software vendors that specialize in systems for particular telecommunications services such as Internet services, systems integrators, service bureaus and companies that offer software systems in combination with the sale of network equipment. We anticipate continued growth and competition in the telecommunications industry and, consequently, the emergence of new software providers in the industry that will compete with us.</w:t>
      </w:r>
    </w:p>
    <w:p>
      <w:pPr>
        <w:spacing w:after="0" w:line="180"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We also believe that our ability to compete depends in part on a number of competitive factors, including:</w:t>
      </w:r>
    </w:p>
    <w:p>
      <w:pPr>
        <w:spacing w:after="0" w:line="176" w:lineRule="exact"/>
        <w:rPr>
          <w:sz w:val="20"/>
          <w:szCs w:val="20"/>
          <w:color w:val="auto"/>
        </w:rPr>
      </w:pPr>
    </w:p>
    <w:p>
      <w:pPr>
        <w:ind w:left="620" w:right="3699"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75" w:lineRule="exact"/>
        <w:rPr>
          <w:rFonts w:ascii="Courier New" w:cs="Courier New" w:eastAsia="Courier New" w:hAnsi="Courier New"/>
          <w:sz w:val="15"/>
          <w:szCs w:val="15"/>
          <w:color w:val="auto"/>
        </w:rPr>
      </w:pPr>
    </w:p>
    <w:p>
      <w:pPr>
        <w:ind w:left="620" w:right="3959"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do we.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Business Support System products that operate on state-of-the-art operating systems. Our present or future products may not satisfy the evolving needs of the telecommunications market. If we are unable to anticipate or respond adequately to such demands, due to resource, technological or other constraints, our business and results of operations could be materially adversely affected.</w:t>
      </w:r>
    </w:p>
    <w:p>
      <w:pPr>
        <w:spacing w:after="0" w:line="179"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On September 3, 1999, we signed an agreement to acquire International Telecommunication Data Systems, Inc., or ITDS, in a stock-for-stock merger transaction. ITDS is a leading provider of billing and customer care service bureau solutions to wireless telecommunications service providers. We also may acquire other companies where we believe we can acquire new products or services or otherwise enhance our market position or strategic strengths. We cannot assure you that suitable acquisition candidates can be found, that acquisitions can be consummated on favorable terms or that the ITDS acquisition, if completed, will enhance our products or strengthen our competitive position.</w:t>
      </w:r>
    </w:p>
    <w:p>
      <w:pPr>
        <w:spacing w:after="0" w:line="162" w:lineRule="exact"/>
        <w:rPr>
          <w:sz w:val="20"/>
          <w:szCs w:val="20"/>
          <w:color w:val="auto"/>
        </w:rPr>
      </w:pPr>
    </w:p>
    <w:p>
      <w:pPr>
        <w:ind w:left="440" w:right="3599"/>
        <w:spacing w:after="0"/>
        <w:rPr>
          <w:sz w:val="20"/>
          <w:szCs w:val="20"/>
          <w:color w:val="auto"/>
        </w:rPr>
      </w:pPr>
      <w:r>
        <w:rPr>
          <w:rFonts w:ascii="Courier New" w:cs="Courier New" w:eastAsia="Courier New" w:hAnsi="Courier New"/>
          <w:sz w:val="15"/>
          <w:szCs w:val="15"/>
          <w:color w:val="auto"/>
        </w:rPr>
        <w:t>WE DEPEND ON SBC COMMUNICATIONS INC. FOR A SIGNIFICANT PORTION OF OUR REVENUES</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Our single largest group of customers are SBC Communications Inc., or SBC, and its operating subsidiaries. SBC International Inc., or SBCI, a wholly owned subsidiary of SBC, is also one of our significant shareholders. It currently holds approximately 19.5% of our outstanding ordinary shares. A significant decrease in the sale of products and services to SBC or its subsidiaries may materially adversely affect our results of operations and financial condition.</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Substantially all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15.7% of our total revenue in the nine months ended June 30, 1999 and 20.8%, 34.5% and 38.0% of revenue in fiscal 1998, 1997 and 1996, respectively. The absolute amount of revenue attributable to SBC and such subsidiaries amounted to $69.6 million in the nine months ended June 30, 1999 and $84.4 million, $99.9 million and $80.5 million in fiscal 1998, 1997 and 1996, respectively.</w:t>
      </w:r>
    </w:p>
    <w:p>
      <w:pPr>
        <w:spacing w:after="0" w:line="179"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OUR BUSINESS IS HIGHLY DEPENDENT ON A LIMITED NUMBER OF SIGNIFICANT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We have approximately 70 customers, and revenue derived from our five largest customers, excluding SBC and its operating subsidiaries, accounted for approximately 27.6% of revenue in the nine months ended June 30, 1999 and 27.1%, 33.2% and 42.7% of revenue in fiscal 1998, 1997 and 1996, respectively.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176" w:lineRule="exact"/>
        <w:rPr>
          <w:sz w:val="20"/>
          <w:szCs w:val="20"/>
          <w:color w:val="auto"/>
        </w:rPr>
      </w:pPr>
    </w:p>
    <w:p>
      <w:pPr>
        <w:ind w:left="440" w:right="4239"/>
        <w:spacing w:after="0"/>
        <w:rPr>
          <w:sz w:val="20"/>
          <w:szCs w:val="20"/>
          <w:color w:val="auto"/>
        </w:rPr>
      </w:pPr>
      <w:r>
        <w:rPr>
          <w:rFonts w:ascii="Courier New" w:cs="Courier New" w:eastAsia="Courier New" w:hAnsi="Courier New"/>
          <w:sz w:val="15"/>
          <w:szCs w:val="15"/>
          <w:color w:val="auto"/>
        </w:rPr>
        <w:t>OUR FUTURE SUCCESS DEPENDS ON OUR ABILITY TO DEVELOP LONG-TERM RELATIONSHIPS WITH OUR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long-term relationships with successful network operators and service providers. Many new entrants into the telecommunications market lack significant financial and other resources.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success depends in large part on our ability to attract, train, motivate and retain highly skilled information technology professionals, software programmers and telecommunications engineers. These types of qualified personnel are in great demand and are likely to remain a limited resource for the foreseeable future. We currently employ approximately 4,300 software and information technology specialists, of which over 2,900 are located in Israel. We intensively recruit technical personnel for our principal development centers in Israel, the United States and Cyprus.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73" w:lineRule="exact"/>
        <w:rPr>
          <w:sz w:val="20"/>
          <w:szCs w:val="20"/>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 and, in such event, the price of our ordinary shares could be materially adversely affected.</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As a result of these factors and the factors that follow, we believe that period-to-period comparisons of our revenues and operating results are not necessarily meaningful.</w:t>
      </w:r>
    </w:p>
    <w:p>
      <w:pPr>
        <w:spacing w:after="0" w:line="176" w:lineRule="exact"/>
        <w:rPr>
          <w:sz w:val="20"/>
          <w:szCs w:val="20"/>
          <w:color w:val="auto"/>
        </w:rPr>
      </w:pPr>
    </w:p>
    <w:p>
      <w:pPr>
        <w:ind w:left="440" w:right="3519"/>
        <w:spacing w:after="0"/>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sales cycle associated with the purchase of our information systems is lengthy, with the time between the making of an initial proposal to a prospective customer and the signing of a sales contract typically being between six and twelve months. Information systems for telecommunications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174" w:lineRule="exact"/>
        <w:rPr>
          <w:sz w:val="20"/>
          <w:szCs w:val="20"/>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maintain three development facilities located in Israel, the United States and Cyprus, operate a support center located in Brazil and have operations in Europe, North America, Latin America and the Asia-Pacific region. Although a majority of our revenue in fiscal 1998 was derived from customers in North America, we obtain significant revenue from customers in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Europe, the Asia-Pacific region, and Latin America. Our strategy is to continue to broaden our North American and European customer base and to expand into new international markets, the most significant of which are located in Latin America and the Asia-Pacific region.</w:t>
      </w:r>
    </w:p>
    <w:p>
      <w:pPr>
        <w:spacing w:after="0" w:line="175" w:lineRule="exact"/>
        <w:rPr>
          <w:sz w:val="20"/>
          <w:szCs w:val="20"/>
          <w:color w:val="auto"/>
        </w:rPr>
      </w:pPr>
    </w:p>
    <w:p>
      <w:pPr>
        <w:ind w:left="440" w:right="3159"/>
        <w:spacing w:after="0"/>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7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164"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telecommunications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439"/>
        <w:spacing w:after="0" w:line="274" w:lineRule="auto"/>
        <w:rPr>
          <w:sz w:val="20"/>
          <w:szCs w:val="20"/>
          <w:color w:val="auto"/>
        </w:rPr>
      </w:pPr>
      <w:r>
        <w:rPr>
          <w:rFonts w:ascii="Courier New" w:cs="Courier New" w:eastAsia="Courier New" w:hAnsi="Courier New"/>
          <w:sz w:val="14"/>
          <w:szCs w:val="14"/>
          <w:color w:val="auto"/>
        </w:rPr>
        <w:t>also include an injunction or other court order that could prevent us from selling our products. Any of these events could seriously harm our business.</w:t>
      </w:r>
    </w:p>
    <w:p>
      <w:pPr>
        <w:spacing w:after="0" w:line="15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7"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and Cyprus.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7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174" w:lineRule="exact"/>
        <w:rPr>
          <w:sz w:val="20"/>
          <w:szCs w:val="20"/>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6" w:lineRule="exact"/>
        <w:rPr>
          <w:rFonts w:ascii="Courier New" w:cs="Courier New" w:eastAsia="Courier New" w:hAnsi="Courier New"/>
          <w:sz w:val="15"/>
          <w:szCs w:val="15"/>
          <w:color w:val="auto"/>
        </w:rPr>
      </w:pPr>
    </w:p>
    <w:p>
      <w:pPr>
        <w:ind w:left="620" w:right="3599"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Since our products are generally used by our customers to perform mission-critical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2000 ISSUES" MAY DISRUPT OUR OPERATIONS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term "year 2000 issues" is a general term used to describe the various problems that may result from the improper processing of dates and faulty date calculations by computers and</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other machinery in the upcoming millennium. These problems generally arise from the fact that most of the world's legacy computer hardware and software have historically used only two digits to identify the year in a date, often meaning that the computer will fail to distinguish dates in the "2000s" from dates in the "1900s". These problems may also arise from other sources such as the use of special codes and conventions in software that make use of the date field. This could result in a system failure or miscalculation causing disruptions of operations, including, among other things, total failure of mass systems that depend on computers such as electricity, telephone networks and banking systems.</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a small number of computer products marketed by us or currently used by our customers might not be year 2000 compliant. In addition, some products and services provided to our customers by other software vendors may not be year 2000 compliant, thereby disrupting the ability of our customers to use our software. We have accrued $1.0 million at June 30, 1999, representing the estimated costs to modify our software products to address year 2000 issues under existing agreements for previously sold products. See "Management's Discussion and Analysis of Results of Operation and Financial Condition -- Year 2000 Issues". Our ultimate costs to address the year 2000 issues may significantly exceed our estimates, in which case those costs could have a material adverse effect on our results of operations and business and financial condition. Moreover, due to our dependence on a limited number of significant customers, any material adverse impact on such customers due to year 2000 issues could also have a material adverse effect on our results of operations, business and financial conditions.</w:t>
      </w:r>
    </w:p>
    <w:p>
      <w:pPr>
        <w:spacing w:after="0" w:line="182" w:lineRule="exact"/>
        <w:rPr>
          <w:sz w:val="20"/>
          <w:szCs w:val="20"/>
          <w:color w:val="auto"/>
        </w:rPr>
      </w:pPr>
    </w:p>
    <w:p>
      <w:pPr>
        <w:ind w:left="440" w:right="3079"/>
        <w:spacing w:after="0" w:line="274" w:lineRule="auto"/>
        <w:rPr>
          <w:sz w:val="20"/>
          <w:szCs w:val="20"/>
          <w:color w:val="auto"/>
        </w:rPr>
      </w:pPr>
      <w:r>
        <w:rPr>
          <w:rFonts w:ascii="Courier New" w:cs="Courier New" w:eastAsia="Courier New" w:hAnsi="Courier New"/>
          <w:sz w:val="14"/>
          <w:szCs w:val="14"/>
          <w:color w:val="auto"/>
        </w:rPr>
        <w:t>OUR SOFTWARE PRODUCTS MAY NOT SUCCESSFULLY ACCEPT THE NEW EUROPEAN MONETARY UNION CURRENCY, OR EURO, OR CONVERT FROM LOCAL CURRENCIES TO THE EURO</w:t>
      </w:r>
    </w:p>
    <w:p>
      <w:pPr>
        <w:spacing w:after="0" w:line="15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euro is being phased in over a three-year period which commenced January 1, 1999 when participating European countries began using the euro currency for non-cash transactions. Computer systems and software products will need to be designed or modified to accept the euro currency and, during a transitional phase, will need to accept both the euro and local currencies. The conversion to the euro currency will require restructuring of databases and internal accounting systems and may require the conversion of historical data. We intend to offer software products that are capable of accepting the euro currency and converting from local currencies to the euro and vice versa. Our software or software provided to our customers by other vendors may not ensure an errorless transition to the euro currency. We have accrued $1.6 million at June 30, 1999, representing the estimated costs to modify our software products to accept the euro currency under existing agreements for previously sold products. Our ultimate costs may significantly exceed our estimates, in which case those costs could have a material adverse effect on our results of operations, business and financial condition.</w:t>
      </w:r>
    </w:p>
    <w:p>
      <w:pPr>
        <w:spacing w:after="0" w:line="183"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largest development center is located in the State of Israel. Although a substantial majority of our sales are made to customers outside Israel and we maintain significant service teams on site with our customers, we are nonetheless directly influenced by the political, economic and military conditions affecting Israel. Any major hostilities involving Israel or the interruption or curtailment of trade between Israel and its current trading partners could have a material adverse effect on our business. We have developed certain contingency plans to move certain development operations to various sites both within and outside of Israel in the event political or military conditions disrupt our normal operations.</w:t>
      </w:r>
    </w:p>
    <w:p>
      <w:pPr>
        <w:spacing w:after="0" w:line="179"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however, has not entered into any peace arrangement with Syria or Lebanon. In addition, in recent months there has been a deterioration in Israel's relationship with the Palestinian Community.</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Consequently, we cannot predict how the peace process will develop or what effect it may have on us or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 the problem have not yet resulted in an agreeable solution. Recently, tensions between the parties involved have increased significantly over certain military defense issues. Any major hostilities between Cyprus and Turkey may have a material adverse effect on our development facility in Cyprus.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76" w:lineRule="exact"/>
        <w:rPr>
          <w:sz w:val="20"/>
          <w:szCs w:val="20"/>
          <w:color w:val="auto"/>
        </w:rPr>
      </w:pPr>
    </w:p>
    <w:p>
      <w:pPr>
        <w:ind w:left="440" w:right="3159"/>
        <w:spacing w:after="0"/>
        <w:rPr>
          <w:sz w:val="20"/>
          <w:szCs w:val="20"/>
          <w:color w:val="auto"/>
        </w:rPr>
      </w:pPr>
      <w:r>
        <w:rPr>
          <w:rFonts w:ascii="Courier New" w:cs="Courier New" w:eastAsia="Courier New" w:hAnsi="Courier New"/>
          <w:sz w:val="15"/>
          <w:szCs w:val="15"/>
          <w:color w:val="auto"/>
        </w:rPr>
        <w:t>A FEW OF OUR SHAREHOLDERS MAY BE ABLE TO EXERCISE CONTROL OVER ALL MATTERS REQUIRING SHAREHOLDER APPROVAL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the concentration of ownership of our ordinary voting shares, some shareholders may be able to exercise control over matters requiring shareholder approval, including the election of directors and approval of significant corporate transactions. This control may have the effect of delaying or preventing a change in control of Amdocs.</w:t>
      </w:r>
    </w:p>
    <w:p>
      <w:pPr>
        <w:spacing w:after="0" w:line="175"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After completion of the offering, our ordinary voting shares will be owned as follows:</w:t>
      </w:r>
    </w:p>
    <w:p>
      <w:pPr>
        <w:spacing w:after="0" w:line="176" w:lineRule="exact"/>
        <w:rPr>
          <w:sz w:val="20"/>
          <w:szCs w:val="20"/>
          <w:color w:val="auto"/>
        </w:rPr>
      </w:pPr>
    </w:p>
    <w:p>
      <w:pPr>
        <w:ind w:left="620" w:right="3259"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34.0% by Welsh, Carson, Anderson &amp; Stowe, or WCAS, a private investment firm, and its affiliates,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8.3% by SBCI, and</w:t>
      </w:r>
    </w:p>
    <w:p>
      <w:pPr>
        <w:spacing w:after="0" w:line="175" w:lineRule="exact"/>
        <w:rPr>
          <w:rFonts w:ascii="Courier New" w:cs="Courier New" w:eastAsia="Courier New" w:hAnsi="Courier New"/>
          <w:sz w:val="15"/>
          <w:szCs w:val="15"/>
          <w:color w:val="auto"/>
        </w:rPr>
      </w:pPr>
    </w:p>
    <w:p>
      <w:pPr>
        <w:ind w:left="620" w:right="3879"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 by Amdocs International Limited, or AIL, a private company beneficially owned by Morris S. Kahn.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SBCI also owns ordinary nonvoting shares, which together with its ordinary voting shares represent 19.5% of the ordinary shares outstanding. In addition, WCAS and several entities in which some members of our management have a beneficial interest have granted irrevocable proxies with respect to a portion of the ordinary shares held by them to a company beneficially owned by Morris S. Kahn. Giving effect to such proxies and the sale of the ordinary shares in this offering, the company beneficially owned by Morris S. Kahn and AIL together will have the right to vote 26.9% of our ordinary voting shares, WCAS and its affiliates will have the right to vote 20.6% of our ordinary voting shares and SBCI will have the right to vote 8.3% of our ordinary voting shares. Following the offering, it is intended that the proxies granted by WCAS to AIL, as well as certain proxies granted to AIL by several entities in which some members of our management have a beneficial interest, will be transferred or otherwise granted to SBCI.</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Affiliates of WCAS and certain other investors, or the WCAS Investors, have granted a call option on some of the ordinary shares that they hold to SBCI, AIL and others who were shareholders of Amdocs prior to our initial public offering in June 1998. The call option may be exercised if we achieve specified revenue and cash flow targets in fiscal 1998 and 1999, which targets were achieved for fiscal 1998. If exercised, the option would increase the relative ownership of SBCI, AIL and those other shareholders and decrease the relative ownership of the WCAS Investors. If the targets are met in full, and after giving effect to the sale of the ordinary shares in this offering, the WCAS Investors will hold 25.3% of our ordinary voting shares and AIL will hold 13.0% of our ordinary voting shares.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For example, since our initial public offering in June 1998 through October 6, 1999 the closing price of our ordinary shares ranged from a high of $29.69 per share to a low of $8.38 per share. Many factors could cause the market price of our ordinary shares to rise and fall. Some of these factors are:</w:t>
      </w:r>
    </w:p>
    <w:p>
      <w:pPr>
        <w:spacing w:after="0" w:line="174" w:lineRule="exact"/>
        <w:rPr>
          <w:sz w:val="20"/>
          <w:szCs w:val="20"/>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75" w:lineRule="exact"/>
        <w:rPr>
          <w:rFonts w:ascii="Courier New" w:cs="Courier New" w:eastAsia="Courier New" w:hAnsi="Courier New"/>
          <w:sz w:val="15"/>
          <w:szCs w:val="15"/>
          <w:color w:val="auto"/>
        </w:rPr>
      </w:pPr>
    </w:p>
    <w:p>
      <w:pPr>
        <w:ind w:left="620" w:right="3779"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telecommunications industry;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shareholders brought a securities class action lawsuit against us, we could incur substantial costs defending the lawsuit. The lawsuit could also divert the time and attention of our management. Any of these events could seriously harm our business.</w:t>
      </w:r>
    </w:p>
    <w:p>
      <w:pPr>
        <w:spacing w:after="0" w:line="179" w:lineRule="exact"/>
        <w:rPr>
          <w:sz w:val="20"/>
          <w:szCs w:val="20"/>
          <w:color w:val="auto"/>
        </w:rPr>
      </w:pPr>
    </w:p>
    <w:p>
      <w:pPr>
        <w:ind w:left="440" w:right="3079"/>
        <w:spacing w:after="0"/>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Sales of substantial amounts of ordinary shares in the public market, or the perception that such sales could occur, could adversely affect prevailing market prices for the ordinary shares. We currently have 198,800,024 ordinary shares issued and outstanding, all of which are either freely tradeable on the NYSE or currently eligible for sale pursuant to Rule 144, under the Securities Act of 1933, or the Securities Act (subject to compliance with the volume and manner of sale limitation of Rule 144), or pursuant to another exemption from the registration requirements of the Securities Act.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principal shareholders have the right, in certain circumstances, to require us to register their shares under the Securities Act for resale to the public. In addition, we expect to register under the Securities Act up to a total of 6,600,000 ordinary shares reserved for issuance upon the exercise of options that have been or may be granted under our stock option plans. The right to exercise options outstanding under these plans is subject to certain vesting requirements.</w:t>
      </w:r>
    </w:p>
    <w:p>
      <w:pPr>
        <w:spacing w:after="0" w:line="177"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176" w:lineRule="exact"/>
        <w:rPr>
          <w:sz w:val="20"/>
          <w:szCs w:val="20"/>
          <w:color w:val="auto"/>
        </w:rPr>
      </w:pPr>
    </w:p>
    <w:p>
      <w:pPr>
        <w:jc w:val="both"/>
        <w:ind w:right="3779" w:firstLine="447"/>
        <w:spacing w:after="0" w:line="241"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 In addition, the terms of bank debt incurred by our subsidiaries effectively prevent us from paying cash dividends.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SHAREHOLDERS OF UNITED STATES CORPORATIONS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 See "Description of Share Capital" and "Comparison of United States and Guernsey Corporate Law" for a discussion of the material differences.</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MARKET PRICES AND DIVIDEND POLICY</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Our ordinary shares have been quoted on the NYSE since June 19, 1998 under the symbol "DOX". Through October 6, 1999, the high and low reported closing prices for the ordinary shares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LOW</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r>
      <w:tr>
        <w:trPr>
          <w:trHeight w:val="172"/>
        </w:trPr>
        <w:tc>
          <w:tcPr>
            <w:tcW w:w="5440" w:type="dxa"/>
            <w:vAlign w:val="bottom"/>
          </w:tcPr>
          <w:p>
            <w:pPr>
              <w:spacing w:after="0"/>
              <w:rPr>
                <w:sz w:val="14"/>
                <w:szCs w:val="14"/>
                <w:color w:val="auto"/>
              </w:rPr>
            </w:pPr>
          </w:p>
        </w:tc>
        <w:tc>
          <w:tcPr>
            <w:tcW w:w="8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1998:</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1998 (since June 19, 1998)..................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$16.50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1998.......................................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$15.50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$ 8.38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1999:</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First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$17.25</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$ 8.88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$25.81</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$28.88</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$29.69</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2000:</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First Quarter 2000 (through October 6,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$24.44</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October 6, 1999, the last reported closing price of the ordinary shares on the New York Stock Exchange was $24.44 and ordinary shares were held by approximately 136 recordholders. Based on a review of the addresses of those holders, 102 recordholders, holding approximately 75.0% of the outstanding ordinary shares, were residents of the United States.</w:t>
      </w:r>
    </w:p>
    <w:p>
      <w:pPr>
        <w:spacing w:after="0" w:line="175"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Shareholders are advised to obtain a current market quotation for our ordinary shares.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Although in the past we have paid substantial cash dividends, we do not anticipate paying cash dividends on our ordinary shares in the foreseeable future. We declared dividends to our shareholders during fiscal 1998, 1997 and 1996 of $478.7 million, $19.3 million and $37.9 million, respectively. See "Certain Transactions". We currently intend to retain our earnings to finance the development of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future dividend policy will be determined by our board of directors based upon conditions then existing, including our earnings, financial condition and capital requirements, as well as such economic and other conditions as the board of directors may deem relevant. The terms of the revolving credit agreement under which several of our subsidiaries are borrowers effectively prevent us from paying cash dividends. In addition, future agreements under which we or any of our subsidiaries may incur indebtedness may contain limitations on our ability to pay cash dividends.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SELECTED HISTORICAL CONSOLIDATED FINANCIAL INFORMATION</w:t>
      </w:r>
    </w:p>
    <w:p>
      <w:pPr>
        <w:spacing w:after="0" w:line="176" w:lineRule="exact"/>
        <w:rPr>
          <w:sz w:val="20"/>
          <w:szCs w:val="20"/>
          <w:color w:val="auto"/>
        </w:rPr>
      </w:pPr>
    </w:p>
    <w:p>
      <w:pPr>
        <w:ind w:left="8" w:right="3320" w:firstLine="447"/>
        <w:spacing w:after="0" w:line="261" w:lineRule="auto"/>
        <w:rPr>
          <w:sz w:val="20"/>
          <w:szCs w:val="20"/>
          <w:color w:val="auto"/>
        </w:rPr>
      </w:pPr>
      <w:r>
        <w:rPr>
          <w:rFonts w:ascii="Courier New" w:cs="Courier New" w:eastAsia="Courier New" w:hAnsi="Courier New"/>
          <w:sz w:val="14"/>
          <w:szCs w:val="14"/>
          <w:color w:val="auto"/>
        </w:rPr>
        <w:t>Our historical consolidated financial statements are prepared in accordance with U.S. GAAP and presented in dollars. The selected historical consolidated financial information set forth below has been derived from the historical combined or consolidated financial statements of Amdocs and its subsidiaries for the periods presented. During the year ended September 30, 1994, Amdocs' operating subsidiaries were operated as a group of companies owned by common shareholders and financial statements for such periods were prepared on a combined basis and were not audited. Historical information as of and for the four years ended September 30, 1998 is derived from our consolidated financial statements which have been audited by Ernst &amp; Young LLP, our independent auditors. The selected historical consolidated financial information as of and for the nine months ended June 30, 1999 and 1998 is derived from our unaudited historical consolidated financial statements. The unaudited historical financial information reflects all adjustments (consisting only of normal recurring adjustments) that we consider necessary for a fair statement of our consolidated financial position and the results of operations for such periods. The results of operations for the nine months ended June 30, 1999 are not necessarily indicative of results to be expected for any future period.</w:t>
      </w:r>
    </w:p>
    <w:p>
      <w:pPr>
        <w:spacing w:after="0" w:line="336" w:lineRule="exact"/>
        <w:rPr>
          <w:sz w:val="20"/>
          <w:szCs w:val="20"/>
          <w:color w:val="auto"/>
        </w:rPr>
      </w:pPr>
    </w:p>
    <w:p>
      <w:pPr>
        <w:ind w:left="8" w:right="3500" w:firstLine="447"/>
        <w:spacing w:after="0" w:line="242" w:lineRule="auto"/>
        <w:rPr>
          <w:sz w:val="20"/>
          <w:szCs w:val="20"/>
          <w:color w:val="auto"/>
        </w:rPr>
      </w:pPr>
      <w:r>
        <w:rPr>
          <w:rFonts w:ascii="Courier New" w:cs="Courier New" w:eastAsia="Courier New" w:hAnsi="Courier New"/>
          <w:sz w:val="15"/>
          <w:szCs w:val="15"/>
          <w:color w:val="auto"/>
        </w:rPr>
        <w:t>The information presented below is qualified by the more detailed historical consolidated financial statements included elsewhere in this prospectus and should be read in conjunction with those consolidated financial statements and the discussion under "Management's Discussion and Analysis of Results of Operations and Financial Condition" included elsewhere in this prospectus.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NINE MONTHS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ENDED</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JUNE 30,</w:t>
            </w:r>
          </w:p>
        </w:tc>
        <w:tc>
          <w:tcPr>
            <w:tcW w:w="9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21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ENDED SEPTEMBER 30,</w:t>
            </w:r>
          </w:p>
        </w:tc>
        <w:tc>
          <w:tcPr>
            <w:tcW w:w="10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 THOUSANDS, EXCEPT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PER</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 DATA)</w:t>
            </w:r>
          </w:p>
        </w:tc>
        <w:tc>
          <w:tcPr>
            <w:tcW w:w="108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$444,139</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$287,063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$403,767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$290,102</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$211,720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$167,312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$121,310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103,568</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58,791</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84,895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26,969</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35,490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15,377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22,047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68,704</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18,509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30,107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24,508</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11,224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16,068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0.35</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0.34</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0.22</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r>
      <w:tr>
        <w:trPr>
          <w:trHeight w:val="860"/>
        </w:trPr>
        <w:tc>
          <w:tcPr>
            <w:tcW w:w="3480" w:type="dxa"/>
            <w:vAlign w:val="bottom"/>
          </w:tcPr>
          <w:p>
            <w:pPr>
              <w:spacing w:after="0"/>
              <w:rPr>
                <w:sz w:val="24"/>
                <w:szCs w:val="24"/>
                <w:color w:val="auto"/>
              </w:rPr>
            </w:pPr>
          </w:p>
        </w:tc>
        <w:tc>
          <w:tcPr>
            <w:tcW w:w="1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AS OF JUNE 30,</w:t>
            </w:r>
          </w:p>
        </w:tc>
        <w:tc>
          <w:tcPr>
            <w:tcW w:w="9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SEPTEMBER 30,</w:t>
            </w:r>
          </w:p>
        </w:tc>
        <w:tc>
          <w:tcPr>
            <w:tcW w:w="1080" w:type="dxa"/>
            <w:vAlign w:val="bottom"/>
          </w:tcPr>
          <w:p>
            <w:pPr>
              <w:spacing w:after="0"/>
              <w:rPr>
                <w:sz w:val="24"/>
                <w:szCs w:val="24"/>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 THOUSANDS)</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$386,782</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$237,923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$220,582</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$104,531</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$101,483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$ 77,106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Long-term obligations (net of current</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portion)............................</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12,649</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101,847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9,215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7,370</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1,663</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(deficit)(2)(3).....................</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96,272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(33,284)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(21,889)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94,253</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15,988</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29,429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21,872</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400" w:hanging="348"/>
        <w:spacing w:after="0" w:line="242" w:lineRule="auto"/>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the funding of a contribution to a trust and the balance, $1,800, is due to the write-off of in-process technology related to certain software rights acquired from several operating subsidiaries of SBC Communications Inc.</w:t>
      </w:r>
    </w:p>
    <w:p>
      <w:pPr>
        <w:spacing w:after="0" w:line="17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pacing w:after="0" w:line="175" w:lineRule="exact"/>
        <w:rPr>
          <w:rFonts w:ascii="Courier New" w:cs="Courier New" w:eastAsia="Courier New" w:hAnsi="Courier New"/>
          <w:sz w:val="15"/>
          <w:szCs w:val="15"/>
          <w:color w:val="auto"/>
        </w:rPr>
      </w:pPr>
    </w:p>
    <w:p>
      <w:pPr>
        <w:ind w:left="348" w:right="3500" w:hanging="348"/>
        <w:spacing w:after="0" w:line="242" w:lineRule="auto"/>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completed an initial public offering of 18,000 ordinary shares in June 1998 and a public offering of an additional 2,000 ordinary shares in June 1999. The net proceeds from the offerings to us were $234,190 and $41,400, respectively.</w:t>
      </w:r>
    </w:p>
    <w:p>
      <w:pPr>
        <w:sectPr>
          <w:pgSz w:w="11900" w:h="16838" w:orient="portrait"/>
          <w:cols w:equalWidth="0" w:num="1">
            <w:col w:w="10468"/>
          </w:cols>
          <w:pgMar w:left="232" w:top="289" w:right="1199" w:bottom="1440" w:gutter="0" w:footer="0" w:header="0"/>
        </w:sectPr>
      </w:pP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468"/>
          </w:cols>
          <w:pgMar w:left="232" w:top="289" w:right="1199"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 RESULTS OF OPERATIONS AND FINANCIAL CONDITION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In Management's Discussion and Analysis we explain the general financial condition and the results of operations for Amdocs and its subsidiaries including:</w:t>
      </w:r>
    </w:p>
    <w:p>
      <w:pPr>
        <w:spacing w:after="0" w:line="174" w:lineRule="exact"/>
        <w:rPr>
          <w:sz w:val="20"/>
          <w:szCs w:val="20"/>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75"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nine months ended June 30, 1999 and 1998 and fiscal 1998, 1997 and 1996,</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5"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nine months ended June 30, 1999 and 1998 and fiscal 1998, 1997 and 1996,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you read Management's Discussion and Analysis, it may be helpful to refer to Amdocs' financial statements. In Management's Discussion and Analysis, we analyze and explain the nine months to nine months and annual changes in the specific line items in the consolidated statements of operations. Our analysis may be important to you in making decisions about your investment in Amdocs. Our analysis contains certain forward looking statements that involve risk and uncertainties. Our actual results could differ materially from the results reflected in these forward looking statements as they are subject to a variety of risk factors. See "Risk Factors" for more information. We disclaim any obligation to update our forward looking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a leading provider of customized software products and services to the telecommunications industry, primarily Customer Care and Billing Systems, or CC&amp;B Systems, for wireline, wireless and multiple-service or convergent network operators and service providers. We also supply Directory Sales and Publishing Systems, or Directory Systems, to publishers of both traditional printed yellow page and white page directories and Internet directories. Our products are mission-critical for a customer's operations. Due to the complexity of the process and the expertise required for system support, we also provide extensive customization, implementation, integration, ongoing support, system enhancement and maintenance, including an outsourcing offering.</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left="620" w:right="3159" w:hanging="181"/>
        <w:spacing w:after="0" w:line="274"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 of our products and related services, including license fees and customization, implementation and integration services, and</w:t>
      </w:r>
    </w:p>
    <w:p>
      <w:pPr>
        <w:spacing w:after="0" w:line="153" w:lineRule="exact"/>
        <w:rPr>
          <w:rFonts w:ascii="Courier New" w:cs="Courier New" w:eastAsia="Courier New" w:hAnsi="Courier New"/>
          <w:sz w:val="14"/>
          <w:szCs w:val="14"/>
          <w:color w:val="auto"/>
        </w:rPr>
      </w:pPr>
    </w:p>
    <w:p>
      <w:pPr>
        <w:ind w:left="620" w:right="3159" w:hanging="181"/>
        <w:spacing w:after="0" w:line="242"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maintenance, support, outsourcing and related services provided to our customers and, to a lesser degree, from incremental license fees resulting from increases in a customer's subscribers.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License revenue is recognized concurrently as work is performed, using percentage of completion accounting. Service revenue that involves significant ongoing obligations, including fees for customization, implementation and support services, is also recognized as work is performed, under the percentage of completion method. Revenue from ongoing support and outsourcing services is recognized as work is performed. Revenue from third party hardware and software sales is recognized upon delivery. Maintenance revenue is recognized ratably over the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term of the maintenance agreement. As a result of our percentage of completion accounting policy, our quarterly operating results may be significantly affected by the size and timing of customer projects and our progress in completing such projects.</w:t>
      </w:r>
    </w:p>
    <w:p>
      <w:pPr>
        <w:spacing w:after="0" w:line="175"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Since 1992, we have invested substantial resources to develop our information technology and to expand our range of products. As a result of significant information technology expenditures, we were able to offer a full range of integrated applications for our CC&amp;B Systems at the same time factors such as increased demand for services, deregulation, privatization and technological advancements began to transform the telecommunications industry.</w:t>
      </w:r>
    </w:p>
    <w:p>
      <w:pPr>
        <w:spacing w:after="0" w:line="161" w:lineRule="exact"/>
        <w:rPr>
          <w:sz w:val="20"/>
          <w:szCs w:val="20"/>
          <w:color w:val="auto"/>
        </w:rPr>
      </w:pPr>
    </w:p>
    <w:p>
      <w:pPr>
        <w:jc w:val="both"/>
        <w:ind w:left="620" w:right="3079" w:hanging="181"/>
        <w:spacing w:after="0" w:line="241"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fees from the sale of CC&amp;B Systems amounted to $325.4 million in the nine months ended June 30, 1999, representing 73.3% of our revenue for such period.</w:t>
      </w:r>
    </w:p>
    <w:p>
      <w:pPr>
        <w:spacing w:after="0" w:line="176" w:lineRule="exact"/>
        <w:rPr>
          <w:sz w:val="20"/>
          <w:szCs w:val="20"/>
          <w:color w:val="auto"/>
        </w:rPr>
      </w:pPr>
    </w:p>
    <w:p>
      <w:pPr>
        <w:jc w:val="both"/>
        <w:ind w:right="3339" w:firstLine="447"/>
        <w:spacing w:after="0" w:line="267" w:lineRule="auto"/>
        <w:rPr>
          <w:sz w:val="20"/>
          <w:szCs w:val="20"/>
          <w:color w:val="auto"/>
        </w:rPr>
      </w:pPr>
      <w:r>
        <w:rPr>
          <w:rFonts w:ascii="Courier New" w:cs="Courier New" w:eastAsia="Courier New" w:hAnsi="Courier New"/>
          <w:sz w:val="14"/>
          <w:szCs w:val="14"/>
          <w:color w:val="auto"/>
        </w:rPr>
        <w:t>We believe that the demand for CC&amp;B Systems will continue to increase as the size and complexity of the telecommunications industry increases and that CC&amp;B Systems will account for a larger share of our total revenue over time.</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the business of publishing traditional yellow page and white page directories is a mature business in the United States, it continues to be a significant source of revenue for us worldwide. We believe that we are a leading provider of Directory Systems in most of the markets we serve.</w:t>
      </w:r>
    </w:p>
    <w:p>
      <w:pPr>
        <w:spacing w:after="0" w:line="175" w:lineRule="exact"/>
        <w:rPr>
          <w:sz w:val="20"/>
          <w:szCs w:val="20"/>
          <w:color w:val="auto"/>
        </w:rPr>
      </w:pPr>
    </w:p>
    <w:p>
      <w:pPr>
        <w:ind w:left="620" w:right="3079" w:hanging="181"/>
        <w:spacing w:after="0" w:line="241"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 revenue from the sale of Directory Systems totaled $118.8 million in the nine months ended June 30, 1999, accounting for 26.7%, of our revenue for such period.</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believe that the demand for Directory Systems will be favorably impacted by a broader introduction of electronic directories. However, we anticipate that the relative contribution of license and service fees for Directory Systems to total revenue will decrease over time. We have also recently introduced a number of new products for Internet and electronic commerce applications. We anticipate that over the next several years products developed or to be developed for such applications will make a modest but increasing contribution to revenue.</w:t>
      </w:r>
    </w:p>
    <w:p>
      <w:pPr>
        <w:spacing w:after="0" w:line="164"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Our research and development activities involve the development of new software modules and product offerings in response to an identified market demand, usually in conjunction with a customer project. We also expend additional amounts on applied research and software development activities to keep abreast of new technologies in the telecommunications market. In the next several years, we intend to continue to make significant investments in our research and development activities.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June 7, 1999 we sold 2.0 million ordinary shares in a public offering at a price of $22.4375 per share. The total net proceeds to us, after deduction of issuance costs, amounted to $41.4 million. At the same time, some of our shareholders sold 18,426,000 ordinary shares, including the exercise by the underwriters of that offering of an over-allotment option on 426,000 ordinary shares held by those shareholders.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for the nine months ended June 30, 1999 and 1998 and for the years ended September 30, 1998, 1997 and 1996, certain items in our consolidated statements of operations reflected as a percentage of total revenue: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5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NINE MONTHS</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YEAR ENDED</w:t>
            </w: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5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JUNE 30,</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11.7%</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88.3</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89.4</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92.3</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100.0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100.0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0.9</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57.4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12.0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76.7</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90.7</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83.2</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23.3</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22.1</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principle, net................................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JUNE 30, 1999 AND 1998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the nine months ended June 30, 1999 was $444.1 million, an increase of $157.1 million, or 54.7%, compared to the nine months ended June 30, 1998, primarily due to the continuance of the growth in the demand for our CC&amp;B Systems solutions. License revenue increased from $29.7 million in the nine months ended June 30, 1998 to $52.0 million in the nine months ended June 30, 1999, an increase of 74.8%. Service revenue increased by $134.8 million, or 52.4%, in the nine months ended June 30, 1999, from $257.3 million in the nine months ended June 30, 1998 to $392.2 million in the nine months ended June 30, 1999. Total CC&amp;B Systems revenue for the nine months ended June 30, 1999 was $325.4 million, an increase of $153.4 million, or 89.2%, compared to the nine months ended June 30, 1998. Revenue from Directory Systems was $118.8 million for the nine months ended June 30, 1999, an increase of $3.7 million, or 3.2%, from the nine months ended June 30, 1998.</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the nine months ended June 30, 1999, revenue from customers in North America, Europe and the rest of the world accounted for 39.5%, 39.1% and 21.4%, respectively, compared to 54.3%, 23.4% and 22.3%, respectively, in the nine months ended June 30, 1998.</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the nine months ended June 30, 1999 was $4.1 million, a decrease of $4.5 million, or 52.4%, from cost of license for the nine months ended June 30, 1998. Cost of license includes amortization of purchased computer software and intellectual property rights.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the nine months ended June 30, 1999 was $254.7 million, an increase of $89.4 million, or 54.1%, compared to the cost of service of $165.3 million for the nine months ended June 30, 1998. As a percentage of revenue, cost of service remained stable at 57.4% in the nine months ended June 30, 1999 compared to 57.6% in the nine months ended June 30, 1998. The cost of service is predominantly related to salary and employee related expenses. The absolute increase in cost of service is consistent with the increase in revenue for the nine months ended June 30, 1999, and reflects increased employment levels required to support the continuing growth in revenue.</w:t>
      </w:r>
    </w:p>
    <w:p>
      <w:pPr>
        <w:spacing w:after="0" w:line="179"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RESEARCH AND DEVELOPMENT. Research and development expense is primarily comprised of compensation expense attributed to research and development activities, usually in conjunction with customer contracts. In the nine months ended June 30, 1999, research and development expense was $28.5 million, or 6.4% of revenue, compared with $18.1 million, or 6.3% of revenue, in the nine months ended June 30, 1998. The increase in research and development expense represents ongoing expenditures primarily for CC&amp;B Systems and also for Directory Systems.</w:t>
      </w:r>
    </w:p>
    <w:p>
      <w:pPr>
        <w:spacing w:after="0" w:line="164"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and increased by 46.7% to $53.3 million, or 12.0% of revenue, in the nine months ended June 30, 1999 from $36.4 million, or 12.6% of revenue, in the corresponding period of fiscal 1998.</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INCOME. Operating income in the nine months ended June 30, 1999 was $103.6 million, as compared with $58.8 million in the nine months ended June 30, 1998, an increase of 76.2%. Operating income was 23.3% of revenue for the nine months ended June 30, 1999 as compared to 20.5% for the nine months ended June 30, 1998, primarily due to an increase in license revenue and a decrease in cost of license.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consists primarily of interest expense. Interest expense in 1998 related primarily to senior bank debt and subordinated debt, which was substantially repaid from the proceeds of our initial public offering completed in June 1998. In the nine months ended June 30, 1999, other expense, net was $5.4 million, a decrease of $16.4 million from the nine months ended June 30, 1998. The decrease is primarily attributed to the reduction in bank debt during 1999.</w:t>
      </w:r>
    </w:p>
    <w:p>
      <w:pPr>
        <w:spacing w:after="0" w:line="175"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INCOME TAXES.</w:t>
      </w:r>
      <w:r>
        <w:rPr>
          <w:sz w:val="20"/>
          <w:szCs w:val="20"/>
          <w:color w:val="auto"/>
        </w:rPr>
        <w:tab/>
      </w:r>
      <w:r>
        <w:rPr>
          <w:rFonts w:ascii="Courier New" w:cs="Courier New" w:eastAsia="Courier New" w:hAnsi="Courier New"/>
          <w:sz w:val="14"/>
          <w:szCs w:val="14"/>
          <w:color w:val="auto"/>
        </w:rPr>
        <w:t>Income taxes in the nine months ended June 30, 1999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$29.4 million on income before taxes of $98.1 million. In the nine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1998 income taxes were $18.5 million on income before taxes of $37.0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See discussion below "-- Effective Tax Rate."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NET INCOME. Net income was $68.7 million in the nine months ended June 30, 1999 compared to $18.5 million for the nine months ended June 30, 1998. The increase was primarily the result of an increase in operating income and a decrease in interest expense and income taxes which also resulted in an increase in basic earnings per share from $0.13 in the nine months ended June 30, 1998 to $0.35 in the nine months ended June 30, 1999. Diluted earnings per share increased from $0.13 in the nine months ended June 30, 1998 to $0.34 in the nine months ended June 30, 1999.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1998 AND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the year ended September 30, 1998 was $403.8 million, an increase of $113.7 million, or 39.2%, compared to the prior year. License revenue increased from $26.0 million in fiscal 1997 to $42.9 million in fiscal 1998, an increase of 65.0%, and service revenue increased 36.6%, or $96.8 million, in fiscal 1998. Total CC&amp;B Systems revenue for the year ended September 30, 1998 was $251.8 million, an increase of $85.5 million, or 51.4%, compared to the prior fiscal year. Revenue attributable to Directory Systems was $151.9 million for the year ended September 30, 1998, an increase of $28.2 million, or 22.8%, from fiscal 1997. The growth in</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revenue is attributable to sales to new customers as well as sales of additional products and services to existing customers.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In fiscal 1998, revenue from customers in North America, Europe and the rest of the world accounted for 52.2%, 27.2% and 20.6%, respectively, compared to 63.8%, 11.3% and 24.9%, respectively, in fiscal 1997.</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fiscal 1998 was $10.7 million, an increase of $7.0 million, or 189.2%, from cost of license for fiscal 1997. Cost of license in fiscal 1998 includes amortization of purchased computer software and intellectual property rights, and in fiscal 1997 included royalty expense paid to some subsidiaries of SBC in connection with the grant to us of licenses to use certain software jointly developed with those subsidiaries.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fiscal 1998 was $231.4 million, an increase of $57.7 million, or 33.2%, from cost of service of $173.7 million for fiscal 1997. As a percentage of revenue, cost of service decreased to 57.3% in fiscal 1998 from 59.9% in fiscal 1997. The absolute increase in cost of service is consistent with the increase in revenue for the period, as these costs are predominately for compensation and reflect increased employment levels needed to support the growth in revenue.</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RESEARCH AND DEVELOPMENT. Research and development expense is primarily comprised of compensation expense for employees engaged in research and development activities, usually in conjunction with customer contracts. In fiscal 1998, research and development expense was $25.6 million, or 6.3% of revenue, compared with $17.4 million, or 6.0% of revenue, in fiscal 1997. The increase in research and development expense in fiscal 1998 represents ongoing expenditures for both CC&amp;B Systems and Directory Systems.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Compensation is the largest component of selling, general and administrative expense. Selling, general and administrative expense increased by 25.5% to $51.2 million, in fiscal 1998 from $40.8 million in the prior fiscal year. However, selling, general and administrative expense as a percentage of revenue decreased from 14.0% of revenue in fiscal 1997 to 12.7% of revenue in fiscal 1998.</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OPERATING INCOME. Operating income in fiscal 1998 was $84.9 million, as compared with $54.5 million in fiscal 1997, excluding the effect of the nonrecurring charges in that fiscal year, an increase of 55.8%. As a percentage of revenue, operating income was 21.0% in fiscal 1998 compared to 18.8% in fiscal 1997, excluding the effect of the nonrecurring charges in fiscal 1997.</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senior bank debt and subordinated debt, which debt was substantially repaid from the proceeds of our initial public offering. In fiscal 1998, such interest expense was $24.1 million, an increase of $20.8 million from fiscal 1997.</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INCOME TAXES. Income taxes in fiscal 1998 were $30.4 million on income before taxes of $60.8 million. In the prior year, income taxes were $17.8 million on income before taxes of $23.7 million. Our consolidated effective tax rate for fiscal 1998 was 50%, due to significant interest expense in a tax jurisdiction in which we are tax exempt, which resulted in no tax benefit to offset the tax expense incurred in other jurisdictions. In fiscal 1997, we sustained a loss in a tax jurisdiction in which we are tax exempt, which resulted in no tax benefit to offset tax expense incurred in other jurisdictions.</w:t>
      </w:r>
    </w:p>
    <w:p>
      <w:pPr>
        <w:spacing w:after="0" w:line="176" w:lineRule="exact"/>
        <w:rPr>
          <w:sz w:val="20"/>
          <w:szCs w:val="20"/>
          <w:color w:val="auto"/>
        </w:rPr>
      </w:pPr>
    </w:p>
    <w:p>
      <w:pPr>
        <w:ind w:left="440"/>
        <w:spacing w:after="0"/>
        <w:tabs>
          <w:tab w:leader="none" w:pos="158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4"/>
          <w:szCs w:val="14"/>
          <w:color w:val="auto"/>
        </w:rPr>
        <w:t>Our net income was $30.1 million in fiscal 1998 compared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of $5.9 million in fiscal 1997. The increase was primarily the result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 increase in operating income. In addition, in fiscal 1998 we incurred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$24.1 million in interest expense related to outstanding debt; while in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we had a nonrecurring charge of $27.6 million.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1997 AND 1996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fiscal 1997 was $290.1 million, an increase of $78.4 million, or 37.0%, from fiscal 1996. License revenue increased from $16.3 million in fiscal 1996 to $26.0 million in fiscal 1997, an increase of 59.5%, and service revenue increased 35.1% or $68.7 million in fiscal 1997. The majority of the increase in total revenue was due to the expansion of the CC&amp;B Systems business. Total CC&amp;B Systems revenue for fiscal 1997 was $166.3 million, an increase of $63.9 million, or 62.3%, from the prior year. Revenue attributable to Directory Systems was $123.8 million for fiscal 1997, an increase of $14.5 million, or 13.3%, from fiscal 1996.</w:t>
      </w:r>
    </w:p>
    <w:p>
      <w:pPr>
        <w:spacing w:after="0" w:line="17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fiscal 1997, revenue from customers in North America, Europe and the rest of the world accounted for 63.8%, 11.3% and 24.9% respectively, compared to 67.5%, 14.5% and 18.0%, respectively, in fiscal 1996.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fiscal 1997 was $3.7 million, a decrease of $0.3 million, or 7.5%, from fiscal 1996 cost of license of $4.0 million. The decrease was due to the acquisition of certain software rights from several operating subsidiaries of SBC, which eliminated the requirement to pay royalties.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fiscal 1997 was $173.7 million, an increase of $44.5 million, or 34.4%, from fiscal 1996 cost of service of $129.2 million. As a percentage of revenue, cost of service decreased to 59.9% in fiscal 1997 from 61.0% in fiscal 1996. The absolute increase in cost of service was consistent with the increase in revenue for the period, and reflected increased compensation attributable to higher employment levels needed to support the growth in revenue.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RESEARCH AND DEVELOPMENT. In fiscal 1997, research and development expense was $17.4 million, or 6.0% of revenue, compared with $14.7 million, or 6.9% of revenue, in fiscal 1996. The absolute increase in research and development expense in fiscal 1997 represented ongoing expenditures for both CC&amp;B Systems and Directory Systems, while the decrease as a percentage of revenue was attributable to the overall increase in revenue for the period.</w:t>
      </w:r>
    </w:p>
    <w:p>
      <w:pPr>
        <w:spacing w:after="0" w:line="174" w:lineRule="exact"/>
        <w:rPr>
          <w:sz w:val="20"/>
          <w:szCs w:val="20"/>
          <w:color w:val="auto"/>
        </w:rPr>
      </w:pPr>
    </w:p>
    <w:p>
      <w:pPr>
        <w:ind w:left="440"/>
        <w:spacing w:after="0"/>
        <w:tabs>
          <w:tab w:leader="none" w:pos="3820" w:val="left"/>
        </w:tabs>
        <w:rPr>
          <w:sz w:val="20"/>
          <w:szCs w:val="20"/>
          <w:color w:val="auto"/>
        </w:rPr>
      </w:pPr>
      <w:r>
        <w:rPr>
          <w:rFonts w:ascii="Courier New" w:cs="Courier New" w:eastAsia="Courier New" w:hAnsi="Courier New"/>
          <w:sz w:val="15"/>
          <w:szCs w:val="15"/>
          <w:color w:val="auto"/>
        </w:rPr>
        <w:t>SELLING, GENERAL AND ADMINISTRATIVE.</w:t>
      </w:r>
      <w:r>
        <w:rPr>
          <w:sz w:val="20"/>
          <w:szCs w:val="20"/>
          <w:color w:val="auto"/>
        </w:rPr>
        <w:tab/>
      </w:r>
      <w:r>
        <w:rPr>
          <w:rFonts w:ascii="Courier New" w:cs="Courier New" w:eastAsia="Courier New" w:hAnsi="Courier New"/>
          <w:sz w:val="14"/>
          <w:szCs w:val="14"/>
          <w:color w:val="auto"/>
        </w:rPr>
        <w:t>Selling, general and administrative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increased to $40.8 million, or 14.0% of revenue, in fiscal 1997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$28.3 million, or 13.4% of revenue, in the prior year, an increase of 43.8%.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was primarily attributable to increased marketing efforts for our CC&amp;B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NONRECURRING CHARGES. In the fourth quarter of fiscal 1997, we recorded nonrecurring charges of $27.6 million. Of such amount, $1.8 million was due to the write-off of in-process research and development for technology related to certain software rights (which rights include the termination of related future royalty payment obligations) acquired from several operating subsidiaries of SBC and the balance, $25.8 million, was attributable to the funding of a contribution to a trust for the benefit of certain officers and employees. See "Management -- Employee Trust Agreement".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INCOME. As a result of the $27.6 million of nonrecurring charges recognized in fiscal 1997, operating income in fiscal 1997 was $27.0 million, as compared with $35.5 million in fiscal 1996. As a percentage of revenue, operating income was 9.3% in fiscal 1997 as compared to 16.8% in fiscal 1996. Excluding the effect of the nonrecurring charges, operating income would have been $54.5 million in fiscal 1997, or 18.8% of revenue, an increase of $19.0 million, or 53.4%, between fiscal 1997 and 1996. The increase in operating income as a percentage of revenue (excluding the effect of the nonrecurring charges) was primarily attributable to increased license revenue.</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OTHER EXPENSE, NET. Other expense, net was an expense of $0.5 million in fiscal 1996 and an expense of $3.3 million in fiscal 1997. The increase in fiscal 1997 was attributable to the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settlement of the claims of various taxing authorities for additional taxes for years prior to such fiscal year. Approximately $3.0 million of expense was included in fiscal 1997 for interest on the tax assessments.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INCOME TAXES. Income taxes in fiscal 1997 were $17.8 million on income before taxes of $23.7 million. In fiscal 1996, income taxes were $10.5 million on income before taxes of $35.0 million. In fiscal 1997, we paid income taxes for the operations of our subsidiaries, principally in the United States, the United Kingdom and Israel, and recorded a loss in Guernsey, a jurisdiction in which we are tax-exempt.</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NET INCOME. We had net income of $5.9 million in fiscal 1997 compared with net income of $24.5 million in fiscal 1996, primarily as a result of the $27.6 million for the nonrecurring charges incurred in fiscal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FINANCING TRANSACTIONS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have primarily financed our operations through cash generated from operations, borrowings from banks and other lenders and two public offerings of our ordinary shares. Cash and cash equivalents totaled $71.1 million as of June 30, 1999 compared to $25.4 million as of September 30, 1998. Net cash provided by operating activities amounted to $102.8 million and $51.4 million for the nine months ended June 30, 1999 and 1998, respectively. The increase in cash and cash equivalents at June 30, 1999 is attributed primarily to the proceeds of an offering of our ordinary shares completed in June 1999. A significant portion of our cash flow from operations during the nine months ended June 30, 1999 was used to repay bank debt, which totalled $26.6 million as of June 30 1999.</w:t>
      </w:r>
    </w:p>
    <w:p>
      <w:pPr>
        <w:spacing w:after="0" w:line="167"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We currently intend to retain our earnings to support the further expansion of our business and to repay our outstanding loans. The terms of our bank agreement effectively restrict our ability to pay cash dividends.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June 30, 1999, we had short-term lines of credit totaling $152.0 million from various banks or bank groups, of which $26.6 million was outstanding. As of that date, we had also utilized approximately $13.1 million of our revolving credit facility to support outstanding letters of credit. As of June 30, 1999, we had positive working capital of $15.3 million as compared to negative working capital of $84.3 million as of September 30, 1998. The increase in working capital is attributed to cash generated from operating activities and to the proceeds of our offering in June 1999. We believe that current cash balances, cash generated from operations and our current lines of credit will provide sufficient resources to meet our needs in the near future.</w:t>
      </w:r>
    </w:p>
    <w:p>
      <w:pPr>
        <w:spacing w:after="0" w:line="179"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As of June 30, 1999, we had long-term obligations outstanding of $17.1 million in connection with leasing arrangements.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Currently, our capital expenditures are funded primarily by operating cash flows and capital leasing arrangements. We do not anticipate any change to this policy in the foreseeable future.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DEFERRED TAX ASSETS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Based on our assessment, it is more likely than not that all the net deferred tax assets at June 30, 1999 will be realized through future taxable earnings. No significant increase in future taxable earnings would be required to fully realize the net deferred tax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OUR STATE OF READINESS. We have identified the information technology, or IT, and non-IT systems, software and products, which could be affected by year 2000 issues, and have</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assessed the efforts required to remediate or replace them. We have also identified versions of our products that will not be made compliant and are assisting customers in upgrading or migrating to year 2000 compliant versions. By the end of 1999, it is our intention that all of the major or key systems, software and products will be remediated or replaced.</w:t>
      </w:r>
    </w:p>
    <w:p>
      <w:pPr>
        <w:spacing w:after="0" w:line="175"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began evaluating year 2000 compliance issues in mid-1996. Since then the following functions have been performed:</w:t>
      </w:r>
    </w:p>
    <w:p>
      <w:pPr>
        <w:spacing w:after="0" w:line="174" w:lineRule="exact"/>
        <w:rPr>
          <w:sz w:val="20"/>
          <w:szCs w:val="20"/>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thorough examination and study of year 2000 compliance status;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a work plan;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solution alternatives;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our technical and business year 2000 policies.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recent years, new systems have been developed as year 2000 compliant and older generations of applications are being made year 2000 compliant in cooperation with our customers (using Amdocs year 2000 methodology and tool kit). None of these systems need mass data conversion, which is usually the most sensitive portion of the year 2000 migration. Recognizing the importance of year 2000 support in the IT industry and to provide an additional level of assurance to our customers, we have decided to conduct a thorough and systematic verification process. This effort is based on the application of industry-wide standards for year 2000 compliance. This verification process utilizes a specialized tool kit developed by us including a powerful search utility. For many customers we offer to conduct the verification process, since the ultimate verification for year 2000 compliance should be executed in their own working environment.</w:t>
      </w:r>
    </w:p>
    <w:p>
      <w:pPr>
        <w:spacing w:after="0" w:line="181"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We anticipate completing the majority of the testing, implementation of changes and necessary refinements by the fourth quarter of calendar year 1999 and to continue extensive testing through the end of calendar year 1999. We expect that systems, software and products for which we have responsibility currently are year 2000 compliant or will be compliant on a timely basis. We are not aware of any year 2000 issues with our customers that cannot be remedied.</w:t>
      </w:r>
    </w:p>
    <w:p>
      <w:pPr>
        <w:spacing w:after="0" w:line="16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contacted all of our customers, and several of our vendors and other third parties with which we have relationships to identify potential year 2000 issues. These communications are also used to clarify which year 2000 issues are our responsibility and which are the responsibility of the third party. We do not anticipate that our third party year 2000 issues will be different than those encountered by other providers of information services, including our competitors. At this time, we are not aware of any year 2000 issues or problems relating to third parties with which we have a material relationship.</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With respect to our internal IT systems (including IT-based office facilities such as data and voice communications, building management and security systems, human resources and recruitment systems, purchasing, invoicing, finance and budget systems, general ledger and other administrative systems), both third party software and in-house developments, we have adopted standard industry practices, as published by the British Standards Institute, and methodologies suggested by the Gartner Group (INSPCT), in preparing for the year 2000 date change. Our year 2000 internal readiness program primarily covers:</w:t>
      </w:r>
    </w:p>
    <w:p>
      <w:pPr>
        <w:spacing w:after="0" w:line="176" w:lineRule="exact"/>
        <w:rPr>
          <w:sz w:val="20"/>
          <w:szCs w:val="20"/>
          <w:color w:val="auto"/>
        </w:rPr>
      </w:pPr>
    </w:p>
    <w:p>
      <w:pPr>
        <w:ind w:left="620" w:hanging="181"/>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inventory of hardware, software and embedded systems;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assessing business risks associated with such systems;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creating action plans to address known risks;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executing and monitoring action plans;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contingency planning.</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do not believe that we will incur any material cost or experience material disruptions in our business associated with preparing our internal systems for the year 2000, there can be no assurance that we will not experience serious unanticipated negative consequences and/or material costs caused by undetected errors or defects in the technology used in our internal systems, which are composed of third party software, third party hardware that contains embedded software and our own software products. We are in the process of implementing action plans for the remediation of high-risk areas and we are scheduled to implement remediation plans for medium to low risk areas during the remainder of fiscal 1999. We expect our contingency plans to include, among other things, manual "work-arounds" for software and hardware failure, as well as substitution of systems, if necessary.</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COSTS TO ADDRESS OUR YEAR 2000 ISSUES. A significant portion of our year 2000 compliance efforts have occurred or are occurring in connection with system upgrades or replacements that were otherwise planned (but perhaps accelerated due to the year 2000 issue) or which have significant improvements and benefits unrelated to year 2000 issues. The remainder of the costs that are incremental and directly related to year 2000 issues are not expected to be material to our financial position or results of operations.</w:t>
      </w:r>
    </w:p>
    <w:p>
      <w:pPr>
        <w:spacing w:after="0" w:line="177"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As of June 30, 1999, we have accrued approximately $1.0 million representing the estimated remaining costs to modify previously sold customized software products. We do not anticipate capitalizing any of these costs as they relate to warranties related to products developed for customers.</w:t>
      </w:r>
    </w:p>
    <w:p>
      <w:pPr>
        <w:spacing w:after="0" w:line="16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CONTINGENCY PLANS. Detailed contingency plans are nearly complete and will be refined as appropriate. Those plans will focus on matters which appear to be our most likely year 2000 risks, such as possible additional customer support efforts by us that would be necessary if customers or vendors are not year 2000 compliant, or if a year 2000 issue should not be timely detected in our own compliance efforts. See "Risk Factors" for more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MONETARY UNION CURRENCY</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European Monetary Union currency, or the euro, will be phased in over the three-year period that commenced on January 1, 1999, when participating European countries began using the euro currency for non-cash transactions. We intend to offer software products that are capable of handling the euro currency and converting from local currencies to the euro. There can be no assurance that our software or software provided to our customers by other vendors will ensure an errorless transition to the euro currency. At June 30, 1999, we have accrued approximately $1.6 million representing estimated remaining costs to modify our software products to accept the euro currency under existing agreements with customers relating to previously sold products. We do not currently anticipate recovering these expenditures from our customers, as they relate to warranty agreements. There can be no assurance that such costs will not significantly exceed such estimate, in which case such costs could have a material effect on our results of operations and financial condition.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overall effective tax rate has historically been approximately 30% due to the various corporate income tax rates in the countries in which we operate and the relative magnitude of our business in those countries. Our consolidated effective tax rate for the nine months ended June 30, 1999 was 30% compared to 50% in the prior period. The consolidated effective tax rate of 50% for 1998 was due to significant interest expense in a tax jurisdiction in which we are tax exempt, which resulted in no tax benefit to offset the tax expense incurred in other jurisdictions.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Approximately 80% of our revenue is in dollars or linked to the dollar and therefore the dollar is our functional currency. Approximately 60% of our operating expenses are paid in dollars or are linked to dollars. Other significant currencies in which we receive revenue or pay expenses are Australian dollars, British pounds, Canadian dollars, the euro and Israeli shekels. Historically, the effect of fluctuations in currency exchange rates has had a minimal impact on our operations. As we expand our operations outside of the United States, our exposure to fluctuations in currency exchange rates could increase. In managing our foreign exchange risk, we enter from time to time into various foreign exchange contracts. As of June 30, 1999, we had hedged most of our significant exposures in currencies other than the dollar.</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RISK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enter into foreign exchange forward contracts to hedge some of our foreign currency exposure. We use such contracts to hedge exposure to changes in foreign currency exchange rates associated with revenue denominated in a foreign currency and anticipated costs to be incurred in a foreign currency. We seek to minimize the risk that the fair value of sales of our products and services and cash flow required for our expenses denominated in a currency other than our functional currency, the dollar, will be affected by changes in exchange rates. See Note 18 to our consolidated financial statements.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summarizes our foreign currency forward exchange agreements as of September 30, 1998. The table presents the notional amounts (dollars in millions), weighted average exchange rates by expected (contractual) maturity dates, and fair value of the total derivative instruments. Notional values and average contract rates are calculated based on forward rates as of September 30, 1998 dollar translated.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AS OF SEPTEMBER 30,</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4"/>
                <w:szCs w:val="4"/>
                <w:color w:val="auto"/>
                <w:w w:val="77"/>
              </w:rPr>
              <w:t>----------------------------------------</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FV OF</w:t>
            </w:r>
          </w:p>
        </w:tc>
      </w:t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1999</w:t>
            </w:r>
          </w:p>
        </w:tc>
        <w:tc>
          <w:tcPr>
            <w:tcW w:w="22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2000</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2002</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AFTER</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FORWARDS</w:t>
            </w:r>
          </w:p>
        </w:tc>
      </w:t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sell foreign</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British Pounds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(1.60)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Austrian Schillings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(0.50)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11.64</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11.52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Canadian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2"/>
              </w:rPr>
              <w:t>133.80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buy foreign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Australian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15.60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$5.50</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(3.10)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0.60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0.59</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Israeli Shekels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80.40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3.94</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$100,000.</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interest expenses are most sensitive to changes in the London InterBank Offered Rate, or LIBOR, as all of our short-term borrowings bear a LIBOR-based interest rate. Excess liquidity invested in short-term investments bears minimal interest rate risk.</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September 30, 1998, we had approximately $91.6 million outstanding on our revolving line of credit and short-term credit agreements and $12.2 million recorded as long-term lease obligations. The potential loss to us over one year that would result from a hypothetical, instantaneous, and unfavorable change of 100 basis points in the interest rates of all applicable financial assets and liabilities on September 30, 1998 would be approximately $1.0 million. This sensitivity analysis is based on the assumption of an unfavorable 100 basis point movement of the interest rates applicable to each homogenous category of financial assets and liabilities and sustained over a period of one year. A homogenous category is defined according to the currency in which financial assets and liabilities are denominated and assumes the same interest rate movement within each homogenous category. As a result, our interest rate risk sensitivity model may overstate the impact of interest rate fluctuations for such financial instruments, as consistently unfavorable movements of all interest rates are unlikely. As of June 30, 1999, our outstanding debt under our lines of credit was reduced from $91.6 million to $26.6 million. See Note 8 to our consolidated annual financial statements for additional discussion regarding the Company's short-term financing arrangements.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3, 1999, we entered into an agreement with ITDS pursuant to which we will acquire all of the outstanding shares of ITDS in a stock-for-stock merger transaction which we will account for under the purchase method of accounting. In the merger, each ITDS common share will be exchanged for a number of our ordinary shares equal to $10.50 divided by the ten-day average closing price of our ordinary shares immediately prior to the completion of the merger, subject to a maximum exchange ratio of 0.4603 and to a minimum exchange ratio of 0.3717. Based on the closing price of our ordinary shares on September 3, 1999 of $27.50, the exchange ratio in the agreement provides that we will issue to ITDS shareholders approximately 6.6 million ordinary shares and will grant to current ITDS optionholders 1.2 million options for ordinary shares in connection with the consummation of the merger. Closing of the merger is subject to the approval of ITDS' shareholders, regulatory approvals, as well as certain other customary closing conditions.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ITDS is a leading provider of billing and customer care service bureau solutions to providers of wireless telecommunications services. ITDS' revenue and net loss for its fiscal year ended December 31, 1998 were $115.5 million and $3.9 million, respectively. For the six months ended June 30, 1999, ITDS' revenue and net income were $68.6 million and $8.7 million, respectively. See "Unaudited Pro Forma Condensed Combined Financials Statements" and ITDS' detailed consolidated financial statements included elsewhere in this prospectus.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UNAUDITED PRO FORMA CONDENSED COMBINED FINANCIAL STATEMENTS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unaudited pro forma condensed combined balance sheet as of June 30, 1999 gives effect to the acquisition of ITDS (the "Acquisition") as if it had occurred on that date. The unaudited pro forma condensed combined statements of operations for the year ended September 30, 1998 and the nine months ended June 30, 1999 give effect to the Acquisition as if it had occurred on October 1,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unaudited pro forma condensed combined financial statements are based upon, and should be read in conjunction with, our historical audited and unaudited financial statements for the year and nine months ended September 30, 1998 and June 30, 1999, respectively, and the historical audited and unaudited financial statements of ITDS for the year and six months ended December 31, 1998 and June 30, 1999, respectively.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Acquisition, we anticipate issuing approximately 6.6 million ordinary shares and 1.2 million options on ordinary shares, which, based on the closing price of our ordinary shares on September 3, 1999 of $27.50, together with estimated transaction costs, would aggregate to an estimated total purchase price of approximately $193.5 million. The actual number of our ordinary shares issued in connection with the Acquisition is based on the exchange ratio mechanism stated in the Acquisition Agreement.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will account for the Acquisition under the purchase method of accounting. The estimated total purchase price will be allocated to ITDS' assets and liabilities based on their respective estimated fair values on the date of the Acquisition. The excess of the purchase price over the fair value of the net tangible assets will be allocated to identifiable intangible assets, including intellectual property and in process research and development costs, and the remainder to goodwill. The estimated fair values, as presented in the unaudited pro forma condensed combined financial statements, are preliminary in nature and may not be indicative of the final purchase price allocation. A final determination of purchase accounting adjustments will be made following the completion of an independent evaluation to determine the fair value of certain of its assets and liabilities, including intangible assets. Any amounts that may be allocable to in process research and development costs would be recorded as a one-time charge immediately following the consummation of the Acquisition. See Note 2 of the unaudited pro forma condensed combined financial statements for a discussion of the changes to earnings that may occur as a result of the final allocation of purchase price.</w:t>
      </w:r>
    </w:p>
    <w:p>
      <w:pPr>
        <w:spacing w:after="0" w:line="18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unaudited pro forma condensed combined financial statements and notes thereto contain forward-looking statements that involve risks and uncertainties. Assuming completion of the Acquisition, our actual financial position and results of operations will differ, perhaps significantly, from the pro forma amounts reflected here because of a variety of factors, including access to additional information, changes in value not currently identified and changes in operating results between the dates of the pro forma financial data and the date on which the merger takes place.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UNAUDITED PRO FORMA CONDENSED COMBINED BALANCE SHEET AS OF JUNE 30, 1999</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AMDOCS</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ITDS</w:t>
            </w:r>
          </w:p>
        </w:tc>
        <w:tc>
          <w:tcPr>
            <w:tcW w:w="14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HISTORICAL</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ADJUSTMENTS</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$ 71,078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$ 39,617</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$110,695</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Accounts receivable........................</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154,101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36,034</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190,135</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16,894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884</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17,778</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Prepaid and other assets...................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20,613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4,611</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25,224</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262,686</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81,146</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343,832</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Fixed assets, net..........................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70,704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8,694</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79,398</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Goodwill...................................</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46,526</w:t>
            </w:r>
          </w:p>
        </w:tc>
        <w:tc>
          <w:tcPr>
            <w:tcW w:w="3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(46,526)(1)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97,917</w:t>
            </w:r>
          </w:p>
        </w:tc>
      </w:tr>
      <w:tr>
        <w:trPr>
          <w:trHeight w:val="172"/>
        </w:trPr>
        <w:tc>
          <w:tcPr>
            <w:tcW w:w="3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97,917(2)</w:t>
            </w:r>
          </w:p>
        </w:tc>
        <w:tc>
          <w:tcPr>
            <w:tcW w:w="88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5,614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2,779</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8,393</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21,397</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23,120</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44,517</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26,381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2,276</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28,657</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$386,782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$164,541</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$ 51,391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$602,714</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Accounts payable and accruals..............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$ 99,053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$ 16,895</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8,000(3)</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$123,948</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Short-term financing arrangements..........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26,561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26,561</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Short-term portion of lease obligations....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4,459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4,479</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revenue...........................</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92,744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4,489</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97,233</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Taxes payable and deferred taxes...........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23,077</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23,104</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current liabilities..................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1,488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980</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2,468</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247,382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22,411</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8,000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277,793</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portion of lease obligations.....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12,649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12,670</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30,479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30,479</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290,510</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22,432</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8,000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320,942</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Shareholders' equity.......................</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96,272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142,109</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(142,109)(4)</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281,772</w:t>
            </w:r>
          </w:p>
        </w:tc>
      </w:tr>
      <w:tr>
        <w:trPr>
          <w:trHeight w:val="172"/>
        </w:trPr>
        <w:tc>
          <w:tcPr>
            <w:tcW w:w="3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185,500(5)</w:t>
            </w:r>
          </w:p>
        </w:tc>
        <w:tc>
          <w:tcPr>
            <w:tcW w:w="88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Total liabilities and</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shareholders' equity...........</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$386,782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$164,541</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$ 51,391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$602,714</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jc w:val="center"/>
        <w:ind w:right="3099"/>
        <w:spacing w:after="0" w:line="242" w:lineRule="auto"/>
        <w:rPr>
          <w:sz w:val="20"/>
          <w:szCs w:val="20"/>
          <w:color w:val="auto"/>
        </w:rPr>
      </w:pPr>
      <w:r>
        <w:rPr>
          <w:rFonts w:ascii="Courier New" w:cs="Courier New" w:eastAsia="Courier New" w:hAnsi="Courier New"/>
          <w:sz w:val="15"/>
          <w:szCs w:val="15"/>
          <w:color w:val="auto"/>
        </w:rPr>
        <w:t>See notes to Unaudited Pro Forma Condensed Combined Financial Statements for discussion of pro forma adjustments. 33</w:t>
      </w:r>
    </w:p>
    <w:p>
      <w:pPr>
        <w:sectPr>
          <w:pgSz w:w="11900" w:h="16838" w:orient="portrait"/>
          <w:cols w:equalWidth="0" w:num="1">
            <w:col w:w="10219"/>
          </w:cols>
          <w:pgMar w:left="240" w:top="289" w:right="1440" w:bottom="1440" w:gutter="0" w:footer="0" w:header="0"/>
        </w:sectPr>
      </w:pPr>
    </w:p>
    <w:bookmarkStart w:id="33" w:name="page34"/>
    <w:bookmarkEnd w:id="33"/>
    <w:p>
      <w:pPr>
        <w:ind w:left="268"/>
        <w:spacing w:after="0"/>
        <w:rPr>
          <w:sz w:val="20"/>
          <w:szCs w:val="20"/>
          <w:color w:val="auto"/>
        </w:rPr>
      </w:pPr>
      <w:r>
        <w:rPr>
          <w:rFonts w:ascii="Courier New" w:cs="Courier New" w:eastAsia="Courier New" w:hAnsi="Courier New"/>
          <w:sz w:val="15"/>
          <w:szCs w:val="15"/>
          <w:color w:val="auto"/>
        </w:rPr>
        <w:t>34</w:t>
      </w:r>
    </w:p>
    <w:p>
      <w:pPr>
        <w:spacing w:after="0" w:line="176" w:lineRule="exact"/>
        <w:rPr>
          <w:sz w:val="20"/>
          <w:szCs w:val="20"/>
          <w:color w:val="auto"/>
        </w:rPr>
      </w:pPr>
    </w:p>
    <w:p>
      <w:pPr>
        <w:jc w:val="center"/>
        <w:ind w:right="3171"/>
        <w:spacing w:after="0" w:line="241" w:lineRule="auto"/>
        <w:rPr>
          <w:sz w:val="20"/>
          <w:szCs w:val="20"/>
          <w:color w:val="auto"/>
        </w:rPr>
      </w:pPr>
      <w:r>
        <w:rPr>
          <w:rFonts w:ascii="Courier New" w:cs="Courier New" w:eastAsia="Courier New" w:hAnsi="Courier New"/>
          <w:sz w:val="15"/>
          <w:szCs w:val="15"/>
          <w:color w:val="auto"/>
        </w:rPr>
        <w:t>UNAUDITED PRO FORMA CONDENSED COMBINED STATEMENTS OF OPERATIONS FOR THE YEAR ENDED SEPTEMBER 30, 1998 (IN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AMDOCS</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ITDS</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PRO FORMA</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HISTORICAL</w:t>
            </w:r>
          </w:p>
        </w:tc>
        <w:tc>
          <w:tcPr>
            <w:tcW w:w="15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HISTORICAL(*)</w:t>
            </w: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ADJUSTMENTS</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$403,767</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$115,460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$519,227</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242,092</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47,465</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289,557</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Research and development costs...............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25,612</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21,679</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47,291</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costs....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51,168</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23,808</w:t>
            </w:r>
          </w:p>
        </w:tc>
        <w:tc>
          <w:tcPr>
            <w:tcW w:w="4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3,518(6)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78,494</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Personnel &amp; indirect acquisition costs(7)....</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4,713</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4,713</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 process research and development(7).......</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20,800</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20,800</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318,872</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118,465</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440,855</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Operating income(loss).......................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84,895</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(3,005)</w:t>
            </w:r>
          </w:p>
        </w:tc>
        <w:tc>
          <w:tcPr>
            <w:tcW w:w="46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(3,518)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78,372</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Finance and other expense, net...............</w:t>
            </w:r>
          </w:p>
        </w:tc>
        <w:tc>
          <w:tcPr>
            <w:tcW w:w="28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(24,126)</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(1,190)</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(25,316)</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(benefit)..</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60,769</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(4,195)</w:t>
            </w:r>
          </w:p>
        </w:tc>
        <w:tc>
          <w:tcPr>
            <w:tcW w:w="46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(3,518)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53,056</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30,385</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(1,095)</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29,290</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income (loss) before changes in</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accounting principle and extraordinary</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30,384</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(3,100)</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(3,518)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23,766</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Changes in accounting principle and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277</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826</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1,103</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$ 30,107</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(3,926)</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$(3,518)</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$ 22,663</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0.19</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0.14</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0.19</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0.14</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earnings per</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158,528</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165,128</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Shares used in computing diluted earnings per</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159,442</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166,097</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448" w:right="3159" w:hanging="448"/>
        <w:spacing w:after="0"/>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ITDS historical statement of operations reflects the fiscal year ended December 31, 1998.</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See notes to Unaudited Pro Forma Condensed Combined Financial Statements for discussion of adjustments. 34</w:t>
      </w:r>
    </w:p>
    <w:p>
      <w:pPr>
        <w:sectPr>
          <w:pgSz w:w="11900" w:h="16838" w:orient="portrait"/>
          <w:cols w:equalWidth="0" w:num="1">
            <w:col w:w="10227"/>
          </w:cols>
          <w:pgMar w:left="232" w:top="289"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176" w:lineRule="exact"/>
        <w:rPr>
          <w:sz w:val="20"/>
          <w:szCs w:val="20"/>
          <w:color w:val="auto"/>
        </w:rPr>
      </w:pPr>
    </w:p>
    <w:p>
      <w:pPr>
        <w:jc w:val="center"/>
        <w:ind w:right="3179"/>
        <w:spacing w:after="0" w:line="241" w:lineRule="auto"/>
        <w:rPr>
          <w:sz w:val="20"/>
          <w:szCs w:val="20"/>
          <w:color w:val="auto"/>
        </w:rPr>
      </w:pPr>
      <w:r>
        <w:rPr>
          <w:rFonts w:ascii="Courier New" w:cs="Courier New" w:eastAsia="Courier New" w:hAnsi="Courier New"/>
          <w:sz w:val="15"/>
          <w:szCs w:val="15"/>
          <w:color w:val="auto"/>
        </w:rPr>
        <w:t>UNAUDITED PRO FORMA CONDENSED COMBINED STATEMENTS OF OPERATIONS FOR THE NINE MONTHS ENDED JUNE 30, 1999 (IN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AMDOCS</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ITDS</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PRO FORMA</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HISTORICAL</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HISTORICAL</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ADJUSTMENTS</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Revenue....................................</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$444,139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$101,885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$546,024</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Cost of sales..............................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258,711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41,531</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300,242</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Research and development costs.............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28,524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20,756</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49,280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53,336</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19,521</w:t>
            </w:r>
          </w:p>
        </w:tc>
        <w:tc>
          <w:tcPr>
            <w:tcW w:w="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2,411(6)</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75,268</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340,571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81,808</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2,411</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424,790</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income.........................</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103,568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20,077</w:t>
            </w:r>
          </w:p>
        </w:tc>
        <w:tc>
          <w:tcPr>
            <w:tcW w:w="44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(2,411)</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121,234</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Finance and other income (expense), net....</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(5,420)</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1,113</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(4,307)</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before income taxes.................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98,148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21,190</w:t>
            </w:r>
          </w:p>
        </w:tc>
        <w:tc>
          <w:tcPr>
            <w:tcW w:w="44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(2,411)</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116,927</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taxes...............................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29,444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8,381</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37,825</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$ 68,704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$ 12,809</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$(2,411)</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$ 79,102</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Basic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0.35</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0.39</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Diluted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0.34</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0.38</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Shares used in computing basic earnings per</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196,976</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203,576</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Shares used in computing diluted earnings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per share................................</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199,649</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206,304</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See notes to Unaudited Pro Forma Condensed Combined Financial Statements for discussion of adjustments. 35</w:t>
      </w:r>
    </w:p>
    <w:p>
      <w:pPr>
        <w:sectPr>
          <w:pgSz w:w="11900" w:h="16838" w:orient="portrait"/>
          <w:cols w:equalWidth="0" w:num="1">
            <w:col w:w="10219"/>
          </w:cols>
          <w:pgMar w:left="240" w:top="289" w:right="1440" w:bottom="1440" w:gutter="0" w:footer="0" w:header="0"/>
        </w:sectPr>
      </w:pPr>
    </w:p>
    <w:bookmarkStart w:id="35" w:name="page36"/>
    <w:bookmarkEnd w:id="35"/>
    <w:p>
      <w:pPr>
        <w:ind w:left="268"/>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PRO FORMA CONDENSED COMBINED FINANCIAL STATEMENTS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348" w:hanging="348"/>
        <w:spacing w:after="0"/>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the carrying value of ITDS' goodwill.</w:t>
      </w:r>
    </w:p>
    <w:p>
      <w:pPr>
        <w:spacing w:after="0" w:line="175" w:lineRule="exact"/>
        <w:rPr>
          <w:rFonts w:ascii="Courier New" w:cs="Courier New" w:eastAsia="Courier New" w:hAnsi="Courier New"/>
          <w:sz w:val="15"/>
          <w:szCs w:val="15"/>
          <w:color w:val="auto"/>
        </w:rPr>
      </w:pPr>
    </w:p>
    <w:p>
      <w:pPr>
        <w:ind w:left="348" w:right="3159" w:hanging="348"/>
        <w:spacing w:after="0" w:line="241" w:lineRule="auto"/>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excess of the estimated purchase price of the Acquisition over the estimated fair value of the net identifiable assets acquired,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6,600 ordinary shares valued at $27.50 per share.......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$181,500</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Fair value of vested stock options to be granted to</w:t>
            </w:r>
          </w:p>
        </w:tc>
        <w:tc>
          <w:tcPr>
            <w:tcW w:w="880" w:type="dxa"/>
            <w:vAlign w:val="bottom"/>
          </w:tcPr>
          <w:p>
            <w:pPr>
              <w:spacing w:after="0"/>
              <w:rPr>
                <w:sz w:val="14"/>
                <w:szCs w:val="14"/>
                <w:color w:val="auto"/>
              </w:rPr>
            </w:pP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ITDS employees in exchange for ITDS options..........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Estimated transaction costs............................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Total estimated purchase price.........................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193,500</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assets acquired....................................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142,109</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880" w:type="dxa"/>
            <w:vAlign w:val="bottom"/>
          </w:tcPr>
          <w:p>
            <w:pPr>
              <w:spacing w:after="0"/>
              <w:rPr>
                <w:sz w:val="14"/>
                <w:szCs w:val="1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ITDS' goodwill at book value...........................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46,526</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95,583</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Preliminary goodwill (excess of purchase price over net</w:t>
            </w:r>
          </w:p>
        </w:tc>
        <w:tc>
          <w:tcPr>
            <w:tcW w:w="880" w:type="dxa"/>
            <w:vAlign w:val="bottom"/>
          </w:tcPr>
          <w:p>
            <w:pPr>
              <w:spacing w:after="0"/>
              <w:rPr>
                <w:sz w:val="14"/>
                <w:szCs w:val="14"/>
                <w:color w:val="auto"/>
              </w:rPr>
            </w:pP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identifiable assets acquired)........................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$ 97,917</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448" w:right="3079"/>
        <w:spacing w:after="0" w:line="242" w:lineRule="auto"/>
        <w:rPr>
          <w:sz w:val="20"/>
          <w:szCs w:val="20"/>
          <w:color w:val="auto"/>
        </w:rPr>
      </w:pPr>
      <w:r>
        <w:rPr>
          <w:rFonts w:ascii="Courier New" w:cs="Courier New" w:eastAsia="Courier New" w:hAnsi="Courier New"/>
          <w:sz w:val="15"/>
          <w:szCs w:val="15"/>
          <w:color w:val="auto"/>
        </w:rPr>
        <w:t>A preliminary allocation of the estimated purchase price has been made for illustration purposes to certain identifiable tangible and intangible assets and liabilities, according to their book value. We have referred to the excess of the estimated purchase price over net identified tangible and intangible assets as preliminary goodwill. The final allocation of the excess purchase price over net tangible assets will include, if applicable, recognition of adjustments of the tangible assets and liabilities to their fair values, the fair value of identifiable intangible assets, including intellectual property and in-process research and development costs, and residual goodwill. Consideration allocated to in process research and development costs will be recorded as a charge against net income in the period the Acquisition occurs. Each $1,000 of consideration allocated to in process research and development will increase future annual income incrementally by $67 (due to the reduction in future goodwill amortization). A preliminary estimate of in process research and development and any adjustments to intangible assets will not be available until the completion of an independent evaluation as of the date of the Acquisition. We have assumed an amortization period of 15 years for preliminary goodwill.</w:t>
      </w:r>
    </w:p>
    <w:p>
      <w:pPr>
        <w:spacing w:after="0" w:line="185" w:lineRule="exact"/>
        <w:rPr>
          <w:sz w:val="20"/>
          <w:szCs w:val="20"/>
          <w:color w:val="auto"/>
        </w:rPr>
      </w:pPr>
    </w:p>
    <w:p>
      <w:pPr>
        <w:ind w:left="348" w:right="3519" w:hanging="348"/>
        <w:spacing w:after="0"/>
        <w:tabs>
          <w:tab w:leader="none" w:pos="3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estimated transaction costs to be incurred relating to the Acquisition.</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shareholders' equity.</w:t>
      </w:r>
    </w:p>
    <w:p>
      <w:pPr>
        <w:spacing w:after="0" w:line="175" w:lineRule="exact"/>
        <w:rPr>
          <w:rFonts w:ascii="Courier New" w:cs="Courier New" w:eastAsia="Courier New" w:hAnsi="Courier New"/>
          <w:sz w:val="15"/>
          <w:szCs w:val="15"/>
          <w:color w:val="auto"/>
        </w:rPr>
      </w:pPr>
    </w:p>
    <w:p>
      <w:pPr>
        <w:jc w:val="both"/>
        <w:ind w:left="348" w:right="3259" w:hanging="348"/>
        <w:spacing w:after="0" w:line="265" w:lineRule="auto"/>
        <w:tabs>
          <w:tab w:leader="none" w:pos="34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issuance of 6,600 ordinary shares at $27.50 per share and the recording of the fair value of vested stock options to be granted to ITDS' employees in exchange for outstanding ITDS' options. The fair value of the stock options was derived using a Black-Scholes option pricing model.</w:t>
      </w:r>
    </w:p>
    <w:p>
      <w:pPr>
        <w:spacing w:after="0" w:line="15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289" w:right="1440" w:bottom="1440" w:gutter="0" w:footer="0" w:header="0"/>
        </w:sectPr>
      </w:pPr>
    </w:p>
    <w:bookmarkStart w:id="36" w:name="page37"/>
    <w:bookmarkEnd w:id="36"/>
    <w:p>
      <w:pPr>
        <w:ind w:left="268"/>
        <w:spacing w:after="0"/>
        <w:rPr>
          <w:sz w:val="20"/>
          <w:szCs w:val="20"/>
          <w:color w:val="auto"/>
        </w:rPr>
      </w:pPr>
      <w:r>
        <w:rPr>
          <w:rFonts w:ascii="Courier New" w:cs="Courier New" w:eastAsia="Courier New" w:hAnsi="Courier New"/>
          <w:sz w:val="15"/>
          <w:szCs w:val="15"/>
          <w:color w:val="auto"/>
        </w:rPr>
        <w:t>37</w:t>
      </w:r>
    </w:p>
    <w:p>
      <w:pPr>
        <w:spacing w:after="0" w:line="176" w:lineRule="exact"/>
        <w:rPr>
          <w:sz w:val="20"/>
          <w:szCs w:val="20"/>
          <w:color w:val="auto"/>
        </w:rPr>
      </w:pPr>
    </w:p>
    <w:p>
      <w:pPr>
        <w:ind w:left="348" w:right="3259" w:hanging="348"/>
        <w:spacing w:after="0" w:line="241" w:lineRule="auto"/>
        <w:tabs>
          <w:tab w:leader="none" w:pos="3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goodwill amortization and the amortization of preliminary goodwill resulting from the Acquisition,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14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NINE MONTHS</w:t>
            </w:r>
          </w:p>
        </w:tc>
        <w:tc>
          <w:tcPr>
            <w:tcW w:w="1800" w:type="dxa"/>
            <w:vAlign w:val="bottom"/>
          </w:tcPr>
          <w:p>
            <w:pPr>
              <w:spacing w:after="0"/>
              <w:rPr>
                <w:sz w:val="14"/>
                <w:szCs w:val="14"/>
                <w:color w:val="auto"/>
              </w:rPr>
            </w:pPr>
          </w:p>
        </w:tc>
      </w:tr>
      <w:tr>
        <w:trPr>
          <w:trHeight w:val="172"/>
        </w:trPr>
        <w:tc>
          <w:tcPr>
            <w:tcW w:w="4020" w:type="dxa"/>
            <w:vAlign w:val="bottom"/>
          </w:tcPr>
          <w:p>
            <w:pPr>
              <w:spacing w:after="0"/>
              <w:rPr>
                <w:sz w:val="14"/>
                <w:szCs w:val="14"/>
                <w:color w:val="auto"/>
              </w:rPr>
            </w:pPr>
          </w:p>
        </w:tc>
        <w:tc>
          <w:tcPr>
            <w:tcW w:w="1420" w:type="dxa"/>
            <w:vAlign w:val="bottom"/>
          </w:tcPr>
          <w:p>
            <w:pPr>
              <w:jc w:val="center"/>
              <w:ind w:right="5"/>
              <w:spacing w:after="0"/>
              <w:rPr>
                <w:sz w:val="20"/>
                <w:szCs w:val="20"/>
                <w:color w:val="auto"/>
              </w:rPr>
            </w:pPr>
            <w:r>
              <w:rPr>
                <w:rFonts w:ascii="Courier New" w:cs="Courier New" w:eastAsia="Courier New" w:hAnsi="Courier New"/>
                <w:sz w:val="15"/>
                <w:szCs w:val="15"/>
                <w:color w:val="auto"/>
              </w:rPr>
              <w:t>ENDED</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4020" w:type="dxa"/>
            <w:vAlign w:val="bottom"/>
          </w:tcPr>
          <w:p>
            <w:pPr>
              <w:spacing w:after="0"/>
              <w:rPr>
                <w:sz w:val="14"/>
                <w:szCs w:val="14"/>
                <w:color w:val="auto"/>
              </w:rPr>
            </w:pPr>
          </w:p>
        </w:tc>
        <w:tc>
          <w:tcPr>
            <w:tcW w:w="14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JUNE 30, 1999</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SEPTEMBER 30, 1998</w:t>
            </w:r>
          </w:p>
        </w:tc>
      </w:tr>
      <w:tr>
        <w:trPr>
          <w:trHeight w:val="172"/>
        </w:trPr>
        <w:tc>
          <w:tcPr>
            <w:tcW w:w="4020" w:type="dxa"/>
            <w:vAlign w:val="bottom"/>
          </w:tcPr>
          <w:p>
            <w:pPr>
              <w:spacing w:after="0"/>
              <w:rPr>
                <w:sz w:val="14"/>
                <w:szCs w:val="14"/>
                <w:color w:val="auto"/>
              </w:rPr>
            </w:pPr>
          </w:p>
        </w:tc>
        <w:tc>
          <w:tcPr>
            <w:tcW w:w="14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Amortization expense relating to preliminary</w:t>
            </w: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goodwill of $97,917 over 15 years.........</w:t>
            </w: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$4,896</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$6,528</w:t>
            </w:r>
          </w:p>
        </w:tc>
      </w:tr>
      <w:tr>
        <w:trPr>
          <w:trHeight w:val="172"/>
        </w:trPr>
        <w:tc>
          <w:tcPr>
            <w:tcW w:w="402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8"/>
              </w:rPr>
              <w:t>Less historical amortization expense</w:t>
            </w:r>
          </w:p>
        </w:tc>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relating to historical goodwill...........</w:t>
            </w: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2,485</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3,010</w:t>
            </w:r>
          </w:p>
        </w:tc>
      </w:tr>
      <w:tr>
        <w:trPr>
          <w:trHeight w:val="172"/>
        </w:trPr>
        <w:tc>
          <w:tcPr>
            <w:tcW w:w="4020" w:type="dxa"/>
            <w:vAlign w:val="bottom"/>
          </w:tcPr>
          <w:p>
            <w:pPr>
              <w:spacing w:after="0"/>
              <w:rPr>
                <w:sz w:val="14"/>
                <w:szCs w:val="14"/>
                <w:color w:val="auto"/>
              </w:rPr>
            </w:pP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Preliminary goodwill amortization, net......</w:t>
            </w: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$2,411</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$3,518</w:t>
            </w:r>
          </w:p>
        </w:tc>
      </w:tr>
      <w:tr>
        <w:trPr>
          <w:trHeight w:val="172"/>
        </w:trPr>
        <w:tc>
          <w:tcPr>
            <w:tcW w:w="4020" w:type="dxa"/>
            <w:vAlign w:val="bottom"/>
          </w:tcPr>
          <w:p>
            <w:pPr>
              <w:spacing w:after="0"/>
              <w:rPr>
                <w:sz w:val="14"/>
                <w:szCs w:val="14"/>
                <w:color w:val="auto"/>
              </w:rPr>
            </w:pP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348" w:right="3079" w:hanging="348"/>
        <w:spacing w:after="0" w:line="242"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personnel and indirect acquisition costs ($4,713) and in process research and development costs ($20,800) were recorded by ITDS in January 1998 in connection with the acquisition by ITDS of CSC Intelicom, Inc. These items are non-recurring in nature. However, as these changes are not directly related to the acquisition of ITDS, they have not been eliminated for purposes of the pro forma financial statements.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289"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the rest of the world.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Support Systems, or BSS, consist of families of customized software products and services designed to meet the mission-critical needs of specific telecommunications market sectors. We provide primarily CC&amp;B Systems for network operators and service providers offering (local, long distance, international, data, Internet and Voice Over Internet Protocol, or VOIP, cellular, personal communications services, or PCS, and paging). We also support companies that offer multiple service packages, commonly referred to as convergent services (combinations of local, long distance, international, mobile, cable television, data and Internet services). In addition, we provide a full range of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8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(including all the regional Bell operating companies), major foreign network operators and service providers including Deutsche Telekom (Germany), Mannesmann (Germany), Telstra (Australia) and Vodafone Group (United Kingdom) and emerging market leaders.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telecommunications companies, such as customer care, order management, call rating, invoice calculation, bill formatting, collections, fraud management and directory publishing services. The BSS products are tailored to address the unique needs of each telecommunications provider.</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Our products are designed to support a variety of service offerings, including wireline, wireless, data and convergent multi-service environments, in a network-independent manner.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TELECOMMUNICATIONS INDUSTRY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global telecommunications industry is becoming increasingly more competitive due to deregulation and the development of new service technologies. Competition in the U.S. market began to increase in 1984 when AT&amp;T was required to divest its local telephone operations and many new operators began to enter the long distance market. The Telecommunications Act of 1996 has increased competition in the United States even further by allowing new and existing local (e.g., competitive local exchange carriers), long distance and cable companies to offer competing services. Many companies are beginning to compete by providing multiple or convergent services, offering combinations of local exchange, long distance, wireless and data communications services to customers in single geographic markets. Deregulation is also creating opportunities for new ways of doing business, such as wholesaling and reselling telecommunications services. Internationally, privatization and deregulation are resulting in increased international competition and the emergence of newly authorized telecommunications network operators and service providers, especially in Europe, Latin America and the Asia-Pacific</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9"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region. As markets are opened to competition, new competitors within these markets typically compete for market share with more established carriers, initially by providing access to service and then by providing competitive prices, by introducing new features and services and by being more responsive to customer needs. In addition, global expansion by multinational companies and concurrent technological advances are opening markets in less developed countries to enhanced telecommunications services and competition.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recent years, there has also been an explosion of new communications technologies, including the Internet, Virtual Private Network (VPN) services, Digital Subscriber Line (DSL) for fast Internet access and broadband, PCS, Direct Broadcast Satellites and Enhanced Specialized Mobile Radio, and improvements to existing services such as call-forwarding, caller ID and voice mail, as well as the introduction of advanced intelligent networks that offer new services such as voice activated dialing. Additionally, companies in the directory publishing industry, which is currently dominated by telecommunications companies that are owned by or affiliated with the public telecommunications carriers, generally employ a local sales force numbering thousands of representatives, serve an advertiser customer base of hundreds of thousands of businesses and publish hundreds of different directories each year. With the introduction of new technologies and distribution platforms, including Internet directories, the directory publishing industry is also experiencing significant changes.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these developments, many telecommunications companies are seeking a new generation of information systems to support their operations and to be more competitive. Many are looking to offer single-contact, single-invoice solutions with integrated pricing plans for all services ("one-stop shopping"). Traditional telecommunications information systems are generally not able to support multiple services or convergent systems efficiently. In addition, these legacy information systems generally utilize antiquated technology, are costly to maintain, and require significant time and effort to accommodate new products or features, such as pricing changes. In this dynamic environment, integrated, flexible and scalable information systems are increasingly a means of differentiating competitors.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Many new and existing telecommunications companies do not have the financial or human resources or technological capability to internally develop efficient, flexible, cost-effective information systems on a timely basis. Moreover, as many telecommunications companies strive to become more consumer-oriented, they are concentrating their efforts and resources on marketing to consumers and expanding their service offerings, and many are turning to third-party vendors for their information systems which creates significant opportunities for us. Unlike us, however, many third-party vendors generally provide only generic software packages and maintenance services, while customization, implementation and other related and ongoing tasks are performed by a separate systems integration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AMDOCS SOLUTION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our total solutions orientation, product-driven approach and commitment to and support of quality personnel permit us to offer effective solutions to our customers that are both highly innovative and reliable. We believe that our success derives from a combination of the following factors that differentiate us from most of our competitors.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SOLUTIONS ORIENTATION. We offer our customers total solutions that include BSS product-driven software tailored to the customer's specific requirements, implementation services, systems integration, maintenance and ongoing support. By providing services directly to the customer, rather than through intermediaries and system integrators, we are able to utilize effectively our intensive technical knowledge of our BSS products in the overall execution of the project, significantly reducing project risk. Our product-driven software solutions approach is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distinctly different from the project-based strategy that has traditionally characterized many of the telecommunications information systems providers over the past twenty years. Our product-driven software solutions uses our BSS products as the starting point for each project. This approach enhances our ability to provide our customers with timely, cost-effective, low-risk solutions at a consistent level of quality.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FUNCTIONAL AND FLEXIBLE BSS PRODUCTS. Our BSS products are based on an open, multi-tier, client-server, rule-based architecture that provides the functionality, scalability, modularity and adaptability required in today's deregulated, highly competitive telecommunications industry. Through the flexibility of our BSS products, our customers have achieved significant time-to-market advantages and reduced their dependence on technical and other staff.</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HIGHLY SKILLED PERSONNEL. We are able to offer our customers superior products and services on a worldwide basis in large part due to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the reliable delivery of quality solutions within agreed time frames and budgets. We have global recruitment capabilities and have development centers in Israel, the United States and Cyprus.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Our goal is to provide advanced information technology software products and related customer service and support to the world's leading telecommunications companies. We seek to accomplish our goal by pursuing the strategies described below.</w:t>
      </w:r>
    </w:p>
    <w:p>
      <w:pPr>
        <w:spacing w:after="0" w:line="175" w:lineRule="exact"/>
        <w:rPr>
          <w:sz w:val="20"/>
          <w:szCs w:val="20"/>
          <w:color w:val="auto"/>
        </w:rPr>
      </w:pPr>
    </w:p>
    <w:p>
      <w:pPr>
        <w:ind w:left="620" w:right="3079" w:hanging="181"/>
        <w:spacing w:after="0" w:line="242"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FOCUS ON THE TELECOMMUNICATIONS INDUSTRY. We intend to continue to concentrate our resources and efforts on providing strategic information systems to the growing number of telecommunications industry participants. This strategy has enabled us to develop the specialized industry know-how and capability necessary to deliver the technologically advanced, large-scale, specifications-intensive information systems solutions required by the leading telecommunications companies in the wireless, wireline and convergent service sectors.</w:t>
      </w:r>
    </w:p>
    <w:p>
      <w:pPr>
        <w:spacing w:after="0" w:line="177"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INDUSTRY LEADERS AND PROMISING NEW ENTRANTS. We intend to continue to direct our marketing efforts principally towards the major telecommunications companies and new entrants that are believed to have the potential to be market leaders. Our customer base includes the largest local exchange service providers in the United States (including all the regional Bell operating companies), major foreign network operators and service providers (including Deutsche Telekom (Germany), Vodafone Group (United Kingdom), Mannesmann (Germany) and Telstra Corporation Ltd. (Australia)) and emerging market leaders. We believe that the development of this premier customer base has helped position us as a market leader, while contributing to the stability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182" w:lineRule="exact"/>
        <w:rPr>
          <w:rFonts w:ascii="Courier New" w:cs="Courier New" w:eastAsia="Courier New" w:hAnsi="Courier New"/>
          <w:sz w:val="15"/>
          <w:szCs w:val="15"/>
          <w:color w:val="auto"/>
        </w:rPr>
      </w:pPr>
    </w:p>
    <w:p>
      <w:pPr>
        <w:ind w:left="620" w:right="3079" w:hanging="181"/>
        <w:spacing w:after="0" w:line="260"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AND SUPPORT TOTAL SOLUTIONS. Our strategy is to use our BSS products as the basis for providing customers with total systems solutions. Using this product-driven solutions strategy, we strive to tailor our core software modules to the specific, individualized requirements of our customers. Working directly with the customer, development personnel prepare the detailed functional specifications of the system required by the customer. In accordance with such specifications, system modules are then adapted or customized to meet the customer's specific business requirements. We believe that this approach</w:t>
      </w:r>
    </w:p>
    <w:p>
      <w:pPr>
        <w:spacing w:after="0" w:line="2" w:lineRule="exact"/>
        <w:rPr>
          <w:sz w:val="20"/>
          <w:szCs w:val="20"/>
          <w:color w:val="auto"/>
        </w:rPr>
      </w:pPr>
    </w:p>
    <w:p>
      <w:pPr>
        <w:ind w:left="3480" w:right="3079" w:hanging="2861"/>
        <w:spacing w:after="0"/>
        <w:rPr>
          <w:sz w:val="20"/>
          <w:szCs w:val="20"/>
          <w:color w:val="auto"/>
        </w:rPr>
      </w:pPr>
      <w:r>
        <w:rPr>
          <w:rFonts w:ascii="Courier New" w:cs="Courier New" w:eastAsia="Courier New" w:hAnsi="Courier New"/>
          <w:sz w:val="15"/>
          <w:szCs w:val="15"/>
          <w:color w:val="auto"/>
        </w:rPr>
        <w:t>minimizes risks and increases efficiencies by drawing on field-proven BSS 40</w:t>
      </w:r>
    </w:p>
    <w:p>
      <w:pPr>
        <w:sectPr>
          <w:pgSz w:w="11900" w:h="16838" w:orient="portrait"/>
          <w:cols w:equalWidth="0" w:num="1">
            <w:col w:w="10219"/>
          </w:cols>
          <w:pgMar w:left="240" w:top="289"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products and techniques, and also helps to create for our customers significant time-to-market and other competitive advantages. By leveraging our specialized product knowledge, we believe that we can provide more effective system integration and implementation support services to our customers.</w:t>
      </w:r>
    </w:p>
    <w:p>
      <w:pPr>
        <w:spacing w:after="0" w:line="175" w:lineRule="exact"/>
        <w:rPr>
          <w:sz w:val="20"/>
          <w:szCs w:val="20"/>
          <w:color w:val="auto"/>
        </w:rPr>
      </w:pPr>
    </w:p>
    <w:p>
      <w:pPr>
        <w:ind w:left="620" w:right="3159" w:hanging="181"/>
        <w:spacing w:after="0" w:line="242"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We seek to maintain and develop long-term, mutually beneficial relationships with our customers. As a result of this strategy, we have been able to establish long-term working relationships with many of our customers. Of our current base of over 70 customers, 18 have been customers for five years or more. These relationships have generally involved additional product sales, as well as ongoing support, system enhancement and maintenance services. We believe that such relationships are facilitated in many cases by the mission-critical strategic nature of the systems provided by us and by the customer's reliance on our specialized skills and knowledge. In addition, our strategy is to solidify our existing customer relationships by means of long-term support and maintenance contracts.</w:t>
      </w:r>
    </w:p>
    <w:p>
      <w:pPr>
        <w:spacing w:after="0" w:line="180"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ENHANCE GLOBAL CAPABILITIES. We intend to continue to develop and enhance our global business strategy by targeting advanced telecommunications markets around the world. The worldwide demand for telecommunications services is increasing rapidly, due, in part, to the needs of many underserved national markets and, in part, to increased competition among established and new network operators and service providers in more mature markets. We believe we have developed the human and other resources required to conduct business on a global basis and we are well positioned to respond to the demands of a worldwide industry, including the increasing trend for the major telecommunications companies to invest in new national markets, often in partnership with local companies. We have also developed the capability for the rapid global deployment of appropriately skilled personnel, when and where required, to support customer projects.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core competencies in various advanced technologies that are used in our BSS products. By utilizing technologies such as rule-based design, multi-tier architecture, object-oriented techniques and data mining, we are able to provide telecommunications companies with the flexibility required in a highly competitive, dynamic environment. For example, the use of rule and table-based technologies allows telecommunications companies to implement changes to the key elements of their marketing and customer service activities simply and rapidly, such as the introduction of new services, price plans, discount schemes and bill formats, eliminating the need to modify system code. Similarly, by drawing on Web-enabled and Internet technologies, we have been able to improve access to information for remote users, both internally within a telecommunications company's organization and between the organization and its subscribers.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These technologies are integrated in an open, multi-tier, client-server, service-oriented architecture. In order to support the ability of our customers to operate all of their distributed and mainframe applications, our BSS products are designed to work in a number of network and operating system environments, including UNIX, MVS and Windows NT.</w:t>
      </w:r>
    </w:p>
    <w:p>
      <w:pPr>
        <w:spacing w:after="0" w:line="175" w:lineRule="exact"/>
        <w:rPr>
          <w:sz w:val="20"/>
          <w:szCs w:val="20"/>
          <w:color w:val="auto"/>
        </w:rPr>
      </w:pPr>
    </w:p>
    <w:p>
      <w:pPr>
        <w:ind w:right="4139" w:firstLine="447"/>
        <w:spacing w:after="0"/>
        <w:rPr>
          <w:sz w:val="20"/>
          <w:szCs w:val="20"/>
          <w:color w:val="auto"/>
        </w:rPr>
      </w:pPr>
      <w:r>
        <w:rPr>
          <w:rFonts w:ascii="Courier New" w:cs="Courier New" w:eastAsia="Courier New" w:hAnsi="Courier New"/>
          <w:sz w:val="15"/>
          <w:szCs w:val="15"/>
          <w:color w:val="auto"/>
        </w:rPr>
        <w:t>The architecture of the BSS products includes the following key characteristics:</w:t>
      </w:r>
    </w:p>
    <w:p>
      <w:pPr>
        <w:spacing w:after="0" w:line="176" w:lineRule="exact"/>
        <w:rPr>
          <w:sz w:val="20"/>
          <w:szCs w:val="20"/>
          <w:color w:val="auto"/>
        </w:rPr>
      </w:pPr>
    </w:p>
    <w:p>
      <w:pPr>
        <w:ind w:left="620" w:right="315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SCALABILITY. The BSS products are designed to take full advantage of the proven scalability of the UNIX platform, allowing progressive system expansion, proportional with the customer's growth in business volumes. Using the same software, our BSS products can support operations for small as well as very large service providers.</w:t>
      </w:r>
    </w:p>
    <w:p>
      <w:pPr>
        <w:spacing w:after="0" w:line="175"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MODULARITY. The BSS products are comprised of sets of functional modules. Each module can be installed on an individual stand alone basis, interfacing with the customer's existing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systems, or as part of an integrated BSS environment. This modularity provides our customers with a highly flexible and cost-effective solution that is able to incrementally expand with the customers' growing needs and capabilities. The modular approach also preserves the customer's initial investment in BSS products, while minimizing future disruptions and the overall cost of system implementation.</w:t>
      </w:r>
    </w:p>
    <w:p>
      <w:pPr>
        <w:spacing w:after="0" w:line="176" w:lineRule="exact"/>
        <w:rPr>
          <w:sz w:val="20"/>
          <w:szCs w:val="20"/>
          <w:color w:val="auto"/>
        </w:rPr>
      </w:pPr>
    </w:p>
    <w:p>
      <w:pPr>
        <w:ind w:left="620" w:right="3079" w:hanging="181"/>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PORTABILITY. The architecture of the BSS products, by utilizing a UNIX platform, ensures that our customers are able to choose from a variety of hardware vendors, including Compaq, Hewlett Packard, IBM and Sun Microsystems. In implementing solutions for wireline companies, we are also able to employ MVS and hybrid UNIX/MVS platforms. The BSS products utilize, where applicable, Java-based design and programming to augment cross-platform portability.</w:t>
      </w:r>
    </w:p>
    <w:p>
      <w:pPr>
        <w:spacing w:after="0" w:line="176"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OPEN SYSTEMS. The BSS products accommodate well-defined application program interfaces with legacy systems and with other third-party modules or packages. The systems are not dependent on any single hardware vendor or specific relational database management system, enabling our customers to select among multiple hardware platforms and a variety of network and operating system environments. Similarly, BSS products utilize standard programming languages, such as C++, to ensure compatibility with the operating environments employed in most telecommunications companies. It is also our general policy to deliver to our customers complete copies of all source code, system documentation and other product information, which permits the customer to maintain and further customize the BSS products.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an extensive library of BSS software products, providing comprehensive information systems functionality for local, long distance, international, cellular, PCS, paging, data, Internet and VOIP and directory publishing operations. Core elements include customer care, order management, call rating, invoice calculation, bill formatting, collections, fraud management and directory publishing 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Specialized modules are provided to support specific functionalities required in the different network environments (roaming functionality for wireless carriers, SIM card functionality for GSM networks, value added services introduced by Advanced Intelligent Networks (AIN) and preferred interexchange carrier functionality for long distance carriers). In addition, we have developed systems to support resellers and wholesalers of telecommunication services. Our systems also support telecommunications providers that offer multiple service packages, commonly referred to as convergent services (combinations of local, long distance, international, mobile, cable television, data and Internet services).</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configure individual BSS modules into families of products, which serve as marketing packages oriented to the needs of specific customer segments. We offer Ensemble, our Customer Care and Billing System, in a number of versions to serve the different needs of telecommunications operators in the various network and business segments, such as wholesale and retail operations, and local, cellular, long distance, international, data, Internet, VOIP and convergent operations. We also offer our new generation, or NG, line of "ADS (NG)/Family of Products" which provides comprehensive support for directory publishing operations. Each individual module from the product families can be installed as an independent stand-alone application, interfacing with the customer's legacy and third-party systems, or as part of an integrated Amdocs solution. We have also recently introduced a number of new products for Internet and electronic commerce applications, such as Internet-based bill viewing. We anticipate that over the next several years products developed or to be developed for such applications will make a modest but increasing contribution to revenue.</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CUSTOMER CARE AND BILLING</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The Ensemble suite of products we offer encompasses the following key application areas:</w:t>
      </w:r>
    </w:p>
    <w:p>
      <w:pPr>
        <w:spacing w:after="0" w:line="176" w:lineRule="exact"/>
        <w:rPr>
          <w:sz w:val="20"/>
          <w:szCs w:val="20"/>
          <w:color w:val="auto"/>
        </w:rPr>
      </w:pPr>
    </w:p>
    <w:p>
      <w:pPr>
        <w:ind w:left="620" w:right="3339" w:hanging="181"/>
        <w:spacing w:after="0" w:line="267"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Care -- provides customer account information management and service support, including account initiation, on-line assistance in choosing a price plan, installation scheduling and complaint handling.</w:t>
      </w:r>
    </w:p>
    <w:p>
      <w:pPr>
        <w:spacing w:after="0" w:line="158" w:lineRule="exact"/>
        <w:rPr>
          <w:rFonts w:ascii="Courier New" w:cs="Courier New" w:eastAsia="Courier New" w:hAnsi="Courier New"/>
          <w:sz w:val="14"/>
          <w:szCs w:val="14"/>
          <w:color w:val="auto"/>
        </w:rPr>
      </w:pPr>
    </w:p>
    <w:p>
      <w:pPr>
        <w:ind w:left="620" w:right="325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Management -- supports the ordering of products and services for all lines of business. This module assists customer service representatives in capturing the customer's order, negotiating with the customer and monitoring service delivery.</w:t>
      </w:r>
    </w:p>
    <w:p>
      <w:pPr>
        <w:spacing w:after="0" w:line="174"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Message Processing -- calculates charges for usage (i.e., call rating) of telecommunications services, such as telephone calls and data transfer. Usage of the telecommunications network creates "messages" or call data records, which contain information such as the origin and destination of the call and its duration. In addition, this module provides for acquisition and formatting of the raw message data received from a switch, as well as calculates the charges for each call based on the service packages and price plans applicable to each individual user.</w:t>
      </w:r>
    </w:p>
    <w:p>
      <w:pPr>
        <w:spacing w:after="0" w:line="177"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Invoicing -- provides comprehensive functionality for bill preparation (totaling of usage and other charges, application of discounts, taxes and credits) and bill production, as well as the ability to offer so-called "hot billing" (or real-time billing).</w:t>
      </w:r>
    </w:p>
    <w:p>
      <w:pPr>
        <w:spacing w:after="0" w:line="174" w:lineRule="exact"/>
        <w:rPr>
          <w:rFonts w:ascii="Courier New" w:cs="Courier New" w:eastAsia="Courier New" w:hAnsi="Courier New"/>
          <w:sz w:val="15"/>
          <w:szCs w:val="15"/>
          <w:color w:val="auto"/>
        </w:rPr>
      </w:pPr>
    </w:p>
    <w:p>
      <w:pPr>
        <w:ind w:left="620" w:right="333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Flexible Bill Formatter -- enables the flexible definition and modification of bill formats, according to user requests (e.g., to combine charges from multiple services onto a single bill or to permit certain types of charges to be highlighted).</w:t>
      </w:r>
    </w:p>
    <w:p>
      <w:pPr>
        <w:spacing w:after="0" w:line="174"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Management -- provides comprehensive functionality for accounts receivable and collections, including invoice receipt, payment receipt, payment posting, financial reporting and automated handling of customers with outstanding debts.</w:t>
      </w:r>
    </w:p>
    <w:p>
      <w:pPr>
        <w:spacing w:after="0" w:line="174"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Resource Mediation -- manages the carrier's inventory of telephone numbers and SIM cards. This module also manages the interface between a wireless carrier's customer care and billing system and the network, transferring instructions regarding the provision or discontinuation of network services to specified users.</w:t>
      </w:r>
    </w:p>
    <w:p>
      <w:pPr>
        <w:spacing w:after="0" w:line="175" w:lineRule="exact"/>
        <w:rPr>
          <w:rFonts w:ascii="Courier New" w:cs="Courier New" w:eastAsia="Courier New" w:hAnsi="Courier New"/>
          <w:sz w:val="15"/>
          <w:szCs w:val="15"/>
          <w:color w:val="auto"/>
        </w:rPr>
      </w:pPr>
    </w:p>
    <w:p>
      <w:pPr>
        <w:jc w:val="both"/>
        <w:ind w:left="620" w:right="3079" w:hanging="181"/>
        <w:spacing w:after="0" w:line="274"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Management -- calculates and manages commissions to be paid by the wireless carrier to its authorized dealers and sales representatives.</w:t>
      </w:r>
    </w:p>
    <w:p>
      <w:pPr>
        <w:spacing w:after="0" w:line="153" w:lineRule="exact"/>
        <w:rPr>
          <w:rFonts w:ascii="Courier New" w:cs="Courier New" w:eastAsia="Courier New" w:hAnsi="Courier New"/>
          <w:sz w:val="14"/>
          <w:szCs w:val="14"/>
          <w:color w:val="auto"/>
        </w:rPr>
      </w:pPr>
    </w:p>
    <w:p>
      <w:pPr>
        <w:ind w:left="620" w:right="3259" w:hanging="181"/>
        <w:spacing w:after="0" w:line="241"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 Management -- employs sophisticated data analysis tools and makes use of the integrated user database to detect the fraudulent use of phones and phone numbers.</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Bill Viewing -- enables user interaction and bill view capabilities over the Internet through www.self.service.</w:t>
      </w:r>
    </w:p>
    <w:p>
      <w:pPr>
        <w:spacing w:after="0" w:line="176" w:lineRule="exact"/>
        <w:rPr>
          <w:rFonts w:ascii="Courier New" w:cs="Courier New" w:eastAsia="Courier New" w:hAnsi="Courier New"/>
          <w:sz w:val="15"/>
          <w:szCs w:val="15"/>
          <w:color w:val="auto"/>
        </w:rPr>
      </w:pPr>
    </w:p>
    <w:p>
      <w:pPr>
        <w:ind w:left="620" w:right="3439" w:hanging="181"/>
        <w:spacing w:after="0" w:line="241"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Churn Management -- uses data mining techniques to identify customers with a high probability of switching to another carrier or of disconnecting service.</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Intercarrier Settlement -- calculates, manages and reconciles payments for intercarrier network access.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DIRECTORY PUBLISHING</w:t>
      </w:r>
    </w:p>
    <w:p>
      <w:pPr>
        <w:spacing w:after="0" w:line="176"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The "ADS(NG)/Family of Products," our main offering in the Directory Systems area, provides comprehensive support for yellow page and white page directory sales and publishing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44</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operations, as well as for Internet directories and catalogs, including fully integrated electronic commerce capabilities. The directory line of products comprises a series of modules, including:</w:t>
      </w:r>
    </w:p>
    <w:p>
      <w:pPr>
        <w:spacing w:after="0" w:line="176" w:lineRule="exact"/>
        <w:rPr>
          <w:sz w:val="20"/>
          <w:szCs w:val="20"/>
          <w:color w:val="auto"/>
        </w:rPr>
      </w:pPr>
    </w:p>
    <w:p>
      <w:pPr>
        <w:ind w:left="620" w:right="307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 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178"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Publishing -- supports the process of entering, proofing and extracting the telephone listing and advertising information that is to be published in a directory. These modules encompass contract processing, service order processing, listing information management and directory extract in preparation for the actual production of the directory.</w:t>
      </w:r>
    </w:p>
    <w:p>
      <w:pPr>
        <w:spacing w:after="0" w:line="175"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178"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175"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 permits online support for handling customer inquiries and resolving customer complaints, including online correction of advertising data and billing adjustments.</w:t>
      </w:r>
    </w:p>
    <w:p>
      <w:pPr>
        <w:spacing w:after="0" w:line="176" w:lineRule="exact"/>
        <w:rPr>
          <w:rFonts w:ascii="Courier New" w:cs="Courier New" w:eastAsia="Courier New" w:hAnsi="Courier New"/>
          <w:sz w:val="15"/>
          <w:szCs w:val="15"/>
          <w:color w:val="auto"/>
        </w:rPr>
      </w:pPr>
    </w:p>
    <w:p>
      <w:pPr>
        <w:ind w:left="620" w:right="3599" w:hanging="181"/>
        <w:spacing w:after="0" w:line="274"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Management -- specifically designed for the directory publisher's billing, accounts receivable and collections functions.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the methodology we employ to deliver BSS products is one of the key factors that enables us to achieve the time-frame, budget and quality objectives of our customers' projects. Our methodology emphasizes rigorous project management, software development, solutions implementation and integration planning, as well as active customer participation at all stages to help prioritize and implement time-critical information system solutions that address the customer's individual needs.</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This process of customizing a system involves creating a tailored BSS product to address a customer's specific technical and business requirements. Following detailed functional design sessions with the customer, we modify our BSS software modules to provide the complete functionality needed by the customer. The process permits both Amdocs and the customer to identify and jointly plan for ongoing resource requirements, as well as jointly to create specific guidelines for the types of organizational and other changes that may be required for implementation and integration.</w:t>
      </w:r>
    </w:p>
    <w:p>
      <w:pPr>
        <w:spacing w:after="0" w:line="177"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System implementation and integration activities are conducted by joint teams from Amdocs and the customer in parallel with the customization effort. Implementation and integration activities include, for example, project management, development of training, methods and procedures, design of work flows, hardware planning and installation, network and system design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9"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175"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BSS product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conducted on a global basis. We maintain three development facilities located in Israel, the United States and Cyprus, operate a support center located in Brazil and have operations in Europe, North America, Latin America and the Asia-Pacific region. Support for implementation and integration activities is performed typically at the customer site. Once the system is operational or in production, ongoing support and maintenance are provided by a combination of remote support from the development centers with local support at the customer site.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part of our effort to provide comprehensive solutions to our customers, we also offer outsourcing services to support the operation of the customer's BSS products. These functions would include full responsibility for the ongoing development and enhancement of our BSS products, the purchase and management of all related hardware assets and overall management of the customer's associated data centers. We concluded our first major multi-year services agreement in May 1998, entering into a six-year agreement with an affiliate of Telstra Corporation Ltd. of Australia. Under the agreement, we are responsible for software development, maintenance, support and facility management for Telstra's directory publishing activities.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sales and marketing activities are primarily directed at major telecommunications companies and at emerging network operators or services providers that are potential market leaders.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 Due to the comprehensiveness and large scale of our systems, the time between the making of an initial proposal to a prospective customer and the signing of a sales contract is typically between six and twelve months.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employ a relatively small dedicated sales force and maintain sales offices in the United States, the United Kingdom, and several other countries. Our sales activities are supported by a marketing group, which is responsible for advertising, preparation of sales proposals and market research and analysis of industry trends and developments. Our sales efforts are dependent upon close cooperation between our sales representatives and development personnel. Development personnel are intensively involved from the early stages of the sales cycle. This approach enables us to demonstrate our technical and professional skills to potential customers, while creating the opportunity to discuss with the customer its system needs. To ensure that we have a clear understanding of customer needs and expectations, it is our policy to have development personnel involved in a particular sales proposal continue to work with the customer. This approach creates continuity from the initial sales proposal through project development and beyond, into the ongoing production phase.</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9"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46</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also interact with various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target market is comprised of telecommunications companies that require information systems with advanced functionality and technology. The companies in this market segment are typically industry leaders or innovative, well-backed new entrants. By working with such companies, we help ensure that we remain at the forefront of developments in the telecommunications industry and that our product offerings continue to address the market's most sophisticated needs. We have an international orientation, focusing on potential customers in the developed, industrialized countries in North America, Europe, Latin America and the Asia-Pacific region.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 world-class customer base comprising over 70 telecommunications companies. Our customers include global telecommunications leaders, as well as other leading network operators and service providers and directory publishers in the United States and around the world. Our customers include SBC and a number of its operating subsidiaries, such as Southwestern Bell Mobile Systems, Southwestern Bell Yellow Pages, Southwestern Bell Communications Services (SBC's long distance provider) and Southwestern Bell Telephone Company. Additional customers include:</w:t>
      </w:r>
    </w:p>
    <w:p>
      <w:pPr>
        <w:spacing w:after="0" w:line="17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Bell Atlantic</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BellSouth</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U.S. West</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GTE</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Sprint</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Deutsche Telekom (Germany)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Mannesmann (Germany)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SEAT (Italy)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Telstra (Australia)</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Telus (Canada)</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Telecom Eireann (Ireland)</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Korean Telecom (South Korea)</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Vodafone Group (United Kingdom)</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Bezeq (Israel)</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BCP (Brazil)</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Telecom New Zealand (New Zealand)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able to establish long-term working relationships with many of our customers. Of our total customer base, 18 have been customers for five or more years. These long-term relationships are due, in part, to our broad-based expertise and our ability to address the evolving needs of a dynamic telecommunications industry.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single largest group of customers is SBC and its operating subsidiaries, which accounted for in the aggregate 15.7% of our revenue in the nine months ended June 30, 1999 and for 20.8%, 34.5% and 38.0% of our revenue in fiscal 1998, 1997 and 1996, respectively. Our next largest customer is Telstra, which accounted for 7.8% of our revenue in the nine months ended June 30, 1999 and for 8.2%, 13.0% and 16.0% of our revenue in fiscal 1998, 1997 and 1996, respectively. Our third largest customer is BellSouth, which accounted for 5.9% of our revenue in the nine months ended June 30, 1999 and for 15.8%, 4.5% and 1.5% of our revenue in fiscal 1998, 1997 and 1996, respectively.</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Revenue derived from our five largest customers, excluding SBC and its operating subsidiaries, accounted for approximately 27.6% of total revenue for the nine months ended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9"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47</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June 30, 1999 and 27.1%, 33.2% and 42.7% of revenue in fiscal 1998, 1997 and 1996, respectively.</w:t>
      </w:r>
    </w:p>
    <w:p>
      <w:pPr>
        <w:spacing w:after="0" w:line="176" w:lineRule="exact"/>
        <w:rPr>
          <w:sz w:val="20"/>
          <w:szCs w:val="20"/>
          <w:color w:val="auto"/>
        </w:rPr>
      </w:pPr>
    </w:p>
    <w:p>
      <w:pPr>
        <w:ind w:right="3699" w:firstLine="447"/>
        <w:spacing w:after="0" w:line="274" w:lineRule="auto"/>
        <w:rPr>
          <w:sz w:val="20"/>
          <w:szCs w:val="20"/>
          <w:color w:val="auto"/>
        </w:rPr>
      </w:pPr>
      <w:r>
        <w:rPr>
          <w:rFonts w:ascii="Courier New" w:cs="Courier New" w:eastAsia="Courier New" w:hAnsi="Courier New"/>
          <w:sz w:val="14"/>
          <w:szCs w:val="14"/>
          <w:color w:val="auto"/>
        </w:rPr>
        <w:t>The following is a summary of revenue by geographic area. Revenue is attributed to geographic region based on the location of the customers: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44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NINE MONTHS</w:t>
            </w:r>
          </w:p>
        </w:tc>
        <w:tc>
          <w:tcPr>
            <w:tcW w:w="1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SEPTEMBER 30,</w:t>
            </w:r>
          </w:p>
        </w:tc>
        <w:tc>
          <w:tcPr>
            <w:tcW w:w="44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ENDED</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JUNE 30, 1999</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39.5%</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52.2%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63.8%</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67.5%</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39.1%</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27.2%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11.3%</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14.5%</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21.4%</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20.6%</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24.9%</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18.0%</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telecommunications information systems is highly competitive and fragmented, and we expect competition to increase. We compete with many independent providers of information systems and services, including Alltel Corporation, American Management Systems, Convergys, IBM, Kenan Systems (a subsidiary of Lucent Technologies), LHS Group Inc., Saville Systems and SEMA Group, with system integrators, such as Andersen Consulting and EDS, and internal information systems departments of larger telecommunications carriers. We expect continued growth and competition in the telecommunications industry and the entrance of new competitors into the software information systems market in the future.</w:t>
      </w:r>
    </w:p>
    <w:p>
      <w:pPr>
        <w:spacing w:after="0" w:line="179"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believe that we are able to differentiate ourselves from the competition by, among other things,</w:t>
      </w:r>
    </w:p>
    <w:p>
      <w:pPr>
        <w:spacing w:after="0" w:line="174" w:lineRule="exact"/>
        <w:rPr>
          <w:sz w:val="20"/>
          <w:szCs w:val="20"/>
          <w:color w:val="auto"/>
        </w:rPr>
      </w:pPr>
    </w:p>
    <w:p>
      <w:pPr>
        <w:ind w:left="620"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customers a total information system from a single vendor,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high quality reliable, scalable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effectively the timely implementation of products,</w:t>
      </w:r>
    </w:p>
    <w:p>
      <w:pPr>
        <w:spacing w:after="0" w:line="175" w:lineRule="exact"/>
        <w:rPr>
          <w:rFonts w:ascii="Courier New" w:cs="Courier New" w:eastAsia="Courier New" w:hAnsi="Courier New"/>
          <w:sz w:val="15"/>
          <w:szCs w:val="15"/>
          <w:color w:val="auto"/>
        </w:rPr>
      </w:pPr>
    </w:p>
    <w:p>
      <w:pPr>
        <w:ind w:left="620" w:right="369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responding to customer service and support needs through a skilled professional organization, and</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BSS solutions independent of any specific vendor of network equipment, hardware or software.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would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76" w:lineRule="exact"/>
        <w:rPr>
          <w:sz w:val="20"/>
          <w:szCs w:val="20"/>
          <w:color w:val="auto"/>
        </w:rPr>
      </w:pPr>
    </w:p>
    <w:p>
      <w:pPr>
        <w:ind w:right="3439" w:firstLine="447"/>
        <w:spacing w:after="0" w:line="263" w:lineRule="auto"/>
        <w:rPr>
          <w:sz w:val="20"/>
          <w:szCs w:val="20"/>
          <w:color w:val="auto"/>
        </w:rPr>
      </w:pPr>
      <w:r>
        <w:rPr>
          <w:rFonts w:ascii="Courier New" w:cs="Courier New" w:eastAsia="Courier New" w:hAnsi="Courier New"/>
          <w:sz w:val="14"/>
          <w:szCs w:val="14"/>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9"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our employees, consultants, customers and potential customers and limit access to, and distribution of, our proprietary information. We believe that the sophistication and complexity of our systems make it very difficult to copy such information or to subject such information to unauthorized use.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a unique methodology for product development. Initially, we develop a core idea and the initial modules in-house. Thereafter, we approach a customer and introduce the initial developments to a customer and further develop the product in conjunction with a project conducted for such a customer, thus allowing us to resolve and develop specific, novel information technology solutions addressing actual needs of the market. We maintain sole ownership of our products.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strategic development projects conducted with SBC and some of its subsidiaries, some of our products were jointly developed and owned in the past by us and SBC subsidiaries. In September 1997, we entered into a series of agreements with such SBC subsidiaries pursuant to which we purchased certain rights from these SBC subsidiaries and terminated related future royalty payment obligations for a total consideration of $40.0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July 31, 1999, we employed on a full-time basis approximately 4,300 software and information technology specialists, engaged in research, development, maintenance and support activities, and approximately 620 managers and administrative professionals. We employ over 2,900 software and information technology specialists in Israel, with the remaining located in North America, Europe and the Asia-Pacific region. We often maintain teams of employees at a customer's premises to work on specific projects.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invest significant resources in recruitment, training and retention of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senior employees. Our future success depends in large part upon our continuing ability to attract and retain highly qualified managerial, technical, sales and marketing personnel.</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to comply with various labor and immigration laws throughout the world, including laws and regulations in Australia, Brazil, Europe, Israel, Japan and the United States. To date, compliance with such laws has not been a material burden for us. As the number of our employees increases over time, our compliance with such regulations could become more burdensome.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 employees by virtue of expansion orders of the Israeli Ministry of Labor and Welfare. A significant provision applicable to all employees in Israel under collective bargaining agreements and expansion orders is the automatic adjustment of wages in relation to increases in the CPI. The amount and frequency of these adjustments are modified from time to time. We consider our relationship with our employees to be good and have never experienced a labor dispute, strike or work stoppage.</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9"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goals of our research and development staff are to be responsive to customer needs, to keep abreast of industry developments, to apply technology selectively to our systems, to build transition plans for adopting new technologies and to build a system architecture that is capable of absorbing such technologies. We have historically developed new modules and product offerings in response to an identified market demand. Our product development strategy is to fund the research and development of an advanced prototype, typically based on our existing products or modules. Products are usually developed in conjunction with a customer project. By adopting this strategy, we seek to remain at the forefront of technological development by working on technologically advanced solutions with our customers. Close cooperation with customers helps to ensure the relevance and timeliness of the products developed.</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ability to identify innovative applications for emerging technologies has yielded us considerable competitive advantages. Examples of such innovations include the application of rule and table-based techniques to network mediation systems, Web-enabled technology for Internet-based customer care and data mining technology for fraud management and churn control.</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We spent $28.5 million, $25.6 million, $17.4 million and $14.7 million on research and development activities in the nine months ended June 30, 1999 and in fiscal 1998, 1997 and 1996, respectively, or 6.4%, 6.3%, 6.0% and 6.9%, respectively, of total revenue in those periods. For fiscal 1999, we expect to spend approximately $40 million on research and development activities.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lease space in various facilities in Israel, aggregating approximately 650,000 square feet, pursuant to leases expiring on various dates between December 1999 and December 2008, and have various options to extend the terms of such leases. In Israel, we currently pay total yearly rental fees of approximately $12.4 million which are linked, in most cases, to the U.S. dollar. Included in these facilities are the following:</w:t>
      </w:r>
    </w:p>
    <w:p>
      <w:pPr>
        <w:spacing w:after="0" w:line="176" w:lineRule="exact"/>
        <w:rPr>
          <w:sz w:val="20"/>
          <w:szCs w:val="20"/>
          <w:color w:val="auto"/>
        </w:rPr>
      </w:pPr>
    </w:p>
    <w:p>
      <w:pPr>
        <w:ind w:left="620" w:right="3079" w:hanging="181"/>
        <w:spacing w:after="0" w:line="242"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Israeli subsidiary rents approximately 297,000 square feet in Ra'anana, Israel under a ten-year lease (commencing June 1998). In June 1998, the Israeli subsidiary relocated its main offices and most of its operations to this location. The annual rent for the Ra'anana facility is approximately $5.6 million. Subject to the modification of certain tax rules, the Israeli subsidiary will also have the option to extend the lease term for an additional eight years. In addition, the Israeli subsidiary holds, subject to certain terms and conditions, an option to acquire certain parts of the Ra'anana facility.</w:t>
      </w:r>
    </w:p>
    <w:p>
      <w:pPr>
        <w:spacing w:after="0" w:line="178" w:lineRule="exact"/>
        <w:rPr>
          <w:rFonts w:ascii="Courier New" w:cs="Courier New" w:eastAsia="Courier New" w:hAnsi="Courier New"/>
          <w:sz w:val="15"/>
          <w:szCs w:val="15"/>
          <w:color w:val="auto"/>
        </w:rPr>
      </w:pPr>
    </w:p>
    <w:p>
      <w:pPr>
        <w:jc w:val="both"/>
        <w:ind w:left="620" w:right="3439" w:hanging="181"/>
        <w:spacing w:after="0" w:line="241"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our Israeli subsidiary rents facilities in Ramat-Gan and Jerusalem. The annual rent for these facilities is approximately $2.9 million and $1.1 million, respectively.</w:t>
      </w:r>
    </w:p>
    <w:p>
      <w:pPr>
        <w:spacing w:after="0" w:line="176"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69,000 square feet of the facilities in Ramat-Gan are owned by related companies which lease these facilities to us.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In December 1998, the Israeli subsidiary entered into a ten-year lease for an additional 55,000 square feet commencing July 2000. The annual rent is approximately $1.0 million.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subsidiary in the United States rents approximately 95,000 square feet in Chesterfield, Missouri under a seven-year lease (commencing December 1998). In June 1999, we relocated our development center and all of our administrative personnel, at the time principally centered around St. Louis, Missouri, to this facility. The annual rent for the facility will be approximately $2.5 million. We also hold a number of other leases in the United States, with an aggregate annual rent of approximately $870,000.</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9"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50</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also lease approximately 45,000 square feet for our development facility in Cyprus at an annual rent of approximately $550,000.</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We lease additional office space in Australia, Brazil, Germany, Japan, Korea and the United Kingdom.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not involved in any material legal proceedings.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9" w:right="1440" w:bottom="1440" w:gutter="0" w:footer="0" w:header="0"/>
        </w:sectPr>
      </w:pPr>
    </w:p>
    <w:bookmarkStart w:id="50" w:name="page51"/>
    <w:bookmarkEnd w:id="50"/>
    <w:p>
      <w:pPr>
        <w:ind w:left="268"/>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Amdocs Limited is organized under the laws of Guernsey and, as set forth in its Articles of Association, is a holding company for the various subsidiaries that conduct our business on a worldwide basis. Our principal operating subsidiaries are Amdocs (Israel) Limited (Israel), Amdocs, Inc. (the United States), Amdocs (UK) Limited (the United Kingdom) and Amdocs Development Limited (Cyprus). We rely on the executive officers of our operating subsidiaries to manage our business. In addition, Amdocs Management Limited, our management subsidiary, performs certain executive coordination functions for all our operating subsidiaries.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OFFICERS AND DIRECTORS AND OTHER KEY EMPLOYEES</w:t>
      </w:r>
    </w:p>
    <w:p>
      <w:pPr>
        <w:spacing w:after="0" w:line="176"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board of directors and the executive officers of Amdocs and our subsidiaries and their ages as of October 6, 1999,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560" w:type="dxa"/>
            <w:vAlign w:val="bottom"/>
          </w:tcPr>
          <w:p>
            <w:pPr>
              <w:ind w:left="198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560" w:type="dxa"/>
            <w:vAlign w:val="bottom"/>
          </w:tcPr>
          <w:p>
            <w:pPr>
              <w:ind w:left="2160"/>
              <w:spacing w:after="0"/>
              <w:rPr>
                <w:sz w:val="20"/>
                <w:szCs w:val="20"/>
                <w:color w:val="auto"/>
              </w:rPr>
            </w:pPr>
            <w:r>
              <w:rPr>
                <w:rFonts w:ascii="Courier New" w:cs="Courier New" w:eastAsia="Courier New" w:hAnsi="Courier New"/>
                <w:sz w:val="15"/>
                <w:szCs w:val="15"/>
                <w:color w:val="auto"/>
              </w:rPr>
              <w:t>--------</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Bruce K. Anderson(2)(3)...................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Chairman of the Board and Chief Executive Officer,</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Robert A. Minicucci(2)(3).................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and Chief Financial Officer, Amdocs</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Avinoam Naor..............................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of Amdocs Limited and Chief Executive</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Officer of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Dov Baharav...............................</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Senior Vice President and Chief Financial Officer,</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Thomas G. O'Brien.........................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Treasurer and Secretary, Amdocs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Nehemia Lemelbaum.........................</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Mario Segal...............................</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Joshua Ehrlich............................</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50</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Simon Cassif..............................</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(UK)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Melinos Pissourios........................</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General Manager, Amdocs Development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Adrian Gardner(1)(2)(3)...................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Stephen Hermer............................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James Kahan...............................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Paz Littman(2)(3).........................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43</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Revital Naveh(1)..........................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Lawrence Perlman(1).......................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Michael J. Price..........................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Urs Suter.................................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Executive Committee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Bruce K. Anderson has been Chief Executive Officer and Chairman of the Board of Amdocs since September 1997. Since August 1978, he has been a general partner of WCAS, an investment firm which specializes in the acquisition of companies in the information services, communications and health care industries. Investment partnerships affiliated with WCAS are collectively our largest stockholder. Mr. Anderson served for nine years with Automated Data Processing, Inc., or ADP, until his resignation as Executive Vice President and a director of ADP, and President of ADP International, effective August 1978. Mr. Anderson serves on the board of directors of Medquist, Inc. and several private companies.</w:t>
      </w: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289"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52</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Robert A. Minicucci has been Chief Financial Officer and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Mr. Minicucci served for twelve years with Lehman Brothers (and its predecessors) until his resignation as a Managing Director in 1991. He is also a director of several private companies.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Avinoam Naor has been a director of Amdocs Limited since January 1999 and is Chief Executive Officer of Amdocs Management Limited having overall coordination responsibility for the operations and activities of our operating subsidiaries. Mr. Naor joined Amdocs in 1982 and initially served as a Senior Vice President. He has been involved with software development for 28 years, working on projects for the development of infrastructure software for communications systems and developing and marketing directory assistance systems. Mr. Naor was a member of the team that established the computerized system for Golden Pages, the Israel Yellow Pages company.</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Dov Baharav is a Senior Vice President and the Chief Financial Officer of Amdocs Management Limited, and has overall coordination responsibility for the financial reporting of our operating subsidiaries. Mr. Baharav joined Amdocs in 1991 in St. Louis, Missouri and until 1995 served as Vice President and President of Amdocs, Inc., our principal U.S. subsidiary. Prior to joining Amdocs, Mr. Baharav served as Chief Operating Officer of Oprotech Ltd., a publicly held company that develops, manufactures and markets electro-optical devices.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a certified public accountant with Arthur Young and Company (now Ernst &amp; Young LLP). Mr. O'Brien is a member of the American Institute of Certified Public Accountants and the Missouri Society of Certified Public Accountants.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Nehemia Lemelbaum is Senior Vice President, Strategy and Corporate Development, of Amdocs Management Limited. He joined Amdocs in 1985, with initial responsibility for our U.S. operations. Mr. Lemelbaum led our development of graphic products for the Yellow Pages industry and directed our development of CC&amp;B Systems. He served for nine years with Contahal Ltd., a leading Israeli software house, first as a senior consultant, and later as Managing Director. From 1967 to 1976, Mr. Lemelbaum was employed by the Ministry of Communications of Israel (in effect the organization that is currently Bezeq, the Israel Telecommunication Corp. Ltd.), with responsibility for computer technology in the area of business data processing.</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Mario Segal is a Senior Vice President and the Chief Operating Officer of Amdocs Management Limited. He joined Amdocs in 1984 as Senior Vice President and was a leading member of the team that developed the "ADS(NG)/Family of Products" directory automation systems and the "Customer Care and Billing Platform." Mr. Segal was also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Joshua Ehrlich is Senior Vice President, Business Development, of Amdocs Management Limited. Mr. Ehrlich has overall responsibility for coordinating new business development. He joined Amdocs in 1985. Mr. Ehrlich served as the account manager for one of our major North American installations, and subsequently had responsibility for major product development efforts. Following that, he assumed the responsibility for coordinating our sales support activities. Prior to joining Amdocs, Mr. Ehrlich managed the industrial application division of a leading Israeli</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9"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53</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software company, with responsibility for business development, overall project control and coordination of sales support.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Simon Cassif is a Senior Vice President of Amdocs (UK) Limited. He has principal responsibility for developing our relationships with strategic customers in Europe. Mr. Cassif joined Amdocs in January 1994 and has since been devoting most of his efforts to business development in the area of customer care and billing. Prior to joining Amdocs, Mr. Cassif was Chief Information Officer and Vice President, Systems and Computers at Bezeq, the Israel Telecommunication Corp. Ltd. Mr. Cassif held this position for twelve years, with full responsibility for Bezeq Information Technology strategy, systems development, maintenance and operations.</w:t>
      </w:r>
    </w:p>
    <w:p>
      <w:pPr>
        <w:spacing w:after="0" w:line="178"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Melinos Pissourios is General Manager of Amdocs Development Limited. Mr. Pissourios, who joined Amdocs in April 1998, is also the Financial Controller of Amdocs Development Limited in Cyprus. Prior to joining Amdocs, Mr. Pissourios was the Group Financial Controller at AEC Holland Group. He also worked for KPMG Peat Marwick for four years. Mr. Pissourios is a member of the Cyprus Institute of Certified Public Accountants and he is a registered auditor in Cyprus.</w:t>
      </w:r>
    </w:p>
    <w:p>
      <w:pPr>
        <w:spacing w:after="0" w:line="161"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Adrian Gardner has been a director of Amdocs since April 1998. Mr. Gardner is an Executive Director of Lazard Brothers &amp; Co., Limited, based in London and working with technology and telecommunications-related companies. Prior to joining Lazard Brothers in 1989, Mr. Gardner qualified as a chartered accountant with Price Waterhouse. Mr. Gardner is a member of the Institute of Chartered Accountants in England and Wales and a member of The Securities Institute.</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Stephen Hermer has been a director of Amdocs since April 1998. In 1998, Mr. Hermer joined the law firm of Olswang, based in London, where he practices corporate and securities law. Prior to that, he was a partner with the London law firm of Frere Cholmeley Bischoff.</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James S. Kahan has been a director of Amdocs since April 1998. Mr. Kahan has worked at SBC since 1983, and currently serves as its Senior Vice President-Corporate Development, a position he has held since 1992. Prior to joining SBC Mr. Kahan held various positions at several telecommunications companies, including Western Electric, Bell Laboratories, South Central Bell and AT&amp;T.</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Paz Littman has been a director of Amdocs since September 1997. Since October 1996, he has served as President of Aurum Management and Consulting Ltd., a privately held company, which makes and manages investments for shareholders of the Aurec Group. From 1991 to 1996, Mr. Littman was an active partner with the law firm of Meitar, Littman &amp; Co.</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Revital Naveh has been a director of Amdocs since April 1998. In July 1997, Ms. Naveh joined Aurum Management and Consulting Ltd., a privately held company, which makes and manages investments for shareholders of the Aurec Group. Prior to that, Ms. Naveh was an associate at the New York law firm of Skadden, Arps, Slate, Meagher &amp; Flom LLP.</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Lawrence Perlman has been a director of Amdocs since April 1998. He has been Chairman of Ceridian Corporation since 1992, and its Chief Executive Officer since 1990. Ceridian Corporation is a provider of information services to employers to administer various human resource functions, as well as information services for the transportation and electronic media markets. Mr. Perlman is a director and Chairman of Seagate Technology, Inc., and a director of The Valspar Corporation and Computer Network Technology Corporation. Mr. Perlman has been a director of Ceridian since 1985.</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Michael J. Price has been a director of Amdocs since January 1998. He is co-Chief Executive Officer of FirstMark Communications LLC, a broadband wireless telecommunications company. Prior to that, he worked at Lazard Freres &amp; Co. L.L.C., starting in 1987, serving first as a Vice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9"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54</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President and then as a Managing Director, where he led its technology and telecommunications group. He is also a director of SpectraSite, a leading tower management company.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Urs Suter has been a director of Amdocs since May 1999. Mr. Suter has been the managing partner of the law firm Suter attorneys at law, in Zurich, Switzerland, since 1995. Prior to that, he was a law partner with Price Waterhouse. He is also a director of several private companies.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All directors hold office until the next annual meeting of our shareholders or until their respective successors are duly elected and qualified or their positions are earlier vacated by resignation or otherwise.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w:t>
      </w:r>
    </w:p>
    <w:p>
      <w:pPr>
        <w:spacing w:after="0" w:line="175"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Compensation Committee of the board of directors determines the salaries and incentive compensation of the officers of Amdocs and our subsidiaries and provides recommendations for the salaries and incentive compensation of other employees and the consultants. The Compensation Committee also administers various compensation, stock and benefit plans of Amdocs.</w:t>
      </w:r>
    </w:p>
    <w:p>
      <w:pPr>
        <w:spacing w:after="0" w:line="163"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We have also established an Executive Committee which may act from time to time instead of the full board of directors and has such responsibilities as may be delegated to it by the Board.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Our Compensation Committee consists of Messrs. Anderson, Minicucci, Gardner and Littman. None of the members of the Committee was an employee of ours at any time during fiscal 1998 or the nine months ended June 30,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pay our non-employee directors who are not associated with any of our principal shareholders (1) $10,000 per annum and (2) $1,500 per meeting of the board of directors and $500 per meeting of a committee of the Board. We reimburse all of our directors for their reasonable travel expenses incurred in connection with attending meetings of the board of directors or committees thereof. Under certain circumstances, directors are also eligible to receive stock options. During fiscal year 1998, we granted options to two non-employee directors to purchase a total of 21,000 ordinary shares at a price of $14 per share, vesting over three years.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9"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55</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total of nine persons who served either as an executive officer or director of Amdocs during fiscal year 1998 received remuneration from Amdocs. The aggregate remuneration paid by us to such persons was approximately $4 million, which includes amounts set aside or accrued to provide pension, retirement or similar benefits, but does not include amounts expended by us for automobiles made available to our officers, expenses (including business travel, professional and business association dues) or other fringe benefits.</w:t>
      </w:r>
    </w:p>
    <w:p>
      <w:pPr>
        <w:spacing w:after="0" w:line="177"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During fiscal 1998, we granted options to six executive officers and directors to purchase a total of 448,000 ordinary shares at an average exercise price of $8.20 per share, with vesting over three to eight-year terms.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January, 1998 through July 31, 1999 we granted options, net of forfeitures, to purchase approximately 6,070,000 ordinary shares to our officers and employees, and options to purchase 41,000 ordinary shares to our non-employee directors and consultants, pursuant to a stock option and incentive plan adopted in January 1998. The weighted average exercise price of those options is $11.52. The options vest over a period of three to eight years commencing from the date of grant. There are currently 6,600,000 ordinary shares reserved for issuance under the stock option plan. The purpose of the stock option plan is to enable us to attract and retain qualified personnel and to motivate such persons by providing them with an equity participation in Amdocs. The stock option plan is administered by a committee appointed by the Board and expires ten years after the date of its adoption.</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ordinary shares acquired upon exercise of an option and the restricted shares that may be granted under the stock option plan will be subject to certain restrictions on transfer, sale or hypothecation. Options will be exercisable and restrictions on disposition of shares will lapse pursuant to the terms of the individual agreements under which such options were granted or shares issued.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TRUST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1997, we contributed $25.8 million to an irrevocable secular trust, or the Trust, the beneficiaries of which are primarily software and information technology specialists who have played an important role in our success. The Trust will distribute on specified dates within the next five years cash amounts to those beneficiaries employed by us on those dates. The amounts to be distributed to the beneficiaries employed by us on the relevant dates will include any appreciation in the value of the Trust's assets and are dependent upon certain conditions, such as the amount of cash available and the Trust's ability to realize the value of the assets it holds. Termination of a beneficiary's employment with Amdocs will not affect entitlement to a beneficiary's minimum interest in the Trust which was fixed at the time of our contribution to the Trust, and any terminated employee will receive such interest in September 2007. In September 1997, the Trust used the contribution from Amdocs and other resources to purchase 5,720,000 ordinary shares from us for an aggregate consideration of approximately $31.6 million. The Trust is required to liquidate any investments held in respect of any beneficiary and distribute only a cash payment.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9"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CERTAIN TRANSACTIONS</w:t>
      </w:r>
    </w:p>
    <w:p>
      <w:pPr>
        <w:spacing w:after="0" w:line="174" w:lineRule="exact"/>
        <w:rPr>
          <w:sz w:val="20"/>
          <w:szCs w:val="20"/>
          <w:color w:val="auto"/>
        </w:rPr>
      </w:pPr>
    </w:p>
    <w:p>
      <w:pPr>
        <w:ind w:left="440"/>
        <w:spacing w:after="0"/>
        <w:tabs>
          <w:tab w:leader="none" w:pos="2560" w:val="left"/>
        </w:tabs>
        <w:rPr>
          <w:sz w:val="20"/>
          <w:szCs w:val="20"/>
          <w:color w:val="auto"/>
        </w:rPr>
      </w:pPr>
      <w:r>
        <w:rPr>
          <w:rFonts w:ascii="Courier New" w:cs="Courier New" w:eastAsia="Courier New" w:hAnsi="Courier New"/>
          <w:sz w:val="15"/>
          <w:szCs w:val="15"/>
          <w:color w:val="auto"/>
        </w:rPr>
        <w:t>INVESTMENT AGREEMENTS.</w:t>
      </w:r>
      <w:r>
        <w:rPr>
          <w:sz w:val="20"/>
          <w:szCs w:val="20"/>
          <w:color w:val="auto"/>
        </w:rPr>
        <w:tab/>
      </w:r>
      <w:r>
        <w:rPr>
          <w:rFonts w:ascii="Courier New" w:cs="Courier New" w:eastAsia="Courier New" w:hAnsi="Courier New"/>
          <w:sz w:val="14"/>
          <w:szCs w:val="14"/>
          <w:color w:val="auto"/>
        </w:rPr>
        <w:t>In September 1997, Amdocs and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Share Subscription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from us on September 22, 1997, $3.27 million principal amount of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junior promissory notes and shares representing 8.7% of our then outstanding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for $61.2 million. On that date, Amdocs and the WCAS Investors also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Conditional Investment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subject to the satisfaction of specific revenue and cash flow targets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November 30, 1997, to acquire additional shares of Amdocs which, when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added to the shares acquired under the Share Subscription Agreement, would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constitute 35.0% of our outstanding equity as of September 22,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Concurrently with the signing of the Conditional Investment Agreement,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of Amdocs, ESM, entered into a Note Purchase Agreement with WCAS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Partners III, L.P., an investment partnership affiliated with WCAS,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several other investors, providing for the issuance of up to $125.0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of 10% subordinated notes of ESM, subject to the satisfaction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same financial targets set forth in the Conditional Investment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January 1998, with the financial targets having been met, ESM sold $123.5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principal amount of subordinated notes under the Note Purchase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 purchase price equal to their principal amount. On March 30, 1998,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 the transactions contemplated by the Conditional Investment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issuing and selling to the WCAS Investors 51,507,716 ordinary shares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$95.83 million in cash and the surrender of the $3.27 million principal 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junior promissory notes issued by us in September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entities in which several of our directors and executive officers and our subsidiaries have a beneficial interest participated in the investments made pursuant to the Share Subscription Agreement and the Conditional Investment Agreement and acquired beneficial ownership of 2,078,336 ordinary shares for a total investment of $4.0 million.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proceeds of the equity and subordinated debt investments made under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Subscription Agreement, the Conditional Investment Agreement and the Note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Agreement were used, together with the proceeds of a senior bank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and internally generated funds, (1) to acquire for $40.0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intellectual property rights from operating subsidiaries of SBC and (2)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fund an internal corporate reorganization. Following the reorganization,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$478.7 million in dividends were paid to our shareholders, including a total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$39.9 million to the WCAS Investors.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September 1997, the WCAS Investors (investment partnerships affiliated with WCAS and some other investors, including certain entities in which some directors and executive officers of our subsidiaries have a beneficial interest) also granted a call option on some of the ordinary shares acquired under the Share Subscription Agreement and the Conditional Investment Agreement to our then existing shareholders, AIL, SBCI, several entities in some of which some of our executive officers have a beneficial interest and the Trust. The call option may be exercised, without the payment of any consideration to the WCAS Investors, if specific revenue and cash flow targets are met in fiscal 1998 and fiscal 1999. The targets in fiscal 1998 were satisfied in full. If fully exercised, the call option would decrease the ownership of the WCAS Investors from 59,412,656 to 44,214,616 and increase the relative ownership of AIL, SBCI and the other investors with no change in the aggregate number of ordinary shares outstanding. If the conditions of the call option agreement are satisfied in full, AIL and SBCI each have the right to receive 6,154,138 ordinary shares and the other investors have the right to receive 2,889,764 ordinary shares.</w:t>
      </w:r>
    </w:p>
    <w:p>
      <w:pPr>
        <w:spacing w:after="0" w:line="16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SHAREHOLDERS AGREEMENT. In connection with the Share Subscription Agreement and Conditional Investment Agreement, SBCI, WCAS (on behalf of the WCAS Investors), AIL and Amdocs, entered into a shareholders agreement, under which these shareholders have certain rights to have their shares registered for sale to the public under the Securities Act of 1933.</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9"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RELATIONSHIP WITH SBC. Until September 1997, SBC and some of its operating subsidiaries had specified ownership and marketing rights with respect to some of our software products that were developed and owned jointly by us and such SBC subsidiaries. In September 1997, we entered into a series of agreements with these SBC subsidiaries pursuant to which we purchased certain rights from them and terminated related future royalty payment obligations for a total consideration of $40.0 million.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1999, we entered into an agreement with a subsidiary of SBC, under which SBC has agreed that the level of support and development services that we will provide to SBC and its subsidiaries over the next three years will be at least equal to a substantial portion of the services we currently provide to SBC.</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SBC and some of its operating subsidiaries are also significant customers of ours. During the first nine months of fiscal 1999 and fiscal 1998, 1997 and 1996, SBC and those subsidiaries accounted for approximately 15.7%, 20.8%, 34.5% and 38.0%, respectively, of our revenue.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1995 REORGANIZATION. Prior to 1995, Amdocs and our operating subsidiaries were operated as a group of companies owned by common shareholders. In 1995, the companies underwent a reorganization, or the 1995 Reorganization, as a result of which Amdocs Limited became the holding company for all the affiliated companies. Subsequent to the reorganization, we issued shares for a total of $16.6 million to several entities in some of which some of our officers, including one of our directors, have a beneficial interest. In connection with the 1995 Reorganization, these entities entered into shareholders agreements with SBCI and AIL, or the 1995 Shareholders Agreements, in March and September of 1995. Pursuant to the 1995 Shareholders Agreements, the parties thereto have, subject to the occurrence of specified events, call and put rights with respect to the shares issued in connection with the 1995 Reorganization, which may be exercised at a price less than the original purchase price. These rights expire ratably over time and fully expire in 1999, in the case of one such entity, and 2002, in all other cases. The exercise of such rights will not affect the number of outstanding ordinary shares.</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RELATIONSHIPS. Since fiscal 1997, we have provided a CC&amp;B System and related customization and implementation services to GoldenLines Limited, a provider of international telephone service for calls to and from Israel. SBC and Morris S. Kahn have a significant beneficial interest in GoldenLines.</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SBC and Mr. Kahn also are the beneficial owners of a company that leases office facilities and provides certain miscellaneous support services to us in Israel.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ITDS transaction AIL entered into an agreement with us under which they will compensate us in the event that our share price as determined for purposes of computing the exchange ratio in the merger falls below $27.50 (our ordinary share price on the date of the merger agreement). Under that agreement, AIL will contribute to us 55% of the number of additional ordinary shares we are required to issue in the merger as a result of our ordinary share price falling below $27.50 up to a maximum of 550,000 ordinary shares. If this offering is withdrawn or terminated without the sale in the offering of any of AIL's ordinary shares prior to the closing of the merger, AIL will contribute to us under the agreement the number of additional ordinary shares we are required to issue in the merger as a result of our ordinary share price falling below $27.50, and up to a maximum of 150,000. See "Management's Discussion and Analysis of Results of Operations and Financial</w:t>
      </w:r>
    </w:p>
    <w:p>
      <w:pPr>
        <w:spacing w:after="0" w:line="9"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Condition -- Recent Developments" for further discussion of the exchange ratio computation.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9"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58</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PRINCIPAL SHAREHOLDERS AND SELLING SHAREHOLDER</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All of the shares that are offered in this offering will be sold by Amdocs International Limited. In addition, Amdocs International Limited has granted to the underwriters an option to purchase an aggregate of up to 2,700,000 additional ordinary shares solely to cover over-allotments.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specified information with respect to the beneficial ownership (before and after giving effect to the sale of ordinary shares pursuant to this prospectus) as of October 6, 1999 of (i) any person known by us to be the beneficial owner of more than 10% of the outstanding ordinary shares, (ii) all of our directors and executive officers as a group and (iii) the selling shareholder.</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ADDRESS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BENEFICIALLY OWNED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PRIOR TO THE OFFERING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0"/>
        <w:spacing w:after="0"/>
        <w:tabs>
          <w:tab w:leader="none" w:pos="1320" w:val="left"/>
        </w:tabs>
        <w:rPr>
          <w:sz w:val="20"/>
          <w:szCs w:val="20"/>
          <w:color w:val="auto"/>
        </w:rPr>
      </w:pPr>
      <w:r>
        <w:rPr>
          <w:rFonts w:ascii="Courier New" w:cs="Courier New" w:eastAsia="Courier New" w:hAnsi="Courier New"/>
          <w:sz w:val="15"/>
          <w:szCs w:val="15"/>
          <w:color w:val="auto"/>
        </w:rPr>
        <w:t>NUMBER(1)</w:t>
      </w:r>
      <w:r>
        <w:rPr>
          <w:sz w:val="20"/>
          <w:szCs w:val="20"/>
          <w:color w:val="auto"/>
        </w:rPr>
        <w:tab/>
      </w:r>
      <w:r>
        <w:rPr>
          <w:rFonts w:ascii="Courier New" w:cs="Courier New" w:eastAsia="Courier New" w:hAnsi="Courier New"/>
          <w:sz w:val="15"/>
          <w:szCs w:val="15"/>
          <w:color w:val="auto"/>
        </w:rPr>
        <w:t>PERCENT(2)</w:t>
      </w:r>
    </w:p>
    <w:p>
      <w:pPr>
        <w:spacing w:after="0" w:line="4" w:lineRule="exact"/>
        <w:rPr>
          <w:sz w:val="20"/>
          <w:szCs w:val="20"/>
          <w:color w:val="auto"/>
        </w:rPr>
      </w:pPr>
    </w:p>
    <w:p>
      <w:pPr>
        <w:ind w:left="180"/>
        <w:spacing w:after="0"/>
        <w:tabs>
          <w:tab w:leader="none" w:pos="1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SHARES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BEING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OFFERED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SHARED BENEFICIALLY OWNED</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AFTER THE OFFERING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0"/>
        <w:spacing w:after="0"/>
        <w:tabs>
          <w:tab w:leader="none" w:pos="1320" w:val="left"/>
        </w:tabs>
        <w:rPr>
          <w:sz w:val="20"/>
          <w:szCs w:val="20"/>
          <w:color w:val="auto"/>
        </w:rPr>
      </w:pPr>
      <w:r>
        <w:rPr>
          <w:rFonts w:ascii="Courier New" w:cs="Courier New" w:eastAsia="Courier New" w:hAnsi="Courier New"/>
          <w:sz w:val="15"/>
          <w:szCs w:val="15"/>
          <w:color w:val="auto"/>
        </w:rPr>
        <w:t>NUMBER(1)</w:t>
      </w:r>
      <w:r>
        <w:rPr>
          <w:sz w:val="20"/>
          <w:szCs w:val="20"/>
          <w:color w:val="auto"/>
        </w:rPr>
        <w:tab/>
      </w:r>
      <w:r>
        <w:rPr>
          <w:rFonts w:ascii="Courier New" w:cs="Courier New" w:eastAsia="Courier New" w:hAnsi="Courier New"/>
          <w:sz w:val="15"/>
          <w:szCs w:val="15"/>
          <w:color w:val="auto"/>
        </w:rPr>
        <w:t>PERCENT(2)</w:t>
      </w:r>
    </w:p>
    <w:p>
      <w:pPr>
        <w:spacing w:after="0" w:line="4" w:lineRule="exact"/>
        <w:rPr>
          <w:sz w:val="20"/>
          <w:szCs w:val="20"/>
          <w:color w:val="auto"/>
        </w:rPr>
      </w:pPr>
    </w:p>
    <w:p>
      <w:pPr>
        <w:ind w:left="180"/>
        <w:spacing w:after="0"/>
        <w:tabs>
          <w:tab w:leader="none" w:pos="1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4">
            <w:col w:w="2760" w:space="720"/>
            <w:col w:w="2500" w:space="180"/>
            <w:col w:w="980" w:space="100"/>
            <w:col w:w="297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Welsh, Carson, Anderson &amp;</w:t>
      </w:r>
    </w:p>
    <w:p>
      <w:pPr>
        <w:sectPr>
          <w:pgSz w:w="11900" w:h="16838" w:orient="portrait"/>
          <w:cols w:equalWidth="0" w:num="1">
            <w:col w:w="10219"/>
          </w:cols>
          <w:pgMar w:left="240" w:top="289"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Stowe(3)(5)........................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54,445,228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27.4%</w:t>
      </w:r>
    </w:p>
    <w:p>
      <w:pPr>
        <w:spacing w:after="0" w:line="20" w:lineRule="exact"/>
        <w:rPr>
          <w:sz w:val="20"/>
          <w:szCs w:val="20"/>
          <w:color w:val="auto"/>
        </w:rPr>
      </w:pPr>
      <w:r>
        <w:rPr>
          <w:sz w:val="20"/>
          <w:szCs w:val="20"/>
          <w:color w:val="auto"/>
        </w:rPr>
        <w:br w:type="column"/>
      </w: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54,445,228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27.4%</w:t>
      </w:r>
    </w:p>
    <w:p>
      <w:pPr>
        <w:spacing w:after="0" w:line="4" w:lineRule="exact"/>
        <w:rPr>
          <w:sz w:val="20"/>
          <w:szCs w:val="20"/>
          <w:color w:val="auto"/>
        </w:rPr>
      </w:pPr>
    </w:p>
    <w:p>
      <w:pPr>
        <w:sectPr>
          <w:pgSz w:w="11900" w:h="16838" w:orient="portrait"/>
          <w:cols w:equalWidth="0" w:num="5">
            <w:col w:w="3300" w:space="260"/>
            <w:col w:w="900" w:space="640"/>
            <w:col w:w="960" w:space="720"/>
            <w:col w:w="1440" w:space="620"/>
            <w:col w:w="1379"/>
          </w:cols>
          <w:pgMar w:left="240" w:top="28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320 Park Avenue, Suite 2500</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New York, New York 10022</w:t>
      </w:r>
    </w:p>
    <w:p>
      <w:pPr>
        <w:sectPr>
          <w:pgSz w:w="11900" w:h="16838" w:orient="portrait"/>
          <w:cols w:equalWidth="0" w:num="1">
            <w:col w:w="10219"/>
          </w:cols>
          <w:pgMar w:left="240" w:top="289"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International, Inc.(4)...........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38,710,073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19.5%</w:t>
      </w:r>
    </w:p>
    <w:p>
      <w:pPr>
        <w:spacing w:after="0" w:line="20" w:lineRule="exact"/>
        <w:rPr>
          <w:sz w:val="20"/>
          <w:szCs w:val="20"/>
          <w:color w:val="auto"/>
        </w:rPr>
      </w:pPr>
      <w:r>
        <w:rPr>
          <w:sz w:val="20"/>
          <w:szCs w:val="20"/>
          <w:color w:val="auto"/>
        </w:rPr>
        <w:br w:type="column"/>
      </w: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38,710,073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19.5%</w:t>
      </w:r>
    </w:p>
    <w:p>
      <w:pPr>
        <w:spacing w:after="0" w:line="2" w:lineRule="exact"/>
        <w:rPr>
          <w:sz w:val="20"/>
          <w:szCs w:val="20"/>
          <w:color w:val="auto"/>
        </w:rPr>
      </w:pPr>
    </w:p>
    <w:p>
      <w:pPr>
        <w:sectPr>
          <w:pgSz w:w="11900" w:h="16838" w:orient="portrait"/>
          <w:cols w:equalWidth="0" w:num="5">
            <w:col w:w="3300" w:space="260"/>
            <w:col w:w="900" w:space="640"/>
            <w:col w:w="960" w:space="720"/>
            <w:col w:w="1440" w:space="620"/>
            <w:col w:w="1379"/>
          </w:cols>
          <w:pgMar w:left="240" w:top="28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175 E. Houston Street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San Antonio, Texas 78205-2233</w:t>
      </w:r>
    </w:p>
    <w:p>
      <w:pPr>
        <w:sectPr>
          <w:pgSz w:w="11900" w:h="16838" w:orient="portrait"/>
          <w:cols w:equalWidth="0" w:num="1">
            <w:col w:w="10219"/>
          </w:cols>
          <w:pgMar w:left="240" w:top="289"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International Limited(5)(6)...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35,720,051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17,720,051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8.9%</w:t>
      </w:r>
    </w:p>
    <w:p>
      <w:pPr>
        <w:spacing w:after="0" w:line="2" w:lineRule="exact"/>
        <w:rPr>
          <w:sz w:val="20"/>
          <w:szCs w:val="20"/>
          <w:color w:val="auto"/>
        </w:rPr>
      </w:pPr>
    </w:p>
    <w:p>
      <w:pPr>
        <w:sectPr>
          <w:pgSz w:w="11900" w:h="16838" w:orient="portrait"/>
          <w:cols w:equalWidth="0" w:num="6">
            <w:col w:w="3300" w:space="260"/>
            <w:col w:w="900" w:space="640"/>
            <w:col w:w="440" w:space="540"/>
            <w:col w:w="880" w:space="360"/>
            <w:col w:w="900" w:space="720"/>
            <w:col w:w="1279"/>
          </w:cols>
          <w:pgMar w:left="240" w:top="28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Suite 5, Tower Hill House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Le Bordage, St. Peter Port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Guernsey GY1 3QT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Channel Islands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directors and executive officers</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 a group (18</w:t>
      </w:r>
    </w:p>
    <w:p>
      <w:pPr>
        <w:sectPr>
          <w:pgSz w:w="11900" w:h="16838" w:orient="portrait"/>
          <w:cols w:equalWidth="0" w:num="1">
            <w:col w:w="10219"/>
          </w:cols>
          <w:pgMar w:left="240" w:top="289" w:right="1440" w:bottom="1440" w:gutter="0" w:footer="0" w:header="0"/>
          <w:type w:val="continuous"/>
        </w:sectPr>
      </w:pP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persons)(3)(4)(7)(8)...............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146,079,464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128,079,464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64.4%</w:t>
      </w:r>
    </w:p>
    <w:p>
      <w:pPr>
        <w:spacing w:after="0" w:line="200" w:lineRule="exact"/>
        <w:rPr>
          <w:sz w:val="20"/>
          <w:szCs w:val="20"/>
          <w:color w:val="auto"/>
        </w:rPr>
      </w:pPr>
    </w:p>
    <w:p>
      <w:pPr>
        <w:sectPr>
          <w:pgSz w:w="11900" w:h="16838" w:orient="portrait"/>
          <w:cols w:equalWidth="0" w:num="6">
            <w:col w:w="3300" w:space="180"/>
            <w:col w:w="980" w:space="640"/>
            <w:col w:w="440" w:space="540"/>
            <w:col w:w="880" w:space="280"/>
            <w:col w:w="980" w:space="620"/>
            <w:col w:w="1379"/>
          </w:cols>
          <w:pgMar w:left="240" w:top="289" w:right="1440"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289" w:right="1440" w:bottom="1440" w:gutter="0" w:footer="0" w:header="0"/>
          <w:type w:val="continuous"/>
        </w:sectPr>
      </w:pPr>
    </w:p>
    <w:p>
      <w:pPr>
        <w:spacing w:after="0" w:line="13" w:lineRule="exact"/>
        <w:rPr>
          <w:sz w:val="20"/>
          <w:szCs w:val="20"/>
          <w:color w:val="auto"/>
        </w:rPr>
      </w:pPr>
    </w:p>
    <w:p>
      <w:pPr>
        <w:ind w:left="440" w:right="3079" w:hanging="357"/>
        <w:spacing w:after="0" w:line="242" w:lineRule="auto"/>
        <w:rPr>
          <w:sz w:val="20"/>
          <w:szCs w:val="20"/>
          <w:color w:val="auto"/>
        </w:rPr>
      </w:pPr>
      <w:r>
        <w:rPr>
          <w:rFonts w:ascii="Courier New" w:cs="Courier New" w:eastAsia="Courier New" w:hAnsi="Courier New"/>
          <w:sz w:val="15"/>
          <w:szCs w:val="15"/>
          <w:color w:val="auto"/>
        </w:rPr>
        <w:t>(1) Unless otherwise indicated, the entities and individuals identified in this table have sole voting and investment power with respect to all ordinary shares and sole investment power with respect to all ordinary nonvoting shares shown as beneficially owned by them, subject to community property laws, where applicable.</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 The percentages shown are based on 174,589,951 ordinary voting shares and</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24,210,073 ordinary nonvoting shares outstanding on October 6, 1999.</w:t>
      </w:r>
    </w:p>
    <w:p>
      <w:pPr>
        <w:spacing w:after="0" w:line="176" w:lineRule="exact"/>
        <w:rPr>
          <w:sz w:val="20"/>
          <w:szCs w:val="20"/>
          <w:color w:val="auto"/>
        </w:rPr>
      </w:pPr>
    </w:p>
    <w:p>
      <w:pPr>
        <w:ind w:left="440" w:right="3079" w:hanging="357"/>
        <w:spacing w:after="0" w:line="261" w:lineRule="auto"/>
        <w:rPr>
          <w:sz w:val="20"/>
          <w:szCs w:val="20"/>
          <w:color w:val="auto"/>
        </w:rPr>
      </w:pPr>
      <w:r>
        <w:rPr>
          <w:rFonts w:ascii="Courier New" w:cs="Courier New" w:eastAsia="Courier New" w:hAnsi="Courier New"/>
          <w:sz w:val="14"/>
          <w:szCs w:val="14"/>
          <w:color w:val="auto"/>
        </w:rPr>
        <w:t>(3) Includes 34,792,740 ordinary voting shares held by Welsh, Carson, Anderson &amp; Stowe VII, L.P., 9,978,181 ordinary voting shares held by Welsh, Carson, Anderson &amp; Stowe VI, L.P., 6,960,999 ordinary voting shares held by WCAS Capital Partners III, L.P., 226,512 ordinary voting shares held by WCAS Information Partners, L.P. and 2,486,796 ordinary voting shares held by partners and others affiliated with WCAS. Those partners are also partners of the sole general partner of each of the foregoing limited partnerships. The partners of WCAS who are also directors of Amdocs are Bruce K. Anderson (Chairman of the Board and Chief Executive Officer of Amdocs) and Robert A. Minicucci (Chief Financial Officer of Amdocs), and each may be deemed to be a beneficial owner of the ordinary voting shares held by WCAS.</w:t>
      </w:r>
    </w:p>
    <w:p>
      <w:pPr>
        <w:spacing w:after="0" w:line="167" w:lineRule="exact"/>
        <w:rPr>
          <w:sz w:val="20"/>
          <w:szCs w:val="20"/>
          <w:color w:val="auto"/>
        </w:rPr>
      </w:pPr>
    </w:p>
    <w:p>
      <w:pPr>
        <w:ind w:left="440" w:right="3439" w:hanging="357"/>
        <w:spacing w:after="0" w:line="242" w:lineRule="auto"/>
        <w:rPr>
          <w:sz w:val="20"/>
          <w:szCs w:val="20"/>
          <w:color w:val="auto"/>
        </w:rPr>
      </w:pPr>
      <w:r>
        <w:rPr>
          <w:rFonts w:ascii="Courier New" w:cs="Courier New" w:eastAsia="Courier New" w:hAnsi="Courier New"/>
          <w:sz w:val="15"/>
          <w:szCs w:val="15"/>
          <w:color w:val="auto"/>
        </w:rPr>
        <w:t>(4) SBCI is a wholly-owned subsidiary of SBC, a company whose shares are publicly traded on the NYSE. The number of shares shown as beneficially owned by SBCI is comprised of 14,500,000 ordinary voting shares and 24,210,073 ordinary nonvoting shares. SBCI is the only shareholder of Amdocs that holds ordinary nonvoting shares.</w:t>
      </w:r>
    </w:p>
    <w:p>
      <w:pPr>
        <w:spacing w:after="0" w:line="175" w:lineRule="exact"/>
        <w:rPr>
          <w:sz w:val="20"/>
          <w:szCs w:val="20"/>
          <w:color w:val="auto"/>
        </w:rPr>
      </w:pPr>
    </w:p>
    <w:p>
      <w:pPr>
        <w:ind w:left="440" w:right="3439" w:hanging="357"/>
        <w:spacing w:after="0" w:line="242" w:lineRule="auto"/>
        <w:rPr>
          <w:sz w:val="20"/>
          <w:szCs w:val="20"/>
          <w:color w:val="auto"/>
        </w:rPr>
      </w:pPr>
      <w:r>
        <w:rPr>
          <w:rFonts w:ascii="Courier New" w:cs="Courier New" w:eastAsia="Courier New" w:hAnsi="Courier New"/>
          <w:sz w:val="15"/>
          <w:szCs w:val="15"/>
          <w:color w:val="auto"/>
        </w:rPr>
        <w:t>(5) In connection with our recapitalization effected as of May 20, 1998, in advance of our initial public offering in June 1998, investment partnerships affiliated with WCAS and several entities in which some members of management have a beneficial interest granted</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9" w:right="1440" w:bottom="1440" w:gutter="0" w:footer="0" w:header="0"/>
          <w:type w:val="continuous"/>
        </w:sectPr>
      </w:pPr>
    </w:p>
    <w:bookmarkStart w:id="58" w:name="page59"/>
    <w:bookmarkEnd w:id="58"/>
    <w:p>
      <w:pPr>
        <w:ind w:left="179"/>
        <w:spacing w:after="0"/>
        <w:rPr>
          <w:sz w:val="20"/>
          <w:szCs w:val="20"/>
          <w:color w:val="auto"/>
        </w:rPr>
      </w:pPr>
      <w:r>
        <w:rPr>
          <w:rFonts w:ascii="Courier New" w:cs="Courier New" w:eastAsia="Courier New" w:hAnsi="Courier New"/>
          <w:sz w:val="15"/>
          <w:szCs w:val="15"/>
          <w:color w:val="auto"/>
        </w:rPr>
        <w:t>59</w:t>
      </w:r>
    </w:p>
    <w:p>
      <w:pPr>
        <w:spacing w:after="0" w:line="176" w:lineRule="exact"/>
        <w:rPr>
          <w:sz w:val="20"/>
          <w:szCs w:val="20"/>
          <w:color w:val="auto"/>
        </w:rPr>
      </w:pPr>
    </w:p>
    <w:p>
      <w:pPr>
        <w:ind w:left="359" w:right="3079"/>
        <w:spacing w:after="0" w:line="242" w:lineRule="auto"/>
        <w:rPr>
          <w:sz w:val="20"/>
          <w:szCs w:val="20"/>
          <w:color w:val="auto"/>
        </w:rPr>
      </w:pPr>
      <w:r>
        <w:rPr>
          <w:rFonts w:ascii="Courier New" w:cs="Courier New" w:eastAsia="Courier New" w:hAnsi="Courier New"/>
          <w:sz w:val="15"/>
          <w:szCs w:val="15"/>
          <w:color w:val="auto"/>
        </w:rPr>
        <w:t>irrevocable proxies with respect to a total of 23,521,899 and 5,691,608 ordinary voting shares, respectively, to a company which is the sole shareholder of AIL and which is beneficially owned by Morris S. Kahn. The proxies granted by the WCAS partnerships expire in May 2008, or sooner if at any time the WCAS entities collectively own less than 10.0% of our outstanding capital shares. The proxies granted by several entities in which some members of management have a beneficial interest expire ratably over the next one or two years. Following the offering, it is intended that the proxies granted by WCAS to AIL, as well as certain proxies granted to AIL by several entities in which some members of our management have a beneficial interest, will be transferred or otherwise granted to SBCI. Several entities in which some members of management have beneficial interests granted irrevocable proxies with respect to an additional 4,786,110 ordinary voting shares to the sole shareholder of AIL. After giving effect to the offering, the proxies with respect to the 4,786,110 ordinary shares shall no longer be in effect. After giving effect to the sale of ordinary shares in this offering, AIL and its beneficial shareholder will together have the right to vote 26.9% of our ordinary voting shares, and WCAS will have the right to vote 20.6% of such shares.</w:t>
      </w:r>
    </w:p>
    <w:p>
      <w:pPr>
        <w:spacing w:after="0" w:line="185" w:lineRule="exact"/>
        <w:rPr>
          <w:sz w:val="20"/>
          <w:szCs w:val="20"/>
          <w:color w:val="auto"/>
        </w:rPr>
      </w:pPr>
    </w:p>
    <w:p>
      <w:pPr>
        <w:ind w:left="359" w:right="3079" w:hanging="359"/>
        <w:spacing w:after="0" w:line="242" w:lineRule="auto"/>
        <w:tabs>
          <w:tab w:leader="none" w:pos="35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shown as beneficially owned by AIL includes 10,000,000 ordinary shares that AIL may be required to deliver to the Amdocs Automatic Common Exchange Security Trust, or the TRACES Trust, upon the exchange of Automatic Common Exchange Securities that were issued and sold by the TRACES Trust in June 1999. The Exchange Date for the Automatic Common Exchange Securities will occur no earlier than June 11, 2002.</w:t>
      </w:r>
    </w:p>
    <w:p>
      <w:pPr>
        <w:spacing w:after="0" w:line="176" w:lineRule="exact"/>
        <w:rPr>
          <w:rFonts w:ascii="Courier New" w:cs="Courier New" w:eastAsia="Courier New" w:hAnsi="Courier New"/>
          <w:sz w:val="15"/>
          <w:szCs w:val="15"/>
          <w:color w:val="auto"/>
        </w:rPr>
      </w:pPr>
    </w:p>
    <w:p>
      <w:pPr>
        <w:ind w:left="359" w:right="3159" w:hanging="359"/>
        <w:spacing w:after="0" w:line="241" w:lineRule="auto"/>
        <w:tabs>
          <w:tab w:leader="none" w:pos="35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WCAS, SBCI and AIL serve on our board of directors and, accordingly, those affiliates may be deemed to be the beneficial owners of the shares held by such entities.</w:t>
      </w:r>
    </w:p>
    <w:p>
      <w:pPr>
        <w:spacing w:after="0" w:line="176" w:lineRule="exact"/>
        <w:rPr>
          <w:rFonts w:ascii="Courier New" w:cs="Courier New" w:eastAsia="Courier New" w:hAnsi="Courier New"/>
          <w:sz w:val="15"/>
          <w:szCs w:val="15"/>
          <w:color w:val="auto"/>
        </w:rPr>
      </w:pPr>
    </w:p>
    <w:p>
      <w:pPr>
        <w:ind w:left="359" w:right="3079" w:hanging="359"/>
        <w:spacing w:after="0" w:line="242" w:lineRule="auto"/>
        <w:tabs>
          <w:tab w:leader="none" w:pos="35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our key executive officers will receive any of the proceeds from the sale of the ordinary shares in this offering. Entities in which some of our executive officers have the economic interests and several of our directors have indicated that they intend to purchase approximately 1.0 million of the ordinary shares being offered hereby. See "Underwriting." Excluding shares that may be purchased by those entities and directors, all of our key executive officers hold, directly and indirectly, economic interests in approximately 34.0% of our outstanding shares (of which 27.4% are held beneficially by WCAS).</w:t>
      </w:r>
    </w:p>
    <w:p>
      <w:pPr>
        <w:spacing w:after="0" w:line="176" w:lineRule="exact"/>
        <w:rPr>
          <w:sz w:val="20"/>
          <w:szCs w:val="20"/>
          <w:color w:val="auto"/>
        </w:rPr>
      </w:pPr>
    </w:p>
    <w:p>
      <w:pPr>
        <w:ind w:left="3399"/>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138"/>
          </w:cols>
          <w:pgMar w:left="321" w:top="289"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DESCRIPTION OF SHARE CAPITAL</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Our authorized capital stock consists of 500,000,000 ordinary shares, 50,000,000 ordinary nonvoting shares and 25,000,000 preferred shares, in each case, par value L 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ORDINARY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our issued and outstanding ordinary shares and ordinary nonvoting shares are, and the ordinary shares being offered by us hereunder when issued and paid for will be, validly issued, fully paid and non-assessable. Neither the ordinary shares nor the ordinary nonvoting shares have pre-emptive, subscription or redemption rights. Neither our Memorandum of Association or Articles of Association nor the laws of Guernsey restrict in any way the ownership or voting of ordinary shares held by non-residents of Guernsey.</w:t>
      </w:r>
    </w:p>
    <w:p>
      <w:pPr>
        <w:spacing w:after="0" w:line="177"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Except as to voting rights, the rights of the holders of ordinary shares and ordinary nonvoting shares are identical and such securities rank on a parity.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DIVIDEND AND LIQUIDATION RIGHTS. Holders of ordinary shares and ordinary nonvoting shares are entitled to receive equally, share for share, any dividends that may be declared by the board of directors out of funds legally available therefor. If, in the future, we declare cash dividends, such dividends will be payable in U.S. dollars. In the event of our liquidation, after satisfaction of liabilities to creditors, holders of ordinary shares and ordinary nonvoting shares are entitled to share pro rata in the net assets of Amdocs. Such rights may be affected by the grant of preferential dividend or distribution rights to the holders of a class or series of preferred shares that may be authorized in the future. Declaration of a final dividend (not exceeding the amounts proposed by our board of directors) requires shareholder approval by adoption of an ordinary resolution. Failure to obtain such shareholder approval does not affect previously paid interim dividends.</w:t>
      </w:r>
    </w:p>
    <w:p>
      <w:pPr>
        <w:spacing w:after="0" w:line="18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VOTING, SHAREHOLDER MEETINGS AND RESOLUTIONS. Holders of ordinary shares have one vote for each ordinary share held on all matters submitted to a vote of shareholders. These voting rights may be affected by the grant of any special voting rights to the holders of a class or series of preferred shares that may be authorized in the future. An annual general meeting shall be held once every calendar year at the time (within a period of not more than 15 months after the last preceding annual general meeting) and at the place as may be determined by the board of directors. The quorum required for an ordinary meeting of shareholders consists of shareholders present in person or by attorney who hold or represent between them a majority of the outstanding ordinary shares.</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 ordinary resolution (such as a resolution for the approval of the financial reports or the declaration of dividends) requires approval by the holders of a majority of the voting rights represented at a meeting, in person or by proxy, and voting thereon. A special or extraordinary resolution (such as, for example, a resolution amending our Memorandum of Association or Articles of Association or approving any change in capitalization, or a liquidation or winding-up) requires approval of the holders of 75% of the voting rights represented at the meeting, in person or by proxy, and voting thereon. A special or extraordinary resolution can only be considered if shareholders receive at least fourteen days' prior notice of the meeting at which such resolution will be considered.</w:t>
      </w:r>
    </w:p>
    <w:p>
      <w:pPr>
        <w:spacing w:after="0" w:line="179" w:lineRule="exact"/>
        <w:rPr>
          <w:sz w:val="20"/>
          <w:szCs w:val="20"/>
          <w:color w:val="auto"/>
        </w:rPr>
      </w:pPr>
    </w:p>
    <w:p>
      <w:pPr>
        <w:jc w:val="both"/>
        <w:ind w:right="3339" w:firstLine="447"/>
        <w:spacing w:after="0" w:line="242" w:lineRule="auto"/>
        <w:rPr>
          <w:sz w:val="20"/>
          <w:szCs w:val="20"/>
          <w:color w:val="auto"/>
        </w:rPr>
      </w:pPr>
      <w:r>
        <w:rPr>
          <w:rFonts w:ascii="Courier New" w:cs="Courier New" w:eastAsia="Courier New" w:hAnsi="Courier New"/>
          <w:sz w:val="15"/>
          <w:szCs w:val="15"/>
          <w:color w:val="auto"/>
        </w:rPr>
        <w:t>Except as described below, the ordinary nonvoting shares do not have any voting rights. Each nonvoting ordinary share will be converted automatically into one ordinary share at any time that it is transferred by SBCI, the sole holder of the ordinary nonvoting shares.</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TRANSFER OF SHARES AND NOTICES. Fully paid ordinary shares and ordinary nonvoting shares are issued in registered form and may be freely transferred pursuant to the Articles of Association unless the transfer is restricted or prohibited by another instrument. Each shareholder of record is entitled to receive at least fourteen days' prior notice of an ordinary</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9"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61</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shareholders' meeting and at least twenty-one days' prior notice of any shareholders' meeting at which a special resolution is to be adopted. For the purposes of determining the shareholders entitled to notice and to vote at the meeting, the board of directors may fix a record date not more than 60 or less than ten days prior to the date of the meeting.</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MODIFICATION OF CLASS RIGHTS. The rights attached to any class (unless otherwise provided by the terms of issue of that class), such as voting, dividends and the like, may be varied with the consent in writing of the holders of 75% of the outstanding shares of such class, or with the adoption of an extraordinary resolution passed at a separate general meeting of the holders of the shares of that class.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ELECTION OF DIRECTORS. The ordinary shares do not have cumulative voting rights in the election of directors. As a result, the holders of ordinary shares that represent more than 50% of the voting power have the power to elect all of Amdocs' directors. See "Principal Shareholders and Selling Shareholder."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PREFERRED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has 25,000,000 authorized preferred shares. The board of directors has the authority to issue the preferred shares in one or more series and to fix the rights, preferences, privileges and restrictions of such shares, including dividend rights, dividend rates, conversion rights, voting rights, terms of redemption, redemption prices, liquidation preferences and the number of shares constituting any series, without further vote or action by the shareholders. We currently do not have any plans to issue any preferred shares.</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purpose of authorizing the board of directors to issue preferred shares and to determine their rights and preferences is to eliminate delays associated with a shareholder vote on specific issuances. The issuance of preferred shares, while providing desirable flexibility in connection with possible equity financings, acquisitions and other corporate purposes, could have the effect of making it more difficult for a third party to acquire, or of discouraging a third party from acquiring, a majority of our outstanding voting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AIL, SBCI and WCAS have demand and piggyback registration rights with respect to their ordinary shares under the Securities Act. The ordinary shares being offered by AIL in the offering have been registered upon the exercise of one of these demand registration rights. Following the consummation of this offering AIL will not have any more demand registration rights. If we propose to register any of our ordinary shares under the Securities Act, AIL, SBCI and WCAS may require us to include all or a portion of their shares in the registration, although the managing underwriter of any offering has certain rights to limit the number of shares in that registration. All expenses incurred in connection with these registrations (other than underwriters' discounts and commissions and fees of counsel retained by any selling shareholder) will be borne by us. These shareholders have agreed that they will not exercise any right with respect to any of these registrations for a period ending 90 days after the effective date of the registration statement for the offering, without the prior written consent of the underwriters.</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9" w:right="1440" w:bottom="1440" w:gutter="0" w:footer="0" w:header="0"/>
        </w:sectPr>
      </w:pPr>
    </w:p>
    <w:bookmarkStart w:id="61" w:name="page62"/>
    <w:bookmarkEnd w:id="61"/>
    <w:p>
      <w:pPr>
        <w:ind w:left="268"/>
        <w:spacing w:after="0"/>
        <w:rPr>
          <w:sz w:val="20"/>
          <w:szCs w:val="20"/>
          <w:color w:val="auto"/>
        </w:rPr>
      </w:pPr>
      <w:r>
        <w:rPr>
          <w:rFonts w:ascii="Courier New" w:cs="Courier New" w:eastAsia="Courier New" w:hAnsi="Courier New"/>
          <w:sz w:val="15"/>
          <w:szCs w:val="15"/>
          <w:color w:val="auto"/>
        </w:rPr>
        <w:t>62</w:t>
      </w:r>
    </w:p>
    <w:p>
      <w:pPr>
        <w:spacing w:after="0" w:line="174"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COMPARISON OF UNITED STATES AND GUERNSEY CORPORATE LAW</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ordinary shares and is based on the advice of Reboul, MacMurray, Hewitt, Maynard</w:t>
      </w:r>
    </w:p>
    <w:p>
      <w:pPr>
        <w:spacing w:after="0" w:line="1" w:lineRule="exact"/>
        <w:rPr>
          <w:sz w:val="20"/>
          <w:szCs w:val="20"/>
          <w:color w:val="auto"/>
        </w:rPr>
      </w:pPr>
    </w:p>
    <w:p>
      <w:pPr>
        <w:ind w:left="8" w:right="3159" w:hanging="8"/>
        <w:spacing w:after="0" w:line="242" w:lineRule="auto"/>
        <w:tabs>
          <w:tab w:leader="none" w:pos="18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Kristol, with respect to the corporate law of the United States, and Carey Langlois, with respect to the corporate law of Guernsey. The following discussion is based upon laws and relevant interpretations thereof in effect as of the date of this prospectus, all of which are subject to change.</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18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Many United States jurisdictions have enacted various statutory provisions that permit the monetary liability of directors to be eliminated or limited. Guernsey law protecting the interests of shareholders may not be as protective in all circumstances as the law protecting shareholders in United States</w:t>
      </w:r>
    </w:p>
    <w:p>
      <w:pPr>
        <w:spacing w:after="0" w:line="17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7"/>
          </w:cols>
          <w:pgMar w:left="232" w:top="289"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63</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of default. See "Risk Factors -- The rights of shareholders of Guernsey corporations differ in some respects from those of shareholders of United States corporations".</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9"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174,589,951 ordinary shares and 24,210,073 non-voting ordinary shares issued and outstanding. Of these shares, 70,720,560 ordinary shares, including the 18,000,000 ordinary shares sold in the offering plus any shares sold upon exercise of the underwriters' overallotment options, will be freely tradeable without restriction. We, substantially all of our principal shareholders, including the selling shareholder, and our officers and directors have agreed not to offer, sell, contract to sell or otherwise dispose of any ordinary shares or non-voting ordinary shares without the consent of the representatives of the underwriters for a period of 90 days after the date of this prospectus, except for the ordinary shares offered hereby, ordinary shares issuable upon the exercise of options granted or to be granted under the Amdocs stock option plan and ordinary shares that may be transferred by the WCAS Investors to SBCI, AIL and others under the call option described in "Risk Factors -- Risks applicable to our capital structure -- A few of our shareholders may be able to exercise control over all matters requiring shareholder approval". Further, the selling shareholder has agreed for an additional one-year period following the termination of the 90 day lock-up period not to offer, sell, contract to sell or otherwise dispose of any ordinary shares without the consent of our other principal shareholders, except for sales or other distributions in connection with this offering, sales made in the public market in accordance with Rule 144 and privately-negotiated transactions. These shareholders will, upon the consummation of the offering, own an aggregate 128,079,464 shares or 64.4% of the then outstanding ordinary shares and non-voting ordinary shares (excluding any shares that may be purchased in this offering by entities in which some of our executive officers have the economic interests or by several of our directors, see "Underwriting"). After this 90-day period, all our ordinary shares will be eligible for sale in the public market pursuant to Rule 144, subject to compliance with the volume and manner of sale limitations of Rule 144, or under another exemption from the registration requirements of the Securities Act. Our principal shareholders also have the right in certain circumstances to require us to register their shares under the Securities Act for resale to the public. See "Description of Share Capital -- Registration Rights".</w:t>
      </w:r>
    </w:p>
    <w:p>
      <w:pPr>
        <w:spacing w:after="0" w:line="194"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general, under Rule 144, as currently in effect, if one year has elapsed since the date of acquisition of shares that are "restricted securities" (as defined in Rule 144) from us or any "affiliate" (as defined below) of ours, the acquiror or subsequent holder of the shares (including an affiliate) is entitled to sell, within any three-month period, that number of shares that does not exceed the greater of 1% of our then outstanding ordinary shares and the average weekly trading volume of the ordinary shares on all exchanges and/or reported through the automated quotation system of a registered securities association during the four calendar weeks preceding the date on which notice of the sale is filed with the Securities and Exchange Commission. Sales under Rule 144 are also subject to restrictions relating to manner of sale, notice requirements and the availability of current public information about us. If two years have elapsed since the later of the date of acquisition of restricted shares from us or from any affiliate of ours, and the acquiror or subsequent holder thereof is deemed not to have been an affiliate of ours at any time during the 90 days preceding a sale, that person would be entitled to sell those shares in the public market under Rule 144(k) without regard to volume limitations, manner of sale provisions, public information requirements or notice requirements. As defined in Rule 144, an "affiliate" of an issuer is a person that directly, or indirectly through the use of one or more intermediaries, controls, or is controlled by, or is under common control with, that issuer.</w:t>
      </w:r>
    </w:p>
    <w:p>
      <w:pPr>
        <w:spacing w:after="0" w:line="335"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We intend to register the 6,600,000 ordinary shares reserved for issuance pursuant to the Amdocs stock option plan following the date of this prospectus, on a Form S-8 registration statement under the Securities Act. This registration statement would become effective immediately upon filing. Shares issued upon the exercise of stock options after the effective date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9"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of the Form S-8 registration statement would be eligible for resale in the public market without restriction, subject to Rule 144 limitations applicable to affiliates. The right to exercise options outstanding under the Amdocs Plan is subject to vesting requirements. See "Management -- Employee Stock Options".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1999, the selling shareholder entered into a forward purchase contract with the TRACES Trust under which it may be required to deliver up to 10,000,000 ordinary shares on or before the Exchange Date. The TRACES Trust will deliver these ordinary shares to the holders of its Automatic Common Exchange Securities. These ordinary shares will be freely tradeable upon their delivery to the TRACES Trust's security holders. The Exchange Date will occur no earlier than June 11, 2002.</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can make no prediction as to the effect, if any, that future sales of shares or the availability of shares for sale will have on the market price of the ordinary shares prevailing, from time to time. Nevertheless, sales of substantial amounts of the ordinary shares in the public market could adversely affect the prevailing market price of the ordinary shares and could impair our ability to raise capital through the sale of equity securities.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9"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TAXATION OF THE COMPANY</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following is a summary of certain material tax considerations relating to us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overall effective tax rate has historically been approximately 30% due to the various corporate income tax rates of the countries in which we operate and the magnitude of our activities in those countries. Our effective tax rate for fiscal 1998 was 50% due to the incurrence of significant interest expense in tax-exempt or low tax jurisdictions. 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have been granted certain special tax benefits, discussed below, in Cyprus and Israel. The loss of any such tax benefits could have an adverse effect on our effective tax rate.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qualify as an exempt company (i.e. our shareholders are not Guernsey residents and we do not carry on business in Guernsey) so we generally are not subject to taxation in Guernsey. We will retain such exempt status following the offering.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CYPRUS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Cyprus subsidiary, Amdocs Development Ltd., operates a development center. Corporations resident in Cyprus currently are subject to a maximum 25% income tax rate. The Government of Cyprus has issued a permit to our Cyprus subsidiary pursuant to which the activities to be conducted by it will be deemed to be offshore activities for the purpose of Cyprus taxation. As a result, our Cyprus subsidiary is subject to an effective tax rate in Cyprus of 4.25%. In order for our subsidiary to remain entitled to this reduced rate of taxation pursuant to the permit, it must continue to satisfy certain requirements concerning its operations in Cyprus and it must undertake certain information reporting obligations to the Government of Cyprus.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KINGDOM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United Kingdom subsidiary, Amdocs (UK) Limited, performs global development, contracting and marketing functions for our business, and acts as a holding company for certain of our subsidiaries, including our principal United States operating subsidiary.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THE UNITED KINGDOM</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Until March 31, 1999, the statutory United Kingdom corporation tax rate was 31%. Commencing on April 1, 1999, the statutory corporate tax rate decreased to</w:t>
      </w:r>
    </w:p>
    <w:p>
      <w:pPr>
        <w:ind w:right="3159"/>
        <w:spacing w:after="0" w:line="242" w:lineRule="auto"/>
        <w:rPr>
          <w:sz w:val="20"/>
          <w:szCs w:val="20"/>
          <w:color w:val="auto"/>
        </w:rPr>
      </w:pPr>
      <w:r>
        <w:rPr>
          <w:rFonts w:ascii="Courier New" w:cs="Courier New" w:eastAsia="Courier New" w:hAnsi="Courier New"/>
          <w:sz w:val="15"/>
          <w:szCs w:val="15"/>
          <w:color w:val="auto"/>
        </w:rPr>
        <w:t>30%. Our United Kingdom subsidiary pays UK corporation tax on its worldwide income, with a credit in certain cases for non-UK income taxes paid. Our United Kingdom subsidiary pays tax on dividends received from its subsidiaries, with a credit for underlying non-UK taxes paid by such subsidiaries and withholding taxes paid on such dividends.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9"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ISRAELI TAX CONSIDERATIONS</w:t>
      </w:r>
    </w:p>
    <w:p>
      <w:pPr>
        <w:spacing w:after="0" w:line="176" w:lineRule="exact"/>
        <w:rPr>
          <w:sz w:val="20"/>
          <w:szCs w:val="20"/>
          <w:color w:val="auto"/>
        </w:rPr>
      </w:pPr>
    </w:p>
    <w:p>
      <w:pPr>
        <w:jc w:val="both"/>
        <w:ind w:right="3599" w:firstLine="447"/>
        <w:spacing w:after="0" w:line="241" w:lineRule="auto"/>
        <w:rPr>
          <w:sz w:val="20"/>
          <w:szCs w:val="20"/>
          <w:color w:val="auto"/>
        </w:rPr>
      </w:pPr>
      <w:r>
        <w:rPr>
          <w:rFonts w:ascii="Courier New" w:cs="Courier New" w:eastAsia="Courier New" w:hAnsi="Courier New"/>
          <w:sz w:val="15"/>
          <w:szCs w:val="15"/>
          <w:color w:val="auto"/>
        </w:rPr>
        <w:t>Our Israeli subsidiary, Amdocs (Israel) Limited, operates our largest development center. Discussed below are certain Israeli tax considerations relating to our Israeli subsidiary: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ISRAEL</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LAW FOR THE ENCOURAGEMENT OF CAPITAL INVESTMENTS, 1959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Certain production and development facilities of our Israeli subsidiary have been granted "Approved Enterprise" status pursuant to the Law for the Encouragement of Capital Investments, 1959, or the Investment Law, which provides certain tax and financial benefits to investment programs that have been granted such status.</w:t>
      </w:r>
    </w:p>
    <w:p>
      <w:pPr>
        <w:spacing w:after="0" w:line="175"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162"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TAX BENEFITS. Taxable income derived from an Approved Enterprise is subject to a reduced corporate tax rate of 25% until the earlier of</w:t>
      </w:r>
    </w:p>
    <w:p>
      <w:pPr>
        <w:spacing w:after="0" w:line="176" w:lineRule="exact"/>
        <w:rPr>
          <w:sz w:val="20"/>
          <w:szCs w:val="20"/>
          <w:color w:val="auto"/>
        </w:rPr>
      </w:pPr>
    </w:p>
    <w:p>
      <w:pPr>
        <w:ind w:left="620" w:right="3079" w:hanging="181"/>
        <w:spacing w:after="0" w:line="241"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seven consecutive years (or ten in the case of an FIC (as defined below)) commencing in the year in which the Approved Enterprise first generates taxable income,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years from the year of commencement of production or</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fourteen years from the year of the approval of the Approved Enterprise status.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Such income is eligible for further reductions in tax rates if the company qualifies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9" w:right="1440" w:bottom="1440" w:gutter="0" w:footer="0" w:header="0"/>
        </w:sectPr>
      </w:pPr>
    </w:p>
    <w:bookmarkStart w:id="67" w:name="page68"/>
    <w:bookmarkEnd w:id="67"/>
    <w:p>
      <w:pPr>
        <w:ind w:left="268"/>
        <w:spacing w:after="0"/>
        <w:rPr>
          <w:sz w:val="20"/>
          <w:szCs w:val="20"/>
          <w:color w:val="auto"/>
        </w:rPr>
      </w:pPr>
      <w:r>
        <w:rPr>
          <w:rFonts w:ascii="Courier New" w:cs="Courier New" w:eastAsia="Courier New" w:hAnsi="Courier New"/>
          <w:sz w:val="15"/>
          <w:szCs w:val="15"/>
          <w:color w:val="auto"/>
        </w:rPr>
        <w:t>68</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Our Israeli subsidiary has elected the alternative benefits with respect to its current Approved Enterprise and its enlargements, pursuant to which the Israeli subsidiary enjoys, in relation to its Approved Enterprise operations, certain tax holidays for a period of two years (and in some cases for a period of four years) and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 new instrument of approval issued in December 1997 and relating to the current investment program of our Israeli subsidiary and to the income derived therefrom, our Israeli subsidiary is entitled to a reduced tax rate period of thirteen years (instead of the eight 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191"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TAXATION OF HOLDERS OF ORDINARY SHARES</w:t>
      </w:r>
    </w:p>
    <w:p>
      <w:pPr>
        <w:spacing w:after="0" w:line="176" w:lineRule="exact"/>
        <w:rPr>
          <w:sz w:val="20"/>
          <w:szCs w:val="20"/>
          <w:color w:val="auto"/>
        </w:rPr>
      </w:pPr>
    </w:p>
    <w:p>
      <w:pPr>
        <w:ind w:left="8" w:right="3519" w:firstLine="447"/>
        <w:spacing w:after="0" w:line="241" w:lineRule="auto"/>
        <w:rPr>
          <w:sz w:val="20"/>
          <w:szCs w:val="20"/>
          <w:color w:val="auto"/>
        </w:rPr>
      </w:pPr>
      <w:r>
        <w:rPr>
          <w:rFonts w:ascii="Courier New" w:cs="Courier New" w:eastAsia="Courier New" w:hAnsi="Courier New"/>
          <w:sz w:val="15"/>
          <w:szCs w:val="15"/>
          <w:color w:val="auto"/>
        </w:rPr>
        <w:t>The following discussion is a summary of certain United States federal income tax considerations and Guernsey tax considerations relating to an investment in the ordinary shares.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UNITED STATES FEDERAL INCOME TAX CONSIDERATIONS</w:t>
      </w:r>
    </w:p>
    <w:p>
      <w:pPr>
        <w:spacing w:after="0" w:line="176" w:lineRule="exact"/>
        <w:rPr>
          <w:sz w:val="20"/>
          <w:szCs w:val="20"/>
          <w:color w:val="auto"/>
        </w:rPr>
      </w:pPr>
    </w:p>
    <w:p>
      <w:pPr>
        <w:ind w:left="8" w:right="3599" w:firstLine="447"/>
        <w:spacing w:after="0"/>
        <w:rPr>
          <w:sz w:val="20"/>
          <w:szCs w:val="20"/>
          <w:color w:val="auto"/>
        </w:rPr>
      </w:pPr>
      <w:r>
        <w:rPr>
          <w:rFonts w:ascii="Courier New" w:cs="Courier New" w:eastAsia="Courier New" w:hAnsi="Courier New"/>
          <w:sz w:val="15"/>
          <w:szCs w:val="15"/>
          <w:color w:val="auto"/>
        </w:rPr>
        <w:t>The following discussion describes the material United States federal income tax consequences to a holder of ordinary shares that is</w:t>
      </w:r>
    </w:p>
    <w:p>
      <w:pPr>
        <w:spacing w:after="0" w:line="174" w:lineRule="exact"/>
        <w:rPr>
          <w:sz w:val="20"/>
          <w:szCs w:val="20"/>
          <w:color w:val="auto"/>
        </w:rPr>
      </w:pPr>
    </w:p>
    <w:p>
      <w:pPr>
        <w:ind w:left="448" w:hanging="359"/>
        <w:spacing w:after="0"/>
        <w:tabs>
          <w:tab w:leader="none" w:pos="448"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w:t>
      </w:r>
    </w:p>
    <w:p>
      <w:pPr>
        <w:spacing w:after="0" w:line="175" w:lineRule="exact"/>
        <w:rPr>
          <w:rFonts w:ascii="Courier New" w:cs="Courier New" w:eastAsia="Courier New" w:hAnsi="Courier New"/>
          <w:sz w:val="15"/>
          <w:szCs w:val="15"/>
          <w:color w:val="auto"/>
        </w:rPr>
      </w:pPr>
    </w:p>
    <w:p>
      <w:pPr>
        <w:ind w:left="528" w:right="3339" w:hanging="439"/>
        <w:spacing w:after="0"/>
        <w:tabs>
          <w:tab w:leader="none" w:pos="528"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created or organized in, or under the laws of, the United States or of any state thereof,</w:t>
      </w:r>
    </w:p>
    <w:p>
      <w:pPr>
        <w:spacing w:after="0" w:line="176" w:lineRule="exact"/>
        <w:rPr>
          <w:rFonts w:ascii="Courier New" w:cs="Courier New" w:eastAsia="Courier New" w:hAnsi="Courier New"/>
          <w:sz w:val="15"/>
          <w:szCs w:val="15"/>
          <w:color w:val="auto"/>
        </w:rPr>
      </w:pPr>
    </w:p>
    <w:p>
      <w:pPr>
        <w:ind w:left="528" w:right="3339" w:hanging="528"/>
        <w:spacing w:after="0"/>
        <w:tabs>
          <w:tab w:leader="none" w:pos="52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includable in gross income for United States federal income tax purposes regardless of its source, or</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27"/>
          </w:cols>
          <w:pgMar w:left="232" w:top="289" w:right="1440" w:bottom="1440" w:gutter="0" w:footer="0" w:header="0"/>
        </w:sectPr>
      </w:pPr>
    </w:p>
    <w:bookmarkStart w:id="68" w:name="page69"/>
    <w:bookmarkEnd w:id="68"/>
    <w:p>
      <w:pPr>
        <w:ind w:left="268"/>
        <w:spacing w:after="0"/>
        <w:rPr>
          <w:sz w:val="20"/>
          <w:szCs w:val="20"/>
          <w:color w:val="auto"/>
        </w:rPr>
      </w:pPr>
      <w:r>
        <w:rPr>
          <w:rFonts w:ascii="Courier New" w:cs="Courier New" w:eastAsia="Courier New" w:hAnsi="Courier New"/>
          <w:sz w:val="15"/>
          <w:szCs w:val="15"/>
          <w:color w:val="auto"/>
        </w:rPr>
        <w:t>69</w:t>
      </w:r>
    </w:p>
    <w:p>
      <w:pPr>
        <w:spacing w:after="0" w:line="176" w:lineRule="exact"/>
        <w:rPr>
          <w:sz w:val="20"/>
          <w:szCs w:val="20"/>
          <w:color w:val="auto"/>
        </w:rPr>
      </w:pPr>
    </w:p>
    <w:p>
      <w:pPr>
        <w:ind w:left="448" w:right="3339" w:hanging="448"/>
        <w:spacing w:after="0" w:line="242" w:lineRule="auto"/>
        <w:tabs>
          <w:tab w:leader="none" w:pos="4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court within the United States is able to exercise primary supervision over the administration of the trust and one or more U.S. persons has the authority to control all substantial decisions of the trust.</w:t>
      </w:r>
    </w:p>
    <w:p>
      <w:pPr>
        <w:spacing w:after="0" w:line="175"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This summary generally considers only U.S. holders that will own ordinary shares as capital assets. This summary does not discuss the United States federal income tax consequences to a holder of ordinary shares that is not a U.S. holder.</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the discussion does not consider the tax treatment of persons who hold ordinary shares through a partnership or other pass-through entity or the possible application of United States federal gift or estate taxes.</w:t>
      </w:r>
    </w:p>
    <w:p>
      <w:pPr>
        <w:spacing w:after="0" w:line="184"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EACH PROSPECTIVE INVESTOR SHOULD CONSULT ITS OWN TAX ADVISOR WITH RESPECT TO THE PARTICULAR UNITED STATES FEDERAL, STATE, LOCAL AND FOREIGN TAX CONSEQUENCES TO SUCH PERSON OF PURCHASING, HOLDING OR DISPOSING OF THE ORDINARY SHARES.</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for United States foreign tax credit purposes.</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DISPOSITION OF ORDINARY SHARES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Upon the sale, exchange or other disposition of ordinary shares, a 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w:t>
      </w:r>
    </w:p>
    <w:p>
      <w:pPr>
        <w:spacing w:after="0" w:line="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27"/>
          </w:cols>
          <w:pgMar w:left="232" w:top="289" w:right="1440" w:bottom="1440" w:gutter="0" w:footer="0" w:header="0"/>
        </w:sectPr>
      </w:pPr>
    </w:p>
    <w:bookmarkStart w:id="69" w:name="page70"/>
    <w:bookmarkEnd w:id="69"/>
    <w:p>
      <w:pPr>
        <w:ind w:left="268"/>
        <w:spacing w:after="0"/>
        <w:rPr>
          <w:sz w:val="20"/>
          <w:szCs w:val="20"/>
          <w:color w:val="auto"/>
        </w:rPr>
      </w:pPr>
      <w:r>
        <w:rPr>
          <w:rFonts w:ascii="Courier New" w:cs="Courier New" w:eastAsia="Courier New" w:hAnsi="Courier New"/>
          <w:sz w:val="15"/>
          <w:szCs w:val="15"/>
          <w:color w:val="auto"/>
        </w:rPr>
        <w:t>70</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shares generally will be subject to a maximum tax rate of 20%. Gains realized by a U.S. holder on a sale, exchange or other disposition of ordinary shares generally will be treated as United States source income for United States foreign tax credit purposes.</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INFORMATION REPORTING AND BACKUP WITHHOLDING</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Dividend payments with respect to the ordinary shares and proceeds from the sale, exchange or redemption of ordinary shares may be subject to information reporting to the Internal Revenue Service and possible U.S. backup withholding at a 31% rate.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Internal Revenue Service.</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6" w:lineRule="exact"/>
        <w:rPr>
          <w:sz w:val="20"/>
          <w:szCs w:val="20"/>
          <w:color w:val="auto"/>
        </w:rPr>
      </w:pPr>
    </w:p>
    <w:p>
      <w:pPr>
        <w:ind w:left="8" w:right="3259" w:firstLine="447"/>
        <w:spacing w:after="0" w:line="260" w:lineRule="auto"/>
        <w:rPr>
          <w:sz w:val="20"/>
          <w:szCs w:val="20"/>
          <w:color w:val="auto"/>
        </w:rPr>
      </w:pPr>
      <w:r>
        <w:rPr>
          <w:rFonts w:ascii="Courier New" w:cs="Courier New" w:eastAsia="Courier New" w:hAnsi="Courier New"/>
          <w:sz w:val="14"/>
          <w:szCs w:val="14"/>
          <w:color w:val="auto"/>
        </w:rPr>
        <w:t>Under the laws of Guernsey as currently in effect, a holder of ordinary shares who is not a resident of Guernsey and who does not carry on business in Guernsey through a permanent establishment situated there is (1) exempt from Guernsey income tax on dividends paid with respect to the ordinary shares and</w:t>
      </w:r>
    </w:p>
    <w:p>
      <w:pPr>
        <w:spacing w:after="0" w:line="1" w:lineRule="exact"/>
        <w:rPr>
          <w:sz w:val="20"/>
          <w:szCs w:val="20"/>
          <w:color w:val="auto"/>
        </w:rPr>
      </w:pPr>
    </w:p>
    <w:p>
      <w:pPr>
        <w:ind w:left="8" w:right="3079" w:hanging="8"/>
        <w:spacing w:after="0" w:line="241" w:lineRule="auto"/>
        <w:tabs>
          <w:tab w:leader="none" w:pos="36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liable for Guernsey income tax on gains realized on sale or disposition of such ordinary shares. In addition, Guernsey does not impose a withholding tax on dividends paid by us to holders of ordinary shares.</w:t>
      </w:r>
    </w:p>
    <w:p>
      <w:pPr>
        <w:spacing w:after="0" w:line="176" w:lineRule="exact"/>
        <w:rPr>
          <w:sz w:val="20"/>
          <w:szCs w:val="20"/>
          <w:color w:val="auto"/>
        </w:rPr>
      </w:pPr>
    </w:p>
    <w:p>
      <w:pPr>
        <w:jc w:val="both"/>
        <w:ind w:left="8" w:right="3259" w:firstLine="447"/>
        <w:spacing w:after="0" w:line="241" w:lineRule="auto"/>
        <w:rPr>
          <w:sz w:val="20"/>
          <w:szCs w:val="20"/>
          <w:color w:val="auto"/>
        </w:rPr>
      </w:pPr>
      <w:r>
        <w:rPr>
          <w:rFonts w:ascii="Courier New" w:cs="Courier New" w:eastAsia="Courier New" w:hAnsi="Courier New"/>
          <w:sz w:val="15"/>
          <w:szCs w:val="15"/>
          <w:color w:val="auto"/>
        </w:rPr>
        <w:t>There are no capital gains, gift or inheritance taxes levied by Guernsey, and the ordinary shares generally are not subject to any transfer taxes, stamp duties or similar charges on issuance or transfer.</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FOREGOING DISCUSSION DOES NOT ATTEMPT TO ADDRESS ALL OF THE POTENTIAL TAX CONSEQUENCES RELATING TO THE ORDINARY SHARES. EACH PROSPECTIVE INVESTOR SHOULD CONSULT ITS OWN TAX ADVISOR WITH RESPECT TO THE PARTICULAR TAX CONSEQUENCES OF PURCHASING, HOLDING OR DISPOSING OF THE ORDINARY SHARES UNDER THE LAWS OF ITS COUNTRY OF CITIZENSHIP, DOMICILE OR RESIDENCE.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27"/>
          </w:cols>
          <w:pgMar w:left="232" w:top="289"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71</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The validity of the ordinary shares offered hereby will be passed upon for us by Carey Langlois, Guernsey. Certain legal matters in connection with the offering will be passed upon for us by Reboul, MacMurray, Hewitt, Maynard &amp; Kristol and for the underwriters by Skadden, Arps, Slate, Meagher &amp; Flom LLP.</w:t>
      </w:r>
    </w:p>
    <w:p>
      <w:pPr>
        <w:spacing w:after="0" w:line="15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519" w:firstLine="447"/>
        <w:spacing w:after="0" w:line="263" w:lineRule="auto"/>
        <w:rPr>
          <w:sz w:val="20"/>
          <w:szCs w:val="20"/>
          <w:color w:val="auto"/>
        </w:rPr>
      </w:pPr>
      <w:r>
        <w:rPr>
          <w:rFonts w:ascii="Courier New" w:cs="Courier New" w:eastAsia="Courier New" w:hAnsi="Courier New"/>
          <w:sz w:val="14"/>
          <w:szCs w:val="14"/>
          <w:color w:val="auto"/>
        </w:rPr>
        <w:t>Ernst &amp; Young LLP, independent auditors, have audited our consolidated financial statements as of September 30, 1998 and 1997, and for each of the three years in the period ended September 30, 1998, as set forth in their report. We have included our financial statements in the prospectus and elsewhere in the registration statement in reliance on Ernst &amp; Young LLP's report, given on their authority as experts in accounting and auditing.</w:t>
      </w:r>
    </w:p>
    <w:p>
      <w:pPr>
        <w:spacing w:after="0" w:line="161"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Ernst &amp; Young LLP, independent auditors, have also audited the consolidated financial statements of ITDS at December 31, 1998 and 1997, and for each of the three years in the period ended December 31, 1998, as set forth in their report. We have included the financial statements of ITDS in the prospectus and elsewhere in the registration statement in reliance on Ernst &amp; Young LLP's report, given on their authority as experts in accounting and auditing.</w:t>
      </w:r>
    </w:p>
    <w:p>
      <w:pPr>
        <w:spacing w:after="0" w:line="160"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1390 Timberlake Manor Parkway</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Chesterfield, Missouri 63017</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Telephone: (314) 212-8328</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This prospectus is part of a registration statement on Form F-3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16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 SEC. This permits us to disclose important information to you by referring to these filed documents. Any information incorporated by reference is considered part of this prospectus, and any information filed by us with the SEC after the date of this prospectus will automatically update and supersede this information. We incorporate by reference the following documents filed with the SEC:</w:t>
      </w:r>
    </w:p>
    <w:p>
      <w:pPr>
        <w:spacing w:after="0" w:line="175" w:lineRule="exact"/>
        <w:rPr>
          <w:sz w:val="20"/>
          <w:szCs w:val="20"/>
          <w:color w:val="auto"/>
        </w:rPr>
      </w:pPr>
    </w:p>
    <w:p>
      <w:pPr>
        <w:ind w:left="620" w:hanging="181"/>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year ended September 30, 1998.</w:t>
      </w:r>
    </w:p>
    <w:p>
      <w:pPr>
        <w:spacing w:after="0" w:line="175"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6-K for the quarterly periods ended June 30, 1999, March 31, 1999 and December 31, 1998.</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 on Form 6-K dated September 10, 1999.</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89"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72</w:t>
      </w:r>
    </w:p>
    <w:p>
      <w:pPr>
        <w:spacing w:after="0" w:line="176"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We also incorporate by reference documents filed with or furnished to the SEC pursuant to Sections 13(a), 13(c), 14 and 15(d) of the Securities Exchange Act of 1934, as amended, subsequent to the date of this prospectus and prior to the termination of the offering. These include:</w:t>
      </w:r>
    </w:p>
    <w:p>
      <w:pPr>
        <w:spacing w:after="0" w:line="175" w:lineRule="exact"/>
        <w:rPr>
          <w:sz w:val="20"/>
          <w:szCs w:val="20"/>
          <w:color w:val="auto"/>
        </w:rPr>
      </w:pPr>
    </w:p>
    <w:p>
      <w:pPr>
        <w:ind w:left="620" w:right="3079" w:hanging="181"/>
        <w:spacing w:after="0" w:line="241"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annual reports filed on Form 20-F, Form 40-F or Form 10-K, and all subsequent filings on Forms 10-Q and 8-K filed by us pursuant to the Exchange Act.</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reports on Form 6-K furnished by us pursuant to the Exchange Act that contain financial statements, and all other subsequent reports on Form 6-K unless we state in the report that it is not being incorporated by reference into this prospectus.</w:t>
      </w:r>
    </w:p>
    <w:p>
      <w:pPr>
        <w:spacing w:after="0" w:line="175" w:lineRule="exact"/>
        <w:rPr>
          <w:sz w:val="20"/>
          <w:szCs w:val="20"/>
          <w:color w:val="auto"/>
        </w:rPr>
      </w:pPr>
    </w:p>
    <w:p>
      <w:pPr>
        <w:ind w:right="3439" w:firstLine="447"/>
        <w:spacing w:after="0" w:line="263" w:lineRule="auto"/>
        <w:rPr>
          <w:sz w:val="20"/>
          <w:szCs w:val="20"/>
          <w:color w:val="auto"/>
        </w:rPr>
      </w:pPr>
      <w:r>
        <w:rPr>
          <w:rFonts w:ascii="Courier New" w:cs="Courier New" w:eastAsia="Courier New" w:hAnsi="Courier New"/>
          <w:sz w:val="14"/>
          <w:szCs w:val="14"/>
          <w:color w:val="auto"/>
        </w:rPr>
        <w:t>We will provide without charge to each person to whom a prospectus is delivered, on written or oral request, a copy of any or all of the documents incorporated by reference other than exhibits to those documents. Requests should be addressed to: Mr. Thomas G. O'Brien, Amdocs Inc., 1390 Timberlake Manor Parkway, Chesterfield, Missouri 63017 (telephone: (314) 212-8328).</w:t>
      </w:r>
    </w:p>
    <w:p>
      <w:pPr>
        <w:spacing w:after="0" w:line="16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In particular, statements that we make in "Management's Discussion and Analysis of Results of Operations and Financial Condition" may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89"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73</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INDEX TO FINANCIAL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4340" w:type="dxa"/>
            <w:vAlign w:val="bottom"/>
          </w:tcPr>
          <w:p>
            <w:pPr>
              <w:ind w:left="540"/>
              <w:spacing w:after="0"/>
              <w:rPr>
                <w:sz w:val="20"/>
                <w:szCs w:val="20"/>
                <w:color w:val="auto"/>
              </w:rPr>
            </w:pPr>
            <w:r>
              <w:rPr>
                <w:rFonts w:ascii="Courier New" w:cs="Courier New" w:eastAsia="Courier New" w:hAnsi="Courier New"/>
                <w:sz w:val="15"/>
                <w:szCs w:val="15"/>
                <w:color w:val="auto"/>
                <w:w w:val="99"/>
              </w:rPr>
              <w:t>(in U.S. dollars, unless otherwise stated)</w:t>
            </w:r>
          </w:p>
        </w:tc>
        <w:tc>
          <w:tcPr>
            <w:tcW w:w="400" w:type="dxa"/>
            <w:vAlign w:val="bottom"/>
          </w:tcPr>
          <w:p>
            <w:pPr>
              <w:spacing w:after="0"/>
              <w:rPr>
                <w:sz w:val="14"/>
                <w:szCs w:val="14"/>
                <w:color w:val="auto"/>
              </w:rPr>
            </w:pPr>
          </w:p>
        </w:tc>
      </w:tr>
      <w:tr>
        <w:trPr>
          <w:trHeight w:val="688"/>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AMDOCS LIMITED</w:t>
            </w:r>
          </w:p>
        </w:tc>
        <w:tc>
          <w:tcPr>
            <w:tcW w:w="400" w:type="dxa"/>
            <w:vAlign w:val="bottom"/>
          </w:tcPr>
          <w:p>
            <w:pPr>
              <w:spacing w:after="0"/>
              <w:rPr>
                <w:sz w:val="24"/>
                <w:szCs w:val="24"/>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00" w:type="dxa"/>
            <w:vAlign w:val="bottom"/>
          </w:tcPr>
          <w:p>
            <w:pPr>
              <w:spacing w:after="0"/>
              <w:rPr>
                <w:sz w:val="14"/>
                <w:szCs w:val="14"/>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Sheets as of September 30, 1998 and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years ended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(Deficit) for the years ended September 30, 1998, 1997,</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years ended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0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 as of June 30, 1999..............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F-24</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nine months</w:t>
            </w:r>
          </w:p>
        </w:tc>
        <w:tc>
          <w:tcPr>
            <w:tcW w:w="4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 of Changes in Shareholder's Equity</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(Deficit) for the nine months ended June 30, 1999.........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nine months</w:t>
            </w:r>
          </w:p>
        </w:tc>
        <w:tc>
          <w:tcPr>
            <w:tcW w:w="4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Unaudited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INTERNATIONAL TELECOMMUNICATIONS DATA SYSTEMS, INC.</w:t>
            </w:r>
          </w:p>
        </w:tc>
        <w:tc>
          <w:tcPr>
            <w:tcW w:w="400" w:type="dxa"/>
            <w:vAlign w:val="bottom"/>
          </w:tcPr>
          <w:p>
            <w:pPr>
              <w:spacing w:after="0"/>
              <w:rPr>
                <w:sz w:val="14"/>
                <w:szCs w:val="14"/>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00" w:type="dxa"/>
            <w:vAlign w:val="bottom"/>
          </w:tcPr>
          <w:p>
            <w:pPr>
              <w:spacing w:after="0"/>
              <w:rPr>
                <w:sz w:val="14"/>
                <w:szCs w:val="14"/>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F-31</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Sheets as of December 31, 1998 and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F-32</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years ended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Stockholders' Equity (Deficiency)</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 the years ended December 31,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F-34</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years ended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F-35</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F-36</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0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 as of June 30, 1999..............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F-48</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six months</w:t>
            </w:r>
          </w:p>
        </w:tc>
        <w:tc>
          <w:tcPr>
            <w:tcW w:w="4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F-50</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six months</w:t>
            </w:r>
          </w:p>
        </w:tc>
        <w:tc>
          <w:tcPr>
            <w:tcW w:w="4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F-51</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Unaudited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F-52</w:t>
            </w:r>
          </w:p>
        </w:tc>
      </w:tr>
      <w:tr>
        <w:trPr>
          <w:trHeight w:val="516"/>
        </w:trPr>
        <w:tc>
          <w:tcPr>
            <w:tcW w:w="1160" w:type="dxa"/>
            <w:vAlign w:val="bottom"/>
          </w:tcPr>
          <w:p>
            <w:pPr>
              <w:spacing w:after="0"/>
              <w:rPr>
                <w:sz w:val="24"/>
                <w:szCs w:val="24"/>
                <w:color w:val="auto"/>
              </w:rPr>
            </w:pPr>
          </w:p>
        </w:tc>
        <w:tc>
          <w:tcPr>
            <w:tcW w:w="4340" w:type="dxa"/>
            <w:vAlign w:val="bottom"/>
          </w:tcPr>
          <w:p>
            <w:pPr>
              <w:ind w:left="2320"/>
              <w:spacing w:after="0"/>
              <w:rPr>
                <w:sz w:val="20"/>
                <w:szCs w:val="20"/>
                <w:color w:val="auto"/>
              </w:rPr>
            </w:pPr>
            <w:r>
              <w:rPr>
                <w:rFonts w:ascii="Courier New" w:cs="Courier New" w:eastAsia="Courier New" w:hAnsi="Courier New"/>
                <w:sz w:val="15"/>
                <w:szCs w:val="15"/>
                <w:color w:val="auto"/>
              </w:rPr>
              <w:t>F-1</w:t>
            </w:r>
          </w:p>
        </w:tc>
        <w:tc>
          <w:tcPr>
            <w:tcW w:w="4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Amdocs Limited as of September 30, 1998 and 1997, and the related statements of operations, changes in shareholders' equity (deficit) and cash flows for each of the three years in the period ended September 30, 1998.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Amdocs Limited at September 30, 1998 and 1997, and the consolidated results of its operations and its cash flows for each of the three years in the period ended September 30, 1998, in conformity with accounting principles generally accepted in the United States.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8, 1998</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9"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75</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4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2"/>
              </w:rPr>
              <w:t>ASSETS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$ 25,389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$ 53,732</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including unbilled of $10,331 in 1998</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and $2,031 in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79,723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48,565</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from related parties, including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unbilled of $537 in 1998 and $0 in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10,235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15,393</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14,534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12,532</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11,991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6,161</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141,872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136,383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Equipment, vehicles and leasehold improvements, net.........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46,404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28,287</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7,773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4,587</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23,362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25,982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Other noncurrent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20,555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25,343</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480" w:type="dxa"/>
            <w:vAlign w:val="bottom"/>
            <w:gridSpan w:val="4"/>
          </w:tcPr>
          <w:p>
            <w:pPr>
              <w:jc w:val="right"/>
              <w:ind w:right="685"/>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94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$ 47,599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$ 30,543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Accrued personnel costs...................................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29,948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23,098</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Short-term financing arrangements.........................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91,565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400" w:type="dxa"/>
            <w:vAlign w:val="bottom"/>
            <w:gridSpan w:val="2"/>
          </w:tcPr>
          <w:p>
            <w:pPr>
              <w:ind w:left="180"/>
              <w:spacing w:after="0"/>
              <w:rPr>
                <w:sz w:val="20"/>
                <w:szCs w:val="20"/>
                <w:color w:val="auto"/>
              </w:rPr>
            </w:pPr>
            <w:r>
              <w:rPr>
                <w:rFonts w:ascii="Courier New" w:cs="Courier New" w:eastAsia="Courier New" w:hAnsi="Courier New"/>
                <w:sz w:val="13"/>
                <w:szCs w:val="13"/>
                <w:color w:val="auto"/>
                <w:w w:val="70"/>
              </w:rPr>
              <w:t>Unearned revenue..........................................</w:t>
            </w: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29,241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17,440</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Notes payable to related parties..........................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3,268</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2,952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1,954</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21,919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20,151</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226,150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98,452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Long-term forward exchange contracts........................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9,215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7,370</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24,268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20,507</w:t>
            </w:r>
          </w:p>
        </w:tc>
      </w:tr>
      <w:tr>
        <w:trPr>
          <w:trHeight w:val="172"/>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 (deficit):</w:t>
            </w: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Preferred Shares --</w:t>
            </w:r>
          </w:p>
        </w:tc>
        <w:tc>
          <w:tcPr>
            <w:tcW w:w="356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Authorized 25,000 shares; pound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sterling 0.01 par value; 0 shares issued and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400" w:type="dxa"/>
            <w:vAlign w:val="bottom"/>
            <w:gridSpan w:val="2"/>
          </w:tcPr>
          <w:p>
            <w:pPr>
              <w:ind w:left="440"/>
              <w:spacing w:after="0"/>
              <w:rPr>
                <w:sz w:val="20"/>
                <w:szCs w:val="20"/>
                <w:color w:val="auto"/>
              </w:rPr>
            </w:pPr>
            <w:r>
              <w:rPr>
                <w:rFonts w:ascii="Courier New" w:cs="Courier New" w:eastAsia="Courier New" w:hAnsi="Courier New"/>
                <w:sz w:val="12"/>
                <w:szCs w:val="12"/>
                <w:color w:val="auto"/>
                <w:w w:val="74"/>
              </w:rPr>
              <w:t>outstanding............................................</w:t>
            </w: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Ordinary Shares --</w:t>
            </w:r>
          </w:p>
        </w:tc>
        <w:tc>
          <w:tcPr>
            <w:tcW w:w="356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w w:val="98"/>
              </w:rPr>
              <w:t>Authorized 550,000 shares; pound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sterling 0.01 par value; 196,800 and 124,708</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4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outstanding, respectively (1998 --</w:t>
            </w:r>
          </w:p>
        </w:tc>
        <w:tc>
          <w:tcPr>
            <w:tcW w:w="20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30,235 Non Voting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Ordinary Shares and 166,565 Voting Ordinary Shares)....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3,149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Additional paid-in capital..................................</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105,779</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Unrealized loss on derivative instruments...................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Unearned compensation</w:t>
            </w:r>
          </w:p>
        </w:tc>
        <w:tc>
          <w:tcPr>
            <w:tcW w:w="3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(8,947)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gridSpan w:val="2"/>
          </w:tcPr>
          <w:p>
            <w:pPr>
              <w:spacing w:after="0"/>
              <w:rPr>
                <w:sz w:val="20"/>
                <w:szCs w:val="20"/>
                <w:color w:val="auto"/>
              </w:rPr>
            </w:pPr>
            <w:r>
              <w:rPr>
                <w:rFonts w:ascii="Courier New" w:cs="Courier New" w:eastAsia="Courier New" w:hAnsi="Courier New"/>
                <w:sz w:val="13"/>
                <w:szCs w:val="13"/>
                <w:color w:val="auto"/>
                <w:w w:val="72"/>
              </w:rPr>
              <w:t>Accumulated deficit.........................................</w:t>
            </w:r>
          </w:p>
        </w:tc>
        <w:tc>
          <w:tcPr>
            <w:tcW w:w="204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(462,099)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(13,522)</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shareholders' equity (deficit)..............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(21,889)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94,253</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9" w:right="1440" w:bottom="1440" w:gutter="0" w:footer="0" w:header="0"/>
        </w:sectPr>
      </w:pPr>
    </w:p>
    <w:bookmarkStart w:id="75" w:name="page76"/>
    <w:bookmarkEnd w:id="75"/>
    <w:p>
      <w:pPr>
        <w:ind w:left="268"/>
        <w:spacing w:after="0"/>
        <w:rPr>
          <w:sz w:val="20"/>
          <w:szCs w:val="20"/>
          <w:color w:val="auto"/>
        </w:rPr>
      </w:pPr>
      <w:r>
        <w:rPr>
          <w:rFonts w:ascii="Courier New" w:cs="Courier New" w:eastAsia="Courier New" w:hAnsi="Courier New"/>
          <w:sz w:val="15"/>
          <w:szCs w:val="15"/>
          <w:color w:val="auto"/>
        </w:rPr>
        <w:t>76</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5100" w:type="dxa"/>
            <w:vAlign w:val="bottom"/>
          </w:tcPr>
          <w:p>
            <w:pPr>
              <w:spacing w:after="0"/>
              <w:rPr>
                <w:sz w:val="14"/>
                <w:szCs w:val="14"/>
                <w:color w:val="auto"/>
              </w:rPr>
            </w:pPr>
          </w:p>
        </w:tc>
        <w:tc>
          <w:tcPr>
            <w:tcW w:w="29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$ 42,891</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$ 25,995</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$ 16,298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360,876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264,107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195,422</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403,767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290,102</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211,720</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10,732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3,711</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4,011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231,360</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173,704</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129,177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25,612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17,386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14,695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51,168</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28,347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 (*)..............................</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27,563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318,872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263,133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176,230</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84,895</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35,490</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24,126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 and cumulative effect........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60,769</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23,703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35,014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30,385</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17,827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cumulative effect.........................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Cumulative effect of change in accounting principle, net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$277 tax...........................................</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$ 30,107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$ 24,508</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before cumulative effect.......................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Diluted earnings per share Income before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effect.....................................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439" w:hanging="348"/>
        <w:spacing w:after="0" w:line="260" w:lineRule="auto"/>
        <w:tabs>
          <w:tab w:leader="none" w:pos="348"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income (expense) resulting from transactions with related parties for the year ended September 30, 1998, 1997 and 1996,</w:t>
      </w:r>
    </w:p>
    <w:p>
      <w:pPr>
        <w:ind w:left="348"/>
        <w:spacing w:after="0" w:line="238" w:lineRule="auto"/>
        <w:rPr>
          <w:sz w:val="20"/>
          <w:szCs w:val="20"/>
          <w:color w:val="auto"/>
        </w:rPr>
      </w:pPr>
      <w:r>
        <w:rPr>
          <w:rFonts w:ascii="Courier New" w:cs="Courier New" w:eastAsia="Courier New" w:hAnsi="Courier New"/>
          <w:sz w:val="15"/>
          <w:szCs w:val="15"/>
          <w:color w:val="auto"/>
        </w:rPr>
        <w:t>respectively: License revenue -- $2,300, $0, and $2,000; service</w:t>
      </w:r>
    </w:p>
    <w:p>
      <w:pPr>
        <w:spacing w:after="0" w:line="4" w:lineRule="exact"/>
        <w:rPr>
          <w:sz w:val="20"/>
          <w:szCs w:val="20"/>
          <w:color w:val="auto"/>
        </w:rPr>
      </w:pPr>
    </w:p>
    <w:p>
      <w:pPr>
        <w:ind w:left="348" w:right="3259"/>
        <w:spacing w:after="0" w:line="242" w:lineRule="auto"/>
        <w:rPr>
          <w:sz w:val="20"/>
          <w:szCs w:val="20"/>
          <w:color w:val="auto"/>
        </w:rPr>
      </w:pPr>
      <w:r>
        <w:rPr>
          <w:rFonts w:ascii="Courier New" w:cs="Courier New" w:eastAsia="Courier New" w:hAnsi="Courier New"/>
          <w:sz w:val="15"/>
          <w:szCs w:val="15"/>
          <w:color w:val="auto"/>
        </w:rPr>
        <w:t>revenue -- $82,100, $100,500 and $76,500; cost of license -- $0, $(3,382) and $(4,011); cost of service -- $(2,325), $(2,523) and $(1,966); selling, general and administrative -- $(510), $(377) and $(294); other expense, net -- $(6,268), $0 and $0 (Note 3); nonrecurring charges -- $0, $(1,800) and $0 (Note 3).</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27"/>
          </w:cols>
          <w:pgMar w:left="232" w:top="289"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77</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UNREALIZED</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RETAINED</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4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LOSS ON</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EARNINGS</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3480" w:type="dxa"/>
            <w:vAlign w:val="bottom"/>
          </w:tcPr>
          <w:p>
            <w:pPr>
              <w:spacing w:after="0"/>
              <w:rPr>
                <w:sz w:val="14"/>
                <w:szCs w:val="14"/>
                <w:color w:val="auto"/>
              </w:rPr>
            </w:pPr>
          </w:p>
        </w:tc>
        <w:tc>
          <w:tcPr>
            <w:tcW w:w="16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UNEARNED</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(ACCUMULATED</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34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DEFICIT)</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(DEFICIT)</w:t>
            </w:r>
          </w:p>
        </w:tc>
      </w:tr>
      <w:tr>
        <w:trPr>
          <w:trHeight w:val="172"/>
        </w:trPr>
        <w:tc>
          <w:tcPr>
            <w:tcW w:w="34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107,934</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$ 14,348</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13,354</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29,429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to Voting Shares...........</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24,508</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$0.35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(37,949)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(37,949)</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1996.........</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107,916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14,348</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15,988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5,876</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5,876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$0.18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(19,311)</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(19,311)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16,792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91,431</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91,700</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124,708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105,779</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(13,522)</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94,253</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30,107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30,107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Unrealized loss on derivative</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instruments, net of $640 tax........</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(1,495)</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$3.76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(478,684)</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(478,684)</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54,092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97,583</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98,448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Initial public offering of Ordinary</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18,000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233,902</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234,190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Stock options granted to employees,</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net of forfeitures..................</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10,239</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(10,239)</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1,292</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1,292</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196,800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$(1,495)</w:t>
            </w:r>
          </w:p>
        </w:tc>
        <w:tc>
          <w:tcPr>
            <w:tcW w:w="13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(8,947)</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$(462,099)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(21,889)</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520"/>
          </w:cols>
          <w:pgMar w:left="240" w:top="289" w:right="139"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5"/>
          </w:tcPr>
          <w:p>
            <w:pPr>
              <w:jc w:val="right"/>
              <w:ind w:right="56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820" w:type="dxa"/>
            <w:vAlign w:val="bottom"/>
          </w:tcPr>
          <w:p>
            <w:pPr>
              <w:spacing w:after="0"/>
              <w:rPr>
                <w:sz w:val="14"/>
                <w:szCs w:val="14"/>
                <w:color w:val="auto"/>
              </w:rPr>
            </w:pPr>
          </w:p>
        </w:tc>
        <w:tc>
          <w:tcPr>
            <w:tcW w:w="332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30,107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270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12,611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8,066</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5,223</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16,485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(11,868)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Write-off of purchased computer software........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(26,000)</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(19,357)</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(8,211)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(5,244)</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(3,324)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(3,181)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23,906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20,971</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(1,896)</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5,148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Unearned revenue................................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11,800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6,730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5,697</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11,225</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3,979</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4,843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3,598</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9,122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21,712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66,483</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26,051</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33,908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959</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(26,566)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(10,213)</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(5,526)</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Purchase of computer software and intellectual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rights....................................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(25,677)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(49,254)</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(5,273)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(478,684)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(18,000)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(40,013)</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330,638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91,700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(269,946)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(155,190)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(130,358)</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358,862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140,360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137,872</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 term debt.........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364,127</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long term debt.................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(368,521)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capital lease obligations......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(1,286)</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(payments on) issuance of notes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(69,149)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60,852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(32,766)</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(28,343)</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37,649</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(4,131)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16,083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20,214</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25,389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16,083</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9"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STATEMENTS OF CASH FLOWS -- (CONTINUED)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5"/>
          <w:szCs w:val="15"/>
          <w:color w:val="auto"/>
        </w:rPr>
        <w:t>YEAR ENDED SEPTEMBER 30,</w:t>
      </w:r>
    </w:p>
    <w:p>
      <w:pPr>
        <w:spacing w:after="0" w:line="4"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left="2160"/>
        <w:spacing w:after="0"/>
        <w:tabs>
          <w:tab w:leader="none" w:pos="620" w:val="left"/>
          <w:tab w:leader="none" w:pos="62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2" w:lineRule="exact"/>
        <w:rPr>
          <w:sz w:val="20"/>
          <w:szCs w:val="20"/>
          <w:color w:val="auto"/>
        </w:rPr>
      </w:pPr>
    </w:p>
    <w:p>
      <w:pPr>
        <w:jc w:val="center"/>
        <w:ind w:left="2160"/>
        <w:spacing w:after="0"/>
        <w:tabs>
          <w:tab w:leader="none" w:pos="620" w:val="left"/>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Supplementary Cash Flow Information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Income Taxes Paid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paid for:</w:t>
      </w:r>
    </w:p>
    <w:p>
      <w:pPr>
        <w:sectPr>
          <w:pgSz w:w="11900" w:h="16838" w:orient="portrait"/>
          <w:cols w:equalWidth="0" w:num="1">
            <w:col w:w="10219"/>
          </w:cols>
          <w:pgMar w:left="240" w:top="289" w:right="1440" w:bottom="1440" w:gutter="0" w:footer="0" w:header="0"/>
        </w:sectPr>
      </w:pP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taxes, net of refunds..............................</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jc w:val="right"/>
        <w:spacing w:after="0" w:line="274" w:lineRule="auto"/>
        <w:rPr>
          <w:sz w:val="20"/>
          <w:szCs w:val="20"/>
          <w:color w:val="auto"/>
        </w:rPr>
      </w:pPr>
      <w:r>
        <w:rPr>
          <w:rFonts w:ascii="Courier New" w:cs="Courier New" w:eastAsia="Courier New" w:hAnsi="Courier New"/>
          <w:sz w:val="14"/>
          <w:szCs w:val="14"/>
          <w:color w:val="auto"/>
        </w:rPr>
        <w:t>$32,472 25,150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$18,352</w:t>
      </w:r>
    </w:p>
    <w:p>
      <w:pPr>
        <w:spacing w:after="0" w:line="1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1,036</w:t>
      </w:r>
    </w:p>
    <w:p>
      <w:pPr>
        <w:spacing w:after="0" w:line="20" w:lineRule="exact"/>
        <w:rPr>
          <w:sz w:val="20"/>
          <w:szCs w:val="20"/>
          <w:color w:val="auto"/>
        </w:rPr>
      </w:pPr>
      <w:r>
        <w:rPr>
          <w:sz w:val="20"/>
          <w:szCs w:val="20"/>
          <w:color w:val="auto"/>
        </w:rPr>
        <w:br w:type="column"/>
      </w:r>
    </w:p>
    <w:p>
      <w:pPr>
        <w:jc w:val="right"/>
        <w:ind w:right="2179"/>
        <w:spacing w:after="0"/>
        <w:rPr>
          <w:sz w:val="20"/>
          <w:szCs w:val="20"/>
          <w:color w:val="auto"/>
        </w:rPr>
      </w:pPr>
      <w:r>
        <w:rPr>
          <w:rFonts w:ascii="Courier New" w:cs="Courier New" w:eastAsia="Courier New" w:hAnsi="Courier New"/>
          <w:sz w:val="15"/>
          <w:szCs w:val="15"/>
          <w:color w:val="auto"/>
        </w:rPr>
        <w:t>$1,475</w:t>
      </w:r>
    </w:p>
    <w:p>
      <w:pPr>
        <w:spacing w:after="0" w:line="2" w:lineRule="exact"/>
        <w:rPr>
          <w:sz w:val="20"/>
          <w:szCs w:val="20"/>
          <w:color w:val="auto"/>
        </w:rPr>
      </w:pPr>
    </w:p>
    <w:p>
      <w:pPr>
        <w:jc w:val="right"/>
        <w:ind w:right="2179"/>
        <w:spacing w:after="0"/>
        <w:rPr>
          <w:sz w:val="20"/>
          <w:szCs w:val="20"/>
          <w:color w:val="auto"/>
        </w:rPr>
      </w:pPr>
      <w:r>
        <w:rPr>
          <w:rFonts w:ascii="Courier New" w:cs="Courier New" w:eastAsia="Courier New" w:hAnsi="Courier New"/>
          <w:sz w:val="15"/>
          <w:szCs w:val="15"/>
          <w:color w:val="auto"/>
        </w:rPr>
        <w:t>1,199</w:t>
      </w:r>
    </w:p>
    <w:p>
      <w:pPr>
        <w:spacing w:after="0" w:line="221" w:lineRule="exact"/>
        <w:rPr>
          <w:sz w:val="20"/>
          <w:szCs w:val="20"/>
          <w:color w:val="auto"/>
        </w:rPr>
      </w:pPr>
    </w:p>
    <w:p>
      <w:pPr>
        <w:sectPr>
          <w:pgSz w:w="11900" w:h="16838" w:orient="portrait"/>
          <w:cols w:equalWidth="0" w:num="4">
            <w:col w:w="5360" w:space="180"/>
            <w:col w:w="620" w:space="360"/>
            <w:col w:w="620" w:space="360"/>
            <w:col w:w="2719"/>
          </w:cols>
          <w:pgMar w:left="240" w:top="289" w:right="1440"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Capital lease obligations of $5,200, $8,516 and $2,361 were incurred during the years ended September 30, 1998, 1997 and 1996 respectively, when the Company entered into lease agreements for vehicles.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declared a dividend to its shareholders as of June 30, 1997 of certain assets, consisting principally of the net assets and liabilities of a dormant entity, totaling approximately $1,311. The estimated value of the net assets distributed, based on internally prepared estimates, approximates the net book value at the date of distribution. The dividend is aggregated in the Statement of Changes in Shareholders' Equity (Deficit) with cash dividends paid of $18,000.</w:t>
      </w:r>
    </w:p>
    <w:p>
      <w:pPr>
        <w:spacing w:after="0" w:line="17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9" w:right="1440" w:bottom="1440" w:gutter="0" w:footer="0" w:header="0"/>
          <w:type w:val="continuous"/>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80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SEPTEMBER 30, 1998</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NATURE OF ENTITY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is a Guernsey corporation, which holds directly or indirectly several wholly owned subsidiaries in the United States, Europe, Canada, Israel, Japan, Cyprus and Australia. The Company's customers are mainly in the North America, Europe, South America, Australia, and the Asia-Pacific region. The Company derives approximately 55 percent of its revenue from outside the United States. The majority of the Company's production facilities are located in the State of Israel. Additional development and support centers are located in the U.S., Brazil and Cyprus.</w:t>
      </w:r>
    </w:p>
    <w:p>
      <w:pPr>
        <w:spacing w:after="0" w:line="17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consolidated financial statements of the Company have been prepared in accordance with accounting principles generally accepted in the 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financial statements include the accounts of the Company and all its subsidiaries, which are wholly owned. All significant intercompany transactions and balances have been eliminated in consolidation.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FUNCTIONAL CURRENCY</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U.S. dollar is the functional currency for the Company and its subsidiaries, as the U.S. dollar is the predominant currency of the Company's revenue.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6"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Cash and cash equivalents consist of cash and short-term investments with insignificant interest rate risk and original maturities of 90 days or less.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AND LEASEHOLD IMPROVEMENTS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Computers, office furniture and 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two to twelve years and includes the amortization of assets under capitalized leases. Leasehold improvements are amortized over the shorter of the estimated useful lives or the term of the lease. Management reviews property and equipment and other long-lived assets on a periodic basis to determine whether the events or changes in circumstances indicate that the carrying amount of such assets may not be recoverable.</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9"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81</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AND COMPUTER SOFTWARE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Research and development expenditures consist of costs incurred during the development of new software modules and product offerings, usually in conjunction with a customer project. Such costs are charged to operations as incurred. Certain computer software costs are capitalized in accordance with Statement of Financial Accounting Standards (SFAS) No. 86, "Accounting for the Costs of Computer Software to be Sold, Leased or Otherwise Marketed," which requires capitalization of software development costs subsequent to the establishment of technological feasibility.</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Purchased computer software, which is reported at the lower of amortized cost or net realizable value, is amortized over its estimated useful life of three years based on the ratio of the current gross revenue for each product to the total current and anticipated future gross revenue for each product. This accounting policy results in amortization of purchased computer software on a basis faster than the straight-line method.</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Periodically, the Company considers whether there are indicators of impairment that would require the evaluation of the net realizable value of the capitalized computer software in comparison to its carrying value.</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September 1997 the Company acquired certain intellectual properties rights. These rights are amortized over their estimated useful life of 10 years, on a straight line basis.</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Accumulated amortization of intellectual properties rights and computer software is $11,060 and $328 at September 30, 1998 and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SPLIT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1997 and May 1998, the Board of Directors of the Company authorized stock splits effected as dividends of Ordinary Shares. All references in the consolidated financial statements referring to shares, per share amounts, and contingently issuable shares have been adjusted retroactively for the stock splits.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records deferred income taxes to reflect the net tax effects of temporary differences between the carrying amounts of assets and liabilities for financial reporting purposes and for tax purposes. Deferred taxes are computed based on tax rates anticipated to be in effect (under applicable law at the time the financial statements are prepared) when the deferred taxes are expected to be paid or realized.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their parents.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9"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82</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software products require significant customization and therefore the development projects are recognized as long term contracts in conformity with Accounting Research Bulletin (ARB) No. 45 "Long Term Construction Type Contracts" and Statement of Position (SOP) 81-1 "Accounting for Performance of Construction Type and Certain Production Type Contracts" and SOP 97-2 "Software Revenue Recognition". License revenue is recognized as work is performed, using percentage of completion accounting. Service revenue that involves significant ongoing obligations, including fees for customization, implementation and support services, is recognized as work is performed, under the percentage of completion method. Revenue related to ongoing support is recognized as work is performed. Revenue from third party hardware and software sales is recognized when products are delivered. Maintenance revenue is recognized ratably over the term of the maintenance agreement, which in most cases is one year or less. As a result of its percentage of completion accounting policies, the Company's annual and quarterly operating results may be significantly affected by the size and timing of customer projects and the Company's progress in completing such projects.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Losses are recognized on contracts in the period in which the liability is identified. Unearned revenue represents advance billings to customers for services and third-party products and generally is recognized within one year of receipt.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Included in service revenue are sales of third-party products totaling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$27,016 in 1996. Revenue from sales of such products in 1998 and 1997 are less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10 percent of total revenue and are expected to continue to be below 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in the future. Such products include third-party computer hardware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computer software products.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LICENSE AND COST OF SERVICE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and service consists of all costs associated with providing services to customers, including warranty expense. Estimated costs related to warranty obligations are initially provided at the time the product is delivered and are revised to reflect subsequent changes in circumstances and estimates. Cost of license includes amortization of purchased computer software and intellectual property rights and, in 1997 and 1996 royalty expense.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Included in cost of service are costs of third-party products associated with reselling third-party computer hardware and computer software products to customers. In 1996, such costs totaled $22,124. Customers purchasing third-party products from the Company generally do so in conjunction with the purchase of services.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NONRECURRING CHARGES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Amounts reflected as nonrecurring charges in the consolidated statements of operations of the year ended September 30, 1997 represent two items: (a) the payment of a one-time special bonus of $25,763 paid to a trust for the benefit of certain officers and employees related to past services and (b) a write-off of $1,800 in connection with the acquisition of certain software rights related to in-process research and development.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ACCOUNTING FOR INTELLECTUAL PROPERTY RIGHTS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1998, the Company revised its accounting for certain intellectual property rights acquired in 1997. The cost of such rights, $26,200, was previously reported as a nonrecurring charge in 1997. Effective September 30, 1997, the rights were capitalized and are amortized over their estimated useful life of 10 years.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89"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83</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accounts for stock-based compensation in accordance with Accounting Principles Board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See Note 14 for pro forma disclosures required in accordance with Statement No. 123, "Accounting for Stock-Based Compensation," ("SFAS 123") of the Financial Accounting Standards Board.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financial instruments of the Company consist mainly of cash and cash equivalents, accounts receivable, short-term financing arrangements, forward exchange contracts, and lease obligations. In view of their nature, the fair value of the financial instruments included in the accounts of the Company does not significantly vary from their carrying amount.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trade receivables. The Company invests its excess cash primarily in highly liquid U.S. dollar-denominated deposits with major U.S. and U.K. banks. The Company does not expect any credit losses in respect of these items. The Company's revenue is generated primarily in North America, Europe, Australia, Brazil and the Asia-Pacific region, and most of its customers are among the largest telecommunications and directory publishing companies in the world (or owned by them). The Company performs ongoing analysis of its customer base and generally does not require collateral.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6"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Certain amounts in the 1997 and 1996 financial information have been reclassified to conform to the current year presentation.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February 1997, the Financial Accounting Standards Board (FASB) issued SFAS No. 128, "Earnings per Share" which was adopted on December 31, 1997. SFAS No. 128 replaced previously reported primary and fully diluted earnings per share with basic and diluted earnings per share. Unlike primary earnings per share, basic earnings per share exclude the dilutive effects of options, warrants and convertible securities. Diluted earnings per share are very similar to previously reported fully diluted earnings per share. All earnings per share amounts for all periods have been presented, and where necessary restated to conform to the SFAS No. 128 requirements.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June 1997, the FASB issued SFAS No. 130, "Reporting Comprehensive Income" which was adopted on October 1, 1997. This new Statement establishes standards for reporting and displaying comprehensive income exclusive of net income and its components in a company's financial statements. At the present time, the only component of comprehensive income which must be included in the Company's financial statements is unrealized gains and losses on derivative instruments designated as cash flow hedges.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9"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which was adopted on December 31, 1997. SFAS No. 131 requires companies to provide financial and descriptive information about their operating segments. All operating segment information for all periods has been presented.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October 1997, the AICPA issued SOP 97-2, "Software Revenue Recognition," which updates the requirements of revenue recognition effective for transactions that the Company has entered into beginning January 1, 1998. The adoption of SOP 97-2 did not have a material impact on the Company's financial position or results of operations.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is required to be adopted in years beginning after June 15, 1999. The Statement permits early adoption as of the beginning of any fiscal quarter after its issuance. The Company adopted the new Statement effective July 1, 1998. The Statement requires the Company to recognize all derivatives on the balance sheet at fair value. If the derivative meets the definition of a hedge and is so designated,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will be immediately recognized in earnings.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1998, the AICPA issued SOP 98-1, "Accounting For the Costs of Computer Software Developed For or Obtained For Internal-Use". The provisions of the SOP must be applied in financial statements for fiscal years beginning after December 15, 1998. The SOP will require the capitalization of certain costs incurred after the date of adoption in connection with developing or obtaining software for internal-use. The company currently expenses such costs as incurred. The Company has not yet assessed what the impact of the SOP will be on the Company's future earnings or financial position.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The Company's most significant estimates are related to contract accounting estimates used to recognize revenue under percentage of completion contracts. Actual results could differ from those estimates.</w:t>
      </w:r>
    </w:p>
    <w:p>
      <w:pPr>
        <w:spacing w:after="0" w:line="17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RELATED-PARTY TRANSACTIONS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several affiliates of a significant shareholder of the Company (the "affiliates"). Revenue from the affiliates totaled approximately $84,400, $100,500 and $78,500 in 1998, 1997 and 1996, respectively. Through September 1997 the Company also paid royalties to the affiliates for the licensing of computer software. Royalty expense totaled approximately $3,400 and $4,000 in 1997 and 1996, respectively. Amounts due to the affiliates related to these royalties were $0 and $436 at September 30, 1998 and 1997, respectively, and were included in accounts payable and accrued expenses.</w:t>
      </w:r>
    </w:p>
    <w:p>
      <w:pPr>
        <w:spacing w:after="0" w:line="178"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On September 22, 1997, the Company purchased certain computer software and intellectual property rights from the affiliates for an aggregate amount of $40,000. As a result, the Company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9"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85</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no longer pays royalties to the affiliates related to the purchased computer software. In process research and development, related to this transaction resulted in a nonrecurring charge of $1,800. The remainder has been capitalized as computer software and intellectual property rights.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persons affiliated with the investors party to the Share Subscription Agreement referred to in Note 13. The notes bore an interest rate of 5.75 percent per annum and were originally due September 22, 1998. The notes were paid in March 1998.</w:t>
      </w:r>
    </w:p>
    <w:p>
      <w:pPr>
        <w:spacing w:after="0" w:line="175" w:lineRule="exact"/>
        <w:rPr>
          <w:sz w:val="20"/>
          <w:szCs w:val="20"/>
          <w:color w:val="auto"/>
        </w:rPr>
      </w:pPr>
    </w:p>
    <w:p>
      <w:pPr>
        <w:jc w:val="both"/>
        <w:ind w:right="3519" w:firstLine="447"/>
        <w:spacing w:after="0" w:line="242" w:lineRule="auto"/>
        <w:rPr>
          <w:sz w:val="20"/>
          <w:szCs w:val="20"/>
          <w:color w:val="auto"/>
        </w:rPr>
      </w:pPr>
      <w:r>
        <w:rPr>
          <w:rFonts w:ascii="Courier New" w:cs="Courier New" w:eastAsia="Courier New" w:hAnsi="Courier New"/>
          <w:sz w:val="15"/>
          <w:szCs w:val="15"/>
          <w:color w:val="auto"/>
        </w:rPr>
        <w:t>In January 1998, the Company issued $123,500 in principal amount of 10 percent subordinated notes to affiliates of certain shareholders which were party to the Conditional Investment Agreement referred to in Note 13. This amount was paid as described in Note 8.</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leases office space in Israel on a month-to-month basis and purchases other miscellaneous support services from affiliates of certain shareholders. Amounts paid for rent and related maintenance and other miscellaneous support services were approximately $2,835, $2,900 and $2,260 for 1998, 1997 and 1996, respectively.</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COMPENSATING BALANCES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Company was required to maintain compensating cash balances of $574 at September 30, 1998 and 1997, relating to foreign currency contracts.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EQUIPMENT, VEHICLES AND LEASEHOLD IMPROVEMENTS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Components of equipment, vehicles and leasehold improvements, net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$ 2,900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24,688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Vehicles furnished to employees................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16,708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3,481</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77,239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47,777</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19,490</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$28,287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subsidiary of the Company has entered into various leasing arrangements with a commercial bank of vehicles for periods of five years, carrying interest rates of LIBOR plus a varying interest rate of 0.7 percent to 1 percent (6.5 percent at September 30, 1998). The Company has accounted for these as capital leases. Capital lease payments, excluding interest, due over the next five years are as follows: $2,952 in 1999, $3,148 in 2000, $3,005 in 2001, $2,200 in 2002 and $862 in 2003.</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9"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86</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OTHER NONCURRENT ASSETS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assets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Funded personnel benefit costs.................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$10,660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software, net of amortization of</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$8,222 in 1998, and $110 in 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11,890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2,793</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$25,343</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INCOME TAXES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76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2500" w:type="dxa"/>
            <w:vAlign w:val="bottom"/>
          </w:tcPr>
          <w:p>
            <w:pPr>
              <w:spacing w:after="0"/>
              <w:rPr>
                <w:sz w:val="14"/>
                <w:szCs w:val="14"/>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$32,376</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$ 29,695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$ 5,645</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4,861</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$30,385</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$ 17,827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All income taxes are from continuing operations reported by the Company in the applicable taxing jurisdiction. Income taxes also include anticipated withholding taxes due on subsidiaries' earnings when paid as dividends to their parent company.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income taxes are comprised of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ASSETS:</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Unearned revenue.......................................</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$ 5,849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$ 5,900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Accrued personnel costs................................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7,027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6,621</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Computer software and intellectual property............</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Warranty and maintenance accruals......................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5,512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1,259</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deferred assets..................................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22,307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17,119</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LIABILITIES:</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Anticipated withholdings on subsidiaries' earnings.....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deferred liabilities.............................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deferred assets....................................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$12,371</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000" w:type="dxa"/>
            <w:vAlign w:val="bottom"/>
          </w:tcPr>
          <w:p>
            <w:pPr>
              <w:ind w:left="3400"/>
              <w:spacing w:after="0"/>
              <w:rPr>
                <w:sz w:val="20"/>
                <w:szCs w:val="20"/>
                <w:color w:val="auto"/>
              </w:rPr>
            </w:pPr>
            <w:r>
              <w:rPr>
                <w:rFonts w:ascii="Courier New" w:cs="Courier New" w:eastAsia="Courier New" w:hAnsi="Courier New"/>
                <w:sz w:val="15"/>
                <w:szCs w:val="15"/>
                <w:color w:val="auto"/>
              </w:rPr>
              <w:t>F-14</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86" w:name="page87"/>
    <w:bookmarkEnd w:id="86"/>
    <w:p>
      <w:pPr>
        <w:ind w:left="268"/>
        <w:spacing w:after="0"/>
        <w:rPr>
          <w:sz w:val="20"/>
          <w:szCs w:val="20"/>
          <w:color w:val="auto"/>
        </w:rPr>
      </w:pPr>
      <w:r>
        <w:rPr>
          <w:rFonts w:ascii="Courier New" w:cs="Courier New" w:eastAsia="Courier New" w:hAnsi="Courier New"/>
          <w:sz w:val="15"/>
          <w:szCs w:val="15"/>
          <w:color w:val="auto"/>
        </w:rPr>
        <w:t>87</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as follows: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88"/>
        </w:trPr>
        <w:tc>
          <w:tcPr>
            <w:tcW w:w="3560" w:type="dxa"/>
            <w:vAlign w:val="bottom"/>
          </w:tcPr>
          <w:p>
            <w:pPr>
              <w:spacing w:after="0"/>
              <w:rPr>
                <w:sz w:val="24"/>
                <w:szCs w:val="2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88" w:right="3159" w:hanging="188"/>
        <w:spacing w:after="0" w:line="242" w:lineRule="auto"/>
        <w:tabs>
          <w:tab w:leader="none" w:pos="18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1998 and 1997 the Company incurred tax expense on the income of its operations in various countries and sustained a loss in a tax jurisdiction in which the Company is tax exempt, which resulted in no tax benefit to offset the expense incurred. As a result, the Company's effective income tax rate is significantly greater than the 1996 effective rate.</w:t>
      </w:r>
    </w:p>
    <w:p>
      <w:pPr>
        <w:spacing w:after="0" w:line="175" w:lineRule="exact"/>
        <w:rPr>
          <w:rFonts w:ascii="Courier New" w:cs="Courier New" w:eastAsia="Courier New" w:hAnsi="Courier New"/>
          <w:sz w:val="15"/>
          <w:szCs w:val="15"/>
          <w:color w:val="auto"/>
        </w:rPr>
      </w:pPr>
    </w:p>
    <w:p>
      <w:pPr>
        <w:ind w:left="18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Israeli subsidiary, which accounts for approximately 31 percent of the Company's income before income taxes, enjoys tax benefits from Approved Enterprise status, as established under Israeli law. The benefits from this status begin phasing out in 1999.</w:t>
      </w:r>
    </w:p>
    <w:p>
      <w:pPr>
        <w:spacing w:after="0" w:line="174" w:lineRule="exact"/>
        <w:rPr>
          <w:rFonts w:ascii="Courier New" w:cs="Courier New" w:eastAsia="Courier New" w:hAnsi="Courier New"/>
          <w:sz w:val="15"/>
          <w:szCs w:val="15"/>
          <w:color w:val="auto"/>
        </w:rPr>
      </w:pPr>
    </w:p>
    <w:p>
      <w:pPr>
        <w:ind w:left="188"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1997, the Company settled claims from various taxing authorities resulting in an increase in taxes paid and deferred tax assets. Included in other income (expense), net for the year ended September 30, 1997 is approximately $3,000, representing interest on tax assessments relating to years prior to fiscal 1997.</w:t>
      </w:r>
    </w:p>
    <w:p>
      <w:pPr>
        <w:spacing w:after="0" w:line="175" w:lineRule="exact"/>
        <w:rPr>
          <w:sz w:val="20"/>
          <w:szCs w:val="20"/>
          <w:color w:val="auto"/>
        </w:rPr>
      </w:pPr>
    </w:p>
    <w:p>
      <w:pPr>
        <w:ind w:left="8" w:right="3339" w:firstLine="447"/>
        <w:spacing w:after="0" w:line="274" w:lineRule="auto"/>
        <w:rPr>
          <w:sz w:val="20"/>
          <w:szCs w:val="20"/>
          <w:color w:val="auto"/>
        </w:rPr>
      </w:pPr>
      <w:r>
        <w:rPr>
          <w:rFonts w:ascii="Courier New" w:cs="Courier New" w:eastAsia="Courier New" w:hAnsi="Courier New"/>
          <w:sz w:val="14"/>
          <w:szCs w:val="14"/>
          <w:color w:val="auto"/>
        </w:rPr>
        <w:t>The Company's assumption is that it is more likely than not that all the net deferred tax assets will be realized through future taxable earnings.</w:t>
      </w:r>
    </w:p>
    <w:p>
      <w:pPr>
        <w:spacing w:after="0" w:line="152"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SHORT-TERM FINANCING ARRANGEMENTS</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Pursuant to a July 1998 agreement (which is an amendment to the December 1997 agreement discussed below) with a syndicate of banks, the Company may borrow up to $100,000 under a revolving line of credit. This agreement expires in June 2001. The Company borrowed $66,000 under the line of credit to refinance a facility from a commercial bank, and to repay $46,000 of the subordinated debt to affiliates of the shareholders as described below. The revolving line of credit bears a variable interest rate (6.5 percent at September 30, 1998). The credit agreement has various covenants which limit the Company's ability to make investments, incur debt, pay dividends and dispose of property. The Company is also required to maintain certain financial ratios as defined in the agreement. Except for vehicles, substantially all of the Company's assets have been pledged as security under the terms of the agreement. At September 30, 1998, the outstanding balance under this credit facility was $59,000.</w:t>
      </w:r>
    </w:p>
    <w:p>
      <w:pPr>
        <w:spacing w:after="0" w:line="16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Under a credit agreement with the First International Bank of Israel,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subsidiary in the State of Israel may borrow up to $40,000 under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short term credit line. At September 30, 1998, the outstanding balance was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$32,565. The short term credit line bears a variable interest rate (6.7 percent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 September 30, 1998).</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addition, the Company has short term revolving credit line totaling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$7,000 from the FIBI BANK (UK) plc. As of September 30, 1998, the Company used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approximately $4,500 of this revolving credit facility to support outstanding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letters of credit.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Company's financing transactions for the year are described below:</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entities affiliated with the investors party to the Share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7"/>
          </w:cols>
          <w:pgMar w:left="232" w:top="289"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88</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Subscription Agreement referred to in Note 13. The notes bore an interest rate of 5.75 percent per annum, and were due September 22, 1998. The notes were paid in March 1998.</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December 1997, certain direct and indirect subsidiaries entered into a credit agreement (the 1997 Credit Agreement) with several commercial banks, which provided for three separate term loans and a revolving credit facility. Term loans of $125,000 and $100,000 with variable interest rates and quarterly principal payments due through December 2002 and June 2004, respectively, and a $90,000 term loan with a variable interest rate and principal due in May 1998. In December 1997, the Company borrowed $315,000 under the term loans and placed such proceeds in a cash collateral account maintained by one of the commercial banks subject to the 1997 Credit Agreement. The release of the cash held in the cash collateral account was subject to the occurrence of certain events, as defined. The events were met in January 1998, and the cash held in the cash collateral account was released to the Company.</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March 1998, the Company received the proceeds of the additional equity investment discussed in Note 13 totaling approximately $99,000 and used the proceeds to repay the term loan maturing in May 1998 and the short-term notes payable to related parties.</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In January 1998, the Company borrowed $20,000 under the revolving credit portion of the 1997 Credit Agreement and used the proceeds to prepay certain of the term loans. Amounts borrowed under the revolving credit facility bore a variable interest rate and were due December 5, 2002. This amount was repaid in July 1998 with the proceeds of the Company's $100,000 revolving credit facility.</w:t>
      </w:r>
    </w:p>
    <w:p>
      <w:pPr>
        <w:spacing w:after="0" w:line="163"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occurrence of certain qualifying events, as defined in the Conditional Investment Agreement as discussed in Note 13, also resulted in the issuance of unsecured long-term notes to affiliates of certain shareholders of the Company totaling $123,500, and a requirement for affiliates of certain shareholders to make an equity investment in the Company of approximately $99,000, subject to possible adjustment, as provided in the Conditional Investment Agreement. The long-term subordinated notes to affiliates carried an interest rate of 10 percent, payable quarterly with principal due September 2004. The proceeds of the long-term subordinated notes to affiliates were received in January 1998.</w:t>
      </w:r>
    </w:p>
    <w:p>
      <w:pPr>
        <w:spacing w:after="0" w:line="162"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On June 24, 1998 the Company used the proceeds from the initial public offering that was conducted on June 19, 1998 to repay $183,750 in outstanding term loans made in December 1997 and $49,000 out of the $123,500, 10 percent subordinated debt issued in January 1998.</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Subordinated debt to affiliates of the shareholders in the amount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$46,000 was repaid in July 1998 from the proceeds of the Company's revolving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Effective July 31, 1998, the Company extinguished the subordinated debt with cash flows from operations.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OTHER NONCURRENT LIABILITIES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liabilities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Accrued personnel costs................</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$18,507</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Ordinary Shares subscription deposit...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$20,507</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3400" w:type="dxa"/>
            <w:vAlign w:val="bottom"/>
          </w:tcPr>
          <w:p>
            <w:pPr>
              <w:spacing w:after="0"/>
              <w:rPr>
                <w:sz w:val="24"/>
                <w:szCs w:val="24"/>
                <w:color w:val="auto"/>
              </w:rPr>
            </w:pPr>
          </w:p>
        </w:tc>
        <w:tc>
          <w:tcPr>
            <w:tcW w:w="10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88"/>
              </w:rPr>
              <w:t>F-16</w:t>
            </w: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89</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OTHER EXPENSE, NET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expense, net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3220" w:type="dxa"/>
            <w:vAlign w:val="bottom"/>
          </w:tcPr>
          <w:p>
            <w:pPr>
              <w:spacing w:after="0"/>
              <w:rPr>
                <w:sz w:val="14"/>
                <w:szCs w:val="14"/>
                <w:color w:val="auto"/>
              </w:rPr>
            </w:pPr>
          </w:p>
        </w:tc>
        <w:tc>
          <w:tcPr>
            <w:tcW w:w="286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(24,947)</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(981)</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(1,291)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 related to</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settlement of tax claims.........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(3,000)</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(2,624)</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r>
        <w:trPr>
          <w:trHeight w:val="172"/>
        </w:trPr>
        <w:tc>
          <w:tcPr>
            <w:tcW w:w="32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(24,126)</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$(3,266)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2"/>
        </w:trPr>
        <w:tc>
          <w:tcPr>
            <w:tcW w:w="32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COMMITMENTS</w:t>
      </w:r>
    </w:p>
    <w:p>
      <w:pPr>
        <w:spacing w:after="0" w:line="176" w:lineRule="exact"/>
        <w:rPr>
          <w:sz w:val="20"/>
          <w:szCs w:val="20"/>
          <w:color w:val="auto"/>
        </w:rPr>
      </w:pPr>
    </w:p>
    <w:p>
      <w:pPr>
        <w:ind w:right="3339" w:firstLine="447"/>
        <w:spacing w:after="0" w:line="267" w:lineRule="auto"/>
        <w:rPr>
          <w:sz w:val="20"/>
          <w:szCs w:val="20"/>
          <w:color w:val="auto"/>
        </w:rPr>
      </w:pPr>
      <w:r>
        <w:rPr>
          <w:rFonts w:ascii="Courier New" w:cs="Courier New" w:eastAsia="Courier New" w:hAnsi="Courier New"/>
          <w:sz w:val="14"/>
          <w:szCs w:val="14"/>
          <w:color w:val="auto"/>
        </w:rPr>
        <w:t>The Company leases office space in various countries in which it does business under non-cancelable operating leases. Future minimum lease payments required for the five-year period beginning October 1, 1998 are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FOR THE YEAR ENDED SEPTEMBER 30,</w:t>
            </w:r>
          </w:p>
        </w:tc>
      </w:tr>
      <w:tr>
        <w:trPr>
          <w:trHeight w:val="172"/>
        </w:trPr>
        <w:tc>
          <w:tcPr>
            <w:tcW w:w="340" w:type="dxa"/>
            <w:vAlign w:val="bottom"/>
          </w:tcPr>
          <w:p>
            <w:pPr>
              <w:spacing w:after="0"/>
              <w:rPr>
                <w:sz w:val="14"/>
                <w:szCs w:val="14"/>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w:t>
            </w:r>
          </w:p>
        </w:tc>
      </w:tr>
      <w:tr>
        <w:trPr>
          <w:trHeight w:val="344"/>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1999</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$ 9,700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2000</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10,600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10,300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..............................................8,400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2003</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..............................................7,400</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$46,400</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Rent expense was approximately $8,000, $5,400 and $4,900 for 1998, 1997 and 1996, respectively. The lease agreement related to the Company's principal facilities in Israel, for which the Company has provided a $2,000 guarantee, includes a purchase option.</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EMPLOYEE BENEFITS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subsidiary. The severance pay liability, which is included in other noncurrent liabilities, is partially funded by amounts on deposit with insurance companies, which are included in other noncurrent assets. Most of the deposits were funded by the Israeli subsidiary. Severance pay expenses were approximately $7,100, $5,500 and $4,200 for 1998, 1997 and 1996, respectively.</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sponsors a defined contribution benefit plan covering substantially all employees in the U.S., U.K., and Canada. The plan provides for Company matching contributions based upon a percentage of the employees' voluntary contributions. The Company's 1998, 1997 and 1996 plan contributions were not significant.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CAPITAL TRANSACTIONS</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On June 19, 1998, the Company commenced an initial public offering of 18,000 Ordinary Shares at an offering price of $14 per share. Total net proceeds, after deduction of offering expenses and underwriting commissions, amounted to $234,190. The Company used these funds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9"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90</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to repay interest and principal relating to $183,750 outstanding term loans made in December 1997 and $49,000 out of the $123,500 10 percent subordinated debt issued in January 1998.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July 17, 1998, pursuant to an over-allotment option granted by an existing shareholder of the Company to the underwriters involved with the Company's initial public offering, the underwriters elected to exercise their over-allotment option with respect to 1,344 nonvoting Ordinary Shares held by this shareholder. In accordance with the Company's Articles of Association, such nonvoting Ordinary Shares converted automatically into voting Ordinary Shares, upon their transfer.</w:t>
      </w:r>
    </w:p>
    <w:p>
      <w:pPr>
        <w:spacing w:after="0" w:line="17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May 1998, in contemplation of the Company's initial public offering, the Board of Directors took the following actions: (i) redeemed the outstanding Voting Shares at the par value thereof, (ii) amended the terms of the Ordinary Shares to create two classes: voting and non-voting; (iii) authorized 25,000 Preferred Shares, 500,000 Ordinary Shares and 50,000 non-voting Ordinary Shares; and (iv) declared a stock split of 52-for-1 for each Ordinary Share outstanding. The rights of the two classes of Ordinary Shares are identical except as to voting rights and all of the outstanding non-voting Ordinary Shares are held by a principal shareholder of the Company. All references to the number of shares and earnings per share have been restated to reflect the stock split and the redemption of Voting Shares has been given retroactive effect.</w:t>
      </w:r>
    </w:p>
    <w:p>
      <w:pPr>
        <w:spacing w:after="0" w:line="167"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In March 1998, the Company issued 51,508 Ordinary Shares according to the September 1997 Conditional Investment Agreement discussed below. Total proceeds (net of $2,600 fees) amounted to approximately $96,448.</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In January 1998, the Company's Board of Directors declared dividends of $478,684 which were paid at that time. The dividends were financed by the proceeds of the long term loans, long term notes of affiliates of certain shareholders, and surplus working capital.</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In January 1998, the Company issued 36 additional Voting Shares at par value which were redeemed in May 1998 as discussed above and issued the contingently issuable 2,584 Ordinary Shares which were paid in advance in the amount of $2,000 in the 1995 Stock Subscription Agreements.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22, 1997, the Company entered into a Share Subscription Agreement, under which 11,072 Ordinary Shares and 990 Voting Shares and $3,268 principal amount of junior promissory notes were issued to certain investors. Also, on September 22, 1997, the Company entered into a Conditional Investment Agreement whereby such investors were obligated to purchase 51,508 Ordinary Shares of the Company in the second quarter 1998 for approximately $99,000, if the Company achieved certain financial performance targets. In addition, the Company entered into a note purchase agreement with certain affiliates of the investors to issue, at its election, up to $125,000 of long-term notes, with interest at 10 percent and payable in 2004 subject to the same financial targets in the Conditional Investment Agreement. In addition, the ownership percentages between shareholders will change if the Company attains certain financial performance targets through September 30, 1999.</w:t>
      </w:r>
    </w:p>
    <w:p>
      <w:pPr>
        <w:spacing w:after="0" w:line="17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STOCK OPTION AND INCENTIVE PLAN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January 1998, the Company adopted the Amdocs Limited 1998 Stock Option and Incentive Plan ("the Plan"). Under the provisions of the Plan, 4,100 Ordinary Shares are available to be granted to officers, directors, employees and consultants. Subsequent to year end, the Company increased the number of Ordinary Shares available to be granted to 6,600 Ordinary Shares. Under the Plan, in January 1998, 1,651 options were granted to purchase Ordinary Shares at an</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9"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91</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exercise price of $1.92 per share, with vesting over four years and a term of 10 years. No compensation expense is recorded for these stock options as they were granted at an exercise price equal to the fair market value of the Ordinary Shares at the time of the grant.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June 19, 1998, under the plan, the Company granted an additional 855.4 options with the same exercise price, expiration date and vesting dates as the options granted in January 1998. The Company recorded unearned compensation expense totaling $10,333 as a separate component of shareholders' equity for the difference between the fair market value per share at the date of grant and the exercise price of $1.92. Additional Paid in Capital was increased by the same amount. The unearned compensation expense will be amortized ratably over the vesting period of 3.5 years.</w:t>
      </w:r>
    </w:p>
    <w:p>
      <w:pPr>
        <w:spacing w:after="0" w:line="177"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On June 19, 1998, options for 21 shares were granted to two non-employee directors at an exercise price equal to the market price of the Ordinary Shares on the grant date, with vesting over three years and a term of 10 years.</w:t>
      </w:r>
    </w:p>
    <w:p>
      <w:pPr>
        <w:spacing w:after="0" w:line="15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September 14, 1998, options for 1,000 shares were granted to employees at an exercise price of $8.75 which was equal to the market price of the Ordinary Shares on the grant date, with vesting over four and eight years and a term of 10 years.</w:t>
      </w:r>
    </w:p>
    <w:p>
      <w:pPr>
        <w:spacing w:after="0" w:line="175"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A summary of the Plan as of September 30, 1998, as well as changes during the year then ended, is presented below:</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WEIGHTED</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NUMBER OF</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SHARE</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EXERCISE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OPTIONS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as of beginning of year...........</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3,527.4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as of end of year.................</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3,519.6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following table summarizes information about share options outstanding as of September 30, 1998:</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OUTSTANDING AS OF SEPTEMBER 30,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WEIGHTED</w:t>
      </w:r>
    </w:p>
    <w:p>
      <w:pPr>
        <w:spacing w:after="0" w:line="2" w:lineRule="exact"/>
        <w:rPr>
          <w:sz w:val="20"/>
          <w:szCs w:val="20"/>
          <w:color w:val="auto"/>
        </w:rPr>
      </w:pPr>
    </w:p>
    <w:p>
      <w:pPr>
        <w:ind w:left="2320"/>
        <w:spacing w:after="0"/>
        <w:tabs>
          <w:tab w:leader="none" w:pos="338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p>
    <w:p>
      <w:pPr>
        <w:spacing w:after="0" w:line="2" w:lineRule="exact"/>
        <w:rPr>
          <w:sz w:val="20"/>
          <w:szCs w:val="20"/>
          <w:color w:val="auto"/>
        </w:rPr>
      </w:pPr>
    </w:p>
    <w:p>
      <w:pPr>
        <w:ind w:left="2220"/>
        <w:spacing w:after="0"/>
        <w:tabs>
          <w:tab w:leader="none" w:pos="3380" w:val="left"/>
        </w:tabs>
        <w:rPr>
          <w:sz w:val="20"/>
          <w:szCs w:val="20"/>
          <w:color w:val="auto"/>
        </w:rPr>
      </w:pP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p>
    <w:p>
      <w:pPr>
        <w:spacing w:after="0" w:line="2" w:lineRule="exact"/>
        <w:rPr>
          <w:sz w:val="20"/>
          <w:szCs w:val="20"/>
          <w:color w:val="auto"/>
        </w:rPr>
      </w:pPr>
    </w:p>
    <w:p>
      <w:pPr>
        <w:spacing w:after="0"/>
        <w:tabs>
          <w:tab w:leader="none" w:pos="1040" w:val="left"/>
          <w:tab w:leader="none" w:pos="2120" w:val="left"/>
          <w:tab w:leader="none" w:pos="3380" w:val="left"/>
        </w:tabs>
        <w:rPr>
          <w:sz w:val="20"/>
          <w:szCs w:val="20"/>
          <w:color w:val="auto"/>
        </w:rPr>
      </w:pP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4"/>
          <w:szCs w:val="14"/>
          <w:color w:val="auto"/>
        </w:rPr>
        <w:t>EXERCISE</w:t>
      </w:r>
    </w:p>
    <w:p>
      <w:pPr>
        <w:spacing w:after="0" w:line="2" w:lineRule="exact"/>
        <w:rPr>
          <w:sz w:val="20"/>
          <w:szCs w:val="20"/>
          <w:color w:val="auto"/>
        </w:rPr>
      </w:pPr>
    </w:p>
    <w:p>
      <w:pPr>
        <w:ind w:left="80"/>
        <w:spacing w:after="0"/>
        <w:tabs>
          <w:tab w:leader="none" w:pos="860" w:val="left"/>
          <w:tab w:leader="none" w:pos="2380" w:val="left"/>
          <w:tab w:leader="none" w:pos="3460" w:val="left"/>
        </w:tabs>
        <w:rPr>
          <w:sz w:val="20"/>
          <w:szCs w:val="20"/>
          <w:color w:val="auto"/>
        </w:rPr>
      </w:pPr>
      <w:r>
        <w:rPr>
          <w:rFonts w:ascii="Courier New" w:cs="Courier New" w:eastAsia="Courier New" w:hAnsi="Courier New"/>
          <w:sz w:val="15"/>
          <w:szCs w:val="15"/>
          <w:color w:val="auto"/>
        </w:rPr>
        <w:t>PRICES</w:t>
        <w:tab/>
        <w:t>OUTSTANDING</w:t>
      </w:r>
      <w:r>
        <w:rPr>
          <w:sz w:val="20"/>
          <w:szCs w:val="20"/>
          <w:color w:val="auto"/>
        </w:rPr>
        <w:tab/>
      </w:r>
      <w:r>
        <w:rPr>
          <w:rFonts w:ascii="Courier New" w:cs="Courier New" w:eastAsia="Courier New" w:hAnsi="Courier New"/>
          <w:sz w:val="15"/>
          <w:szCs w:val="15"/>
          <w:color w:val="auto"/>
        </w:rPr>
        <w:t>LIFE</w:t>
      </w:r>
      <w:r>
        <w:rPr>
          <w:sz w:val="20"/>
          <w:szCs w:val="20"/>
          <w:color w:val="auto"/>
        </w:rPr>
        <w:tab/>
      </w:r>
      <w:r>
        <w:rPr>
          <w:rFonts w:ascii="Courier New" w:cs="Courier New" w:eastAsia="Courier New" w:hAnsi="Courier New"/>
          <w:sz w:val="14"/>
          <w:szCs w:val="14"/>
          <w:color w:val="auto"/>
        </w:rPr>
        <w:t>PRICE</w:t>
      </w:r>
    </w:p>
    <w:p>
      <w:pPr>
        <w:spacing w:after="0" w:line="2" w:lineRule="exact"/>
        <w:rPr>
          <w:sz w:val="20"/>
          <w:szCs w:val="20"/>
          <w:color w:val="auto"/>
        </w:rPr>
      </w:pPr>
    </w:p>
    <w:p>
      <w:pPr>
        <w:spacing w:after="0"/>
        <w:tabs>
          <w:tab w:leader="none" w:pos="1040" w:val="left"/>
          <w:tab w:leader="none" w:pos="2300" w:val="left"/>
          <w:tab w:leader="none" w:pos="3540"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EXERCISABLE AS OF</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SEPTEMBER 30, 1998</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WEIGHTED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AVERAGE</w:t>
      </w:r>
    </w:p>
    <w:p>
      <w:pPr>
        <w:spacing w:after="0" w:line="2"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EXERCISE</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PRICE</w:t>
      </w:r>
    </w:p>
    <w:p>
      <w:pPr>
        <w:spacing w:after="0" w:line="2" w:lineRule="exact"/>
        <w:rPr>
          <w:sz w:val="20"/>
          <w:szCs w:val="20"/>
          <w:color w:val="auto"/>
        </w:rPr>
      </w:pPr>
    </w:p>
    <w:p>
      <w:pPr>
        <w:ind w:left="180"/>
        <w:spacing w:after="0"/>
        <w:tabs>
          <w:tab w:leader="none" w:pos="1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4280" w:space="100"/>
            <w:col w:w="5839"/>
          </w:cols>
          <w:pgMar w:left="240" w:top="289" w:right="1440" w:bottom="1440" w:gutter="0" w:footer="0" w:header="0"/>
          <w:type w:val="continuous"/>
        </w:sectPr>
      </w:pP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$1.92</w:t>
      </w:r>
    </w:p>
    <w:p>
      <w:pPr>
        <w:spacing w:after="0" w:line="1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14.00</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8.75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2,498.6</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w:t>
      </w:r>
    </w:p>
    <w:p>
      <w:pPr>
        <w:spacing w:after="0" w:line="20" w:lineRule="exact"/>
        <w:rPr>
          <w:sz w:val="20"/>
          <w:szCs w:val="20"/>
          <w:color w:val="auto"/>
        </w:rPr>
      </w:pPr>
      <w:r>
        <w:rPr>
          <w:sz w:val="20"/>
          <w:szCs w:val="20"/>
          <w:color w:val="auto"/>
        </w:rPr>
        <w:br w:type="column"/>
      </w:r>
    </w:p>
    <w:p>
      <w:pPr>
        <w:spacing w:after="0"/>
        <w:tabs>
          <w:tab w:leader="none" w:pos="1060" w:val="left"/>
        </w:tabs>
        <w:rPr>
          <w:sz w:val="20"/>
          <w:szCs w:val="20"/>
          <w:color w:val="auto"/>
        </w:rPr>
      </w:pPr>
      <w:r>
        <w:rPr>
          <w:rFonts w:ascii="Courier New" w:cs="Courier New" w:eastAsia="Courier New" w:hAnsi="Courier New"/>
          <w:sz w:val="15"/>
          <w:szCs w:val="15"/>
          <w:color w:val="auto"/>
        </w:rPr>
        <w:t>9.25</w:t>
      </w:r>
      <w:r>
        <w:rPr>
          <w:sz w:val="20"/>
          <w:szCs w:val="20"/>
          <w:color w:val="auto"/>
        </w:rPr>
        <w:tab/>
      </w:r>
      <w:r>
        <w:rPr>
          <w:rFonts w:ascii="Courier New" w:cs="Courier New" w:eastAsia="Courier New" w:hAnsi="Courier New"/>
          <w:sz w:val="14"/>
          <w:szCs w:val="14"/>
          <w:color w:val="auto"/>
        </w:rPr>
        <w:t>$ 1.92</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9.75</w:t>
      </w:r>
      <w:r>
        <w:rPr>
          <w:sz w:val="20"/>
          <w:szCs w:val="20"/>
          <w:color w:val="auto"/>
        </w:rPr>
        <w:tab/>
      </w:r>
      <w:r>
        <w:rPr>
          <w:rFonts w:ascii="Courier New" w:cs="Courier New" w:eastAsia="Courier New" w:hAnsi="Courier New"/>
          <w:sz w:val="15"/>
          <w:szCs w:val="15"/>
          <w:color w:val="auto"/>
        </w:rPr>
        <w:t>14.00</w:t>
      </w:r>
    </w:p>
    <w:p>
      <w:pPr>
        <w:spacing w:after="0" w:line="2" w:lineRule="exact"/>
        <w:rPr>
          <w:sz w:val="20"/>
          <w:szCs w:val="20"/>
          <w:color w:val="auto"/>
        </w:rPr>
      </w:pPr>
    </w:p>
    <w:p>
      <w:pPr>
        <w:ind w:left="180"/>
        <w:spacing w:after="0"/>
        <w:tabs>
          <w:tab w:leader="none" w:pos="124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8.75</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w:t>
      </w: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879"/>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4"/>
          <w:szCs w:val="14"/>
          <w:color w:val="auto"/>
        </w:rPr>
        <w:t>14.00</w:t>
      </w:r>
    </w:p>
    <w:p>
      <w:pPr>
        <w:spacing w:after="0" w:line="12"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6">
            <w:col w:w="700" w:space="360"/>
            <w:col w:w="640" w:space="700"/>
            <w:col w:w="1620" w:space="720"/>
            <w:col w:w="340" w:space="720"/>
            <w:col w:w="100" w:space="0"/>
            <w:col w:w="4319"/>
          </w:cols>
          <w:pgMar w:left="240" w:top="289" w:right="1440" w:bottom="1440" w:gutter="0" w:footer="0" w:header="0"/>
          <w:type w:val="continuous"/>
        </w:sectPr>
      </w:pPr>
    </w:p>
    <w:p>
      <w:pPr>
        <w:spacing w:after="0" w:line="1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19"/>
          </w:cols>
          <w:pgMar w:left="240" w:top="289" w:right="1440" w:bottom="1440" w:gutter="0" w:footer="0" w:header="0"/>
          <w:type w:val="continuous"/>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92</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weighted average grant-date fair value of the 3,527.4 options granted during the year amounted to $6.12 per option. The Company utilized the Black-Scholes option pricing model to estimate fair value, utilizing the following assumptions for the year (all in weighted averages):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life of options (in years).........................</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0.945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None</w:t>
            </w:r>
          </w:p>
        </w:tc>
      </w:tr>
    </w:tbl>
    <w:p>
      <w:pPr>
        <w:spacing w:after="0" w:line="348"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Had compensation cost for the Company's share option plans been determined based on fair value at the grant dates for awards made in 1998 under such plans</w:t>
      </w:r>
    </w:p>
    <w:tbl>
      <w:tblPr>
        <w:tblLayout w:type="fixed"/>
        <w:tblInd w:w="0" w:type="dxa"/>
        <w:tblCellMar>
          <w:top w:w="0" w:type="dxa"/>
          <w:left w:w="0" w:type="dxa"/>
          <w:bottom w:w="0" w:type="dxa"/>
          <w:right w:w="0" w:type="dxa"/>
        </w:tblCellMar>
      </w:tblPr>
      <w:tr>
        <w:trPr>
          <w:trHeight w:val="169"/>
        </w:trPr>
        <w:tc>
          <w:tcPr>
            <w:tcW w:w="120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rPr>
              <w:t>in accordance</w:t>
            </w:r>
          </w:p>
        </w:tc>
        <w:tc>
          <w:tcPr>
            <w:tcW w:w="5940" w:type="dxa"/>
            <w:vAlign w:val="bottom"/>
            <w:gridSpan w:val="2"/>
          </w:tcPr>
          <w:p>
            <w:pPr>
              <w:ind w:left="40"/>
              <w:spacing w:after="0" w:line="169" w:lineRule="exact"/>
              <w:rPr>
                <w:sz w:val="20"/>
                <w:szCs w:val="20"/>
                <w:color w:val="auto"/>
              </w:rPr>
            </w:pPr>
            <w:r>
              <w:rPr>
                <w:rFonts w:ascii="Courier New" w:cs="Courier New" w:eastAsia="Courier New" w:hAnsi="Courier New"/>
                <w:sz w:val="15"/>
                <w:szCs w:val="15"/>
                <w:color w:val="auto"/>
                <w:w w:val="98"/>
              </w:rPr>
              <w:t>with SFAS No. 123, the Company's pro forma net income and earnings</w:t>
            </w:r>
          </w:p>
        </w:tc>
      </w:tr>
      <w:tr>
        <w:trPr>
          <w:trHeight w:val="17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per share for</w:t>
            </w:r>
          </w:p>
        </w:tc>
        <w:tc>
          <w:tcPr>
            <w:tcW w:w="5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year ended September 30, 1998 would have been as follows:</w:t>
            </w:r>
          </w:p>
        </w:tc>
      </w:tr>
      <w:tr>
        <w:trPr>
          <w:trHeight w:val="688"/>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Pro forma net income......................................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$29,455</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basic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0.19</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diluted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0.18</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the Company's stock options were granted during the year ended September 30, 1998. Accordingly, the impact of the stock options on pro forma net income and earnings per share does not reflect the annualized impact of such option grants.</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EARNINGS PER SHARE</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Denominator for basic earnings per share weighted average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number of shares outstanding..........................</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158,528</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108,330</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107,920</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contingently issuable shares..........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2,585</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stock options granted.................</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914</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Denominator for dilutive earnings per share --</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adjusted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weighted average shares and assumed conversions..........</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159,442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110,915</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110,505</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Basic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Diluted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SEGMENT INFORMATION AND SALES TO SIGNIFICANT CUSTOMERS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INFORMATION</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following is a summary of revenue and long-lived assets by geographic area. Revenue is attributed to geographic region based on the location of the customers.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9" w:right="1440" w:bottom="1440" w:gutter="0" w:footer="0" w:header="0"/>
        </w:sectPr>
      </w:pPr>
    </w:p>
    <w:bookmarkStart w:id="92" w:name="page93"/>
    <w:bookmarkEnd w:id="92"/>
    <w:p>
      <w:pPr>
        <w:ind w:left="268"/>
        <w:spacing w:after="0"/>
        <w:rPr>
          <w:sz w:val="20"/>
          <w:szCs w:val="20"/>
          <w:color w:val="auto"/>
        </w:rPr>
      </w:pPr>
      <w:r>
        <w:rPr>
          <w:rFonts w:ascii="Courier New" w:cs="Courier New" w:eastAsia="Courier New" w:hAnsi="Courier New"/>
          <w:sz w:val="15"/>
          <w:szCs w:val="15"/>
          <w:color w:val="auto"/>
        </w:rPr>
        <w:t>93</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40" w:type="dxa"/>
            <w:vAlign w:val="bottom"/>
          </w:tcPr>
          <w:p>
            <w:pPr>
              <w:ind w:left="2940"/>
              <w:spacing w:after="0"/>
              <w:rPr>
                <w:sz w:val="20"/>
                <w:szCs w:val="20"/>
                <w:color w:val="auto"/>
              </w:rPr>
            </w:pPr>
            <w:r>
              <w:rPr>
                <w:rFonts w:ascii="Courier New" w:cs="Courier New" w:eastAsia="Courier New" w:hAnsi="Courier New"/>
                <w:sz w:val="15"/>
                <w:szCs w:val="15"/>
                <w:color w:val="auto"/>
              </w:rPr>
              <w:t>AMDOCS LIMITED</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5040" w:type="dxa"/>
            <w:vAlign w:val="bottom"/>
          </w:tcPr>
          <w:p>
            <w:pPr>
              <w:ind w:left="980"/>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88"/>
        </w:trPr>
        <w:tc>
          <w:tcPr>
            <w:tcW w:w="5040" w:type="dxa"/>
            <w:vAlign w:val="bottom"/>
          </w:tcPr>
          <w:p>
            <w:pPr>
              <w:spacing w:after="0"/>
              <w:rPr>
                <w:sz w:val="24"/>
                <w:szCs w:val="24"/>
                <w:color w:val="auto"/>
              </w:rPr>
            </w:pPr>
          </w:p>
        </w:tc>
        <w:tc>
          <w:tcPr>
            <w:tcW w:w="30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5040" w:type="dxa"/>
            <w:vAlign w:val="bottom"/>
          </w:tcPr>
          <w:p>
            <w:pPr>
              <w:spacing w:after="0"/>
              <w:rPr>
                <w:sz w:val="14"/>
                <w:szCs w:val="14"/>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$210,867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$185,119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$142,921</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Australia...............................................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33,215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37,362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36,553</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Europe..................................................</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109,752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30,763</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49,933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1,483</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$403,767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$290,102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$211,720</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Israel*.................................................</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$ 38,917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$ 26,779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$ 18,346</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30,441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7,378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1,794</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$ 76,736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$ 68,952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$ 20,140</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computers and vehicles.</w:t>
      </w:r>
    </w:p>
    <w:p>
      <w:pPr>
        <w:spacing w:after="0" w:line="174" w:lineRule="exact"/>
        <w:rPr>
          <w:sz w:val="20"/>
          <w:szCs w:val="20"/>
          <w:color w:val="auto"/>
        </w:rPr>
      </w:pPr>
    </w:p>
    <w:p>
      <w:pPr>
        <w:ind w:left="348" w:hanging="348"/>
        <w:spacing w:after="0"/>
        <w:tabs>
          <w:tab w:leader="none" w:pos="3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 software and intellectual property rights.</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 percent of total long-lived assets.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AND CUSTOMER INFORMATION</w:t>
      </w:r>
    </w:p>
    <w:p>
      <w:pPr>
        <w:spacing w:after="0" w:line="176"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Customer care and billing systems (CC&amp;B) include systems for wireless, wireline and multiple-service or convergent network operators and service providers. Directory includes directory sales and publishing systems for publishers of both traditional printed yellow pages and white pages directories and electronic directories, such as Internet, kiosk and CD-ROM directories.</w:t>
      </w:r>
    </w:p>
    <w:p>
      <w:pPr>
        <w:spacing w:after="0" w:line="200" w:lineRule="exact"/>
        <w:rPr>
          <w:sz w:val="20"/>
          <w:szCs w:val="20"/>
          <w:color w:val="auto"/>
        </w:rPr>
      </w:pPr>
    </w:p>
    <w:p>
      <w:pPr>
        <w:spacing w:after="0" w:line="30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9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2940" w:type="dxa"/>
            <w:vAlign w:val="bottom"/>
          </w:tcPr>
          <w:p>
            <w:pPr>
              <w:spacing w:after="0"/>
              <w:rPr>
                <w:sz w:val="14"/>
                <w:szCs w:val="14"/>
                <w:color w:val="auto"/>
              </w:rPr>
            </w:pPr>
          </w:p>
        </w:tc>
        <w:tc>
          <w:tcPr>
            <w:tcW w:w="296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4"/>
              </w:rPr>
              <w:t>1998</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1996</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CC&amp;B............................</w:t>
            </w: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$251,829</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$166,335</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$102,481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Directory.......................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151,938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123,767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109,239</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$403,767</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$290,102</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$211,720</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SALES TO SIGNIFICANT CUSTOMERS</w:t>
      </w:r>
    </w:p>
    <w:p>
      <w:pPr>
        <w:spacing w:after="0" w:line="176" w:lineRule="exact"/>
        <w:rPr>
          <w:sz w:val="20"/>
          <w:szCs w:val="20"/>
          <w:color w:val="auto"/>
        </w:rPr>
      </w:pPr>
    </w:p>
    <w:p>
      <w:pPr>
        <w:ind w:left="8" w:right="3599" w:firstLine="447"/>
        <w:spacing w:after="0" w:line="274" w:lineRule="auto"/>
        <w:rPr>
          <w:sz w:val="20"/>
          <w:szCs w:val="20"/>
          <w:color w:val="auto"/>
        </w:rPr>
      </w:pPr>
      <w:r>
        <w:rPr>
          <w:rFonts w:ascii="Courier New" w:cs="Courier New" w:eastAsia="Courier New" w:hAnsi="Courier New"/>
          <w:sz w:val="14"/>
          <w:szCs w:val="14"/>
          <w:color w:val="auto"/>
        </w:rPr>
        <w:t>The following table summarizes the percentage of sales to significant customers (when they exceed 10 percent of total revenue for the year).</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 ENDED</w:t>
            </w:r>
          </w:p>
        </w:tc>
        <w:tc>
          <w:tcPr>
            <w:tcW w:w="36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5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50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Southwestern Bell Communications Services Inc. and</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affiliates...........................................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BellSouth Telecommunications, Inc., and affiliates.....</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Telstra Corporation Ltd................................</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less than 10 percent of total revenue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7"/>
          </w:cols>
          <w:pgMar w:left="232" w:top="289"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560" w:type="dxa"/>
            <w:vAlign w:val="bottom"/>
          </w:tcPr>
          <w:p>
            <w:pPr>
              <w:jc w:val="right"/>
              <w:ind w:right="230"/>
              <w:spacing w:after="0"/>
              <w:rPr>
                <w:sz w:val="20"/>
                <w:szCs w:val="20"/>
                <w:color w:val="auto"/>
              </w:rPr>
            </w:pPr>
            <w:r>
              <w:rPr>
                <w:rFonts w:ascii="Courier New" w:cs="Courier New" w:eastAsia="Courier New" w:hAnsi="Courier New"/>
                <w:sz w:val="15"/>
                <w:szCs w:val="15"/>
                <w:color w:val="auto"/>
                <w:w w:val="98"/>
              </w:rPr>
              <w:t>AMDOCS LIMITED</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4820" w:type="dxa"/>
            <w:vAlign w:val="bottom"/>
            <w:gridSpan w:val="3"/>
          </w:tcPr>
          <w:p>
            <w:pPr>
              <w:ind w:left="9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w w:val="98"/>
              </w:rPr>
              <w:t>-- (CONTINUED)</w:t>
            </w:r>
          </w:p>
        </w:tc>
        <w:tc>
          <w:tcPr>
            <w:tcW w:w="800" w:type="dxa"/>
            <w:vAlign w:val="bottom"/>
          </w:tcPr>
          <w:p>
            <w:pPr>
              <w:spacing w:after="0"/>
              <w:rPr>
                <w:sz w:val="24"/>
                <w:szCs w:val="24"/>
                <w:color w:val="auto"/>
              </w:rPr>
            </w:pPr>
          </w:p>
        </w:tc>
      </w:tr>
      <w:tr>
        <w:trPr>
          <w:trHeight w:val="344"/>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w w:val="98"/>
              </w:rPr>
              <w:t>NOTE 17  SELECTED QUARTERLY FINANCIAL DATA (UNAUDITED)</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88"/>
        </w:trPr>
        <w:tc>
          <w:tcPr>
            <w:tcW w:w="2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QUARTER ENDED</w:t>
            </w:r>
          </w:p>
        </w:tc>
        <w:tc>
          <w:tcPr>
            <w:tcW w:w="800" w:type="dxa"/>
            <w:vAlign w:val="bottom"/>
          </w:tcPr>
          <w:p>
            <w:pPr>
              <w:spacing w:after="0"/>
              <w:rPr>
                <w:sz w:val="24"/>
                <w:szCs w:val="24"/>
                <w:color w:val="auto"/>
              </w:rPr>
            </w:pPr>
          </w:p>
        </w:tc>
      </w:tr>
      <w:tr>
        <w:trPr>
          <w:trHeight w:val="172"/>
        </w:trPr>
        <w:tc>
          <w:tcPr>
            <w:tcW w:w="2940" w:type="dxa"/>
            <w:vAlign w:val="bottom"/>
          </w:tcPr>
          <w:p>
            <w:pPr>
              <w:spacing w:after="0"/>
              <w:rPr>
                <w:sz w:val="14"/>
                <w:szCs w:val="14"/>
                <w:color w:val="auto"/>
              </w:rPr>
            </w:pPr>
          </w:p>
        </w:tc>
        <w:tc>
          <w:tcPr>
            <w:tcW w:w="4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14"/>
                <w:szCs w:val="14"/>
                <w:color w:val="auto"/>
              </w:rPr>
            </w:pP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SEPT 30,</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MARCH 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r>
      <w:tr>
        <w:trPr>
          <w:trHeight w:val="172"/>
        </w:trPr>
        <w:tc>
          <w:tcPr>
            <w:tcW w:w="2940" w:type="dxa"/>
            <w:vAlign w:val="bottom"/>
          </w:tcPr>
          <w:p>
            <w:pPr>
              <w:spacing w:after="0"/>
              <w:rPr>
                <w:sz w:val="14"/>
                <w:szCs w:val="14"/>
                <w:color w:val="auto"/>
              </w:rPr>
            </w:pP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Revenue...............................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$116,704</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$106,497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$94,008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$86,558</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Operating income......................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26,104</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22,821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19,125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16,845</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Net income............................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11,598</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6,443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7,961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Basic earnings per share..............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0.06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Diluted earnings per share............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0.06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Revenue...............................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$ 87,987</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$ 77,089</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$62,489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$62,537</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Operating income (loss)...............</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(10,586)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13,363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12,013</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Net income (loss).....................</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(18,307)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7,378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8,569</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Basic earnings (loss) per share.......</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(0.17)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Diluted earnings (loss) per share</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9"/>
              </w:rPr>
              <w:t>.....(0.17)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bl>
    <w:p>
      <w:pPr>
        <w:spacing w:after="0" w:line="348"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 fiscal quarter ended September 30, 1997 includes nonrecurring charges of $27,563.</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FINANCIAL INSTRUMENTS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Most of the Company's revenue and expenses are denominated in U.S. dollars. However, as the Company does business world-wide, the Company enters into various foreign exchange contracts in managing its foreign exchange risks. The derivative financial instruments are afforded hedge accounting treatment because they are effective in managing foreign exchange risks and are appropriately designated to the underlying exposures. The Company does not enter into derivative contracts for speculative purposes, nor is it a party to any leveraged derivative instrument. Through its foreign currency hedging activities, the Company seeks to minimize the risk that fair value of the sales of products and services and cash flow required for the Company's expenses denominated in a currency different from the functional currency will be affected by changes in exchange rates. Cash flow hedges protect the Company from fluctuations in expenses expected to be incurred in subsidiaries that operate in non U.S. dollar-based environments. Fair value hedges protect cash flows generated by firm commitments from customers who purchase services in non U.S. dollar-based currencies.</w:t>
      </w:r>
    </w:p>
    <w:p>
      <w:pPr>
        <w:spacing w:after="0" w:line="183"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For its qualifying fair value hedges, the fair value of the derivative instrument and firm commitment are recorded as assets and liabilities on the balance sheet. The change in the fair value of the forward contract related to the ineffective portion of the hedging contracts is recorded in Other expense, net. For the year ended September 30, 1998, this amounted to an expense of $98.</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its qualifying cash flow hedges, the fair value of the derivative instrument is recorded as an asset or liability on the balance sheet. The change in fair value of the derivative instrument related to the ineffective portion of the hedging contracts is recorded in Other expense, net. For the year ended September 30, 1998, this amounted to income of $300. The remaining change in fair value is reported in Other comprehensive income and will be recorded into earnings, as a component of the line item which contains the hedged item in the same period the forecasted transactions affect earnings. It is expected that $634 of net unrealized losses included in Other comprehensive income at September 30, 1998 will be recognized during the period ended</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89"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95</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September 30, 1999. At September 30, 1998 the maximum length of time over which the Company is hedging its exposure to the variability of future cash flows is 4 years.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At September 30, 1998, the Company had forward exchange contracts to exchange various foreign currencies for U.S. dollars. The value of New Israeli shekels and Australian dollars to be purchased was $121,868 and the value of Great Britain pounds, Austrian shillings, Japanese yen, and Canadian dollars to be sold is $60,599. The fair value of forward derivatives as of September 30, 1998 is $(4,671).</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89"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35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(IN THOUSANDS, EXCEPT PER SHARE DATA)</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88"/>
        </w:trPr>
        <w:tc>
          <w:tcPr>
            <w:tcW w:w="1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344"/>
        </w:trPr>
        <w:tc>
          <w:tcPr>
            <w:tcW w:w="1880" w:type="dxa"/>
            <w:vAlign w:val="bottom"/>
          </w:tcPr>
          <w:p>
            <w:pPr>
              <w:spacing w:after="0"/>
              <w:rPr>
                <w:sz w:val="24"/>
                <w:szCs w:val="24"/>
                <w:color w:val="auto"/>
              </w:rPr>
            </w:pPr>
          </w:p>
        </w:tc>
        <w:tc>
          <w:tcPr>
            <w:tcW w:w="3560" w:type="dxa"/>
            <w:vAlign w:val="bottom"/>
          </w:tcPr>
          <w:p>
            <w:pPr>
              <w:jc w:val="right"/>
              <w:ind w:right="1965"/>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71,078</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including unbilled of $2,478.........</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144,326</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from related parties, including</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unbilled of $0.........................................</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9,775</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16,894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20,613</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262,686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Equipment, vehicles and leasehold improvements, net.........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70,704</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5,614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21,397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noncurrent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26,381</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$ 386,782</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64,446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personnel costs...................................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34,607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Short-term financing arrangements.........................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26,561</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92,744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4,459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23,077</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247,382</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Long-term 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12,649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29,972</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Shareholders' equity:</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Preferred Shares --</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Authorized 25,000 shares; L0.01 par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value; 0 issued</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and outstanding........................</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Ordinary Shares --</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Authorized 550,000 shares; L0.01 par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value; 198,800 outstanding.............................</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3,181</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489,073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Unrealized gain on derivative instruments.................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Unearned compensation.....................................</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(5,145)</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Accumulated deficit</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(393,395)</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96,272</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$ 386,782</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89" w:right="1440" w:bottom="1440" w:gutter="0" w:footer="0" w:header="0"/>
        </w:sectPr>
      </w:pPr>
    </w:p>
    <w:bookmarkStart w:id="96" w:name="page97"/>
    <w:bookmarkEnd w:id="96"/>
    <w:p>
      <w:pPr>
        <w:ind w:left="268"/>
        <w:spacing w:after="0"/>
        <w:rPr>
          <w:sz w:val="20"/>
          <w:szCs w:val="20"/>
          <w:color w:val="auto"/>
        </w:rPr>
      </w:pPr>
      <w:r>
        <w:rPr>
          <w:rFonts w:ascii="Courier New" w:cs="Courier New" w:eastAsia="Courier New" w:hAnsi="Courier New"/>
          <w:sz w:val="15"/>
          <w:szCs w:val="15"/>
          <w:color w:val="auto"/>
        </w:rPr>
        <w:t>97</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w w:val="98"/>
              </w:rPr>
              <w:t>NINE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5440" w:type="dxa"/>
            <w:vAlign w:val="bottom"/>
          </w:tcPr>
          <w:p>
            <w:pPr>
              <w:spacing w:after="0"/>
              <w:rPr>
                <w:sz w:val="14"/>
                <w:szCs w:val="14"/>
                <w:color w:val="auto"/>
              </w:rPr>
            </w:pPr>
          </w:p>
        </w:tc>
        <w:tc>
          <w:tcPr>
            <w:tcW w:w="19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License (*)...............................................</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$ 51,987</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$ 29,741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392,152</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257,322</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444,139</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287,063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license...........................................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4,060</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254,651</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165,268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28,524</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18,127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53,336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36,356</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340,571</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228,272</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income............................................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103,568</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58,791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 net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23,013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net..................................................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1,684</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(1,241)</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before 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98,148</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37,019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29,444</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18,510</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$ 68,704</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$ 18,509</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Basic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Diluted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439" w:hanging="348"/>
        <w:spacing w:after="0"/>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income (expense) resulting from transactions with related parties for the nine months ended June 30, 1999 and 1998,</w:t>
      </w:r>
    </w:p>
    <w:p>
      <w:pPr>
        <w:spacing w:after="0" w:line="4" w:lineRule="exact"/>
        <w:rPr>
          <w:sz w:val="20"/>
          <w:szCs w:val="20"/>
          <w:color w:val="auto"/>
        </w:rPr>
      </w:pPr>
    </w:p>
    <w:p>
      <w:pPr>
        <w:ind w:left="348" w:right="3079"/>
        <w:spacing w:after="0" w:line="267" w:lineRule="auto"/>
        <w:rPr>
          <w:sz w:val="20"/>
          <w:szCs w:val="20"/>
          <w:color w:val="auto"/>
        </w:rPr>
      </w:pPr>
      <w:r>
        <w:rPr>
          <w:rFonts w:ascii="Courier New" w:cs="Courier New" w:eastAsia="Courier New" w:hAnsi="Courier New"/>
          <w:sz w:val="14"/>
          <w:szCs w:val="14"/>
          <w:color w:val="auto"/>
        </w:rPr>
        <w:t>respectively: license revenue -- $418 and $2,290; service revenue -- $68,422 and $62,680; cost of service -- $(2,044) and $(2,036); selling, general and administrative -- $(428) and $(304); interest expense -- $(0) and $(4,150).</w:t>
      </w:r>
    </w:p>
    <w:p>
      <w:pPr>
        <w:spacing w:after="0" w:line="157"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7"/>
          </w:cols>
          <w:pgMar w:left="232" w:top="289"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98</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CONSOLIDATED STATEMENT OF CHANGES</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IN SHAREHOLDERS' EQUITY (DEFICIT) (UNAUDITED)</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UNREALIZED</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INCOME</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560" w:type="dxa"/>
            <w:vAlign w:val="bottom"/>
          </w:tcPr>
          <w:p>
            <w:pPr>
              <w:spacing w:after="0"/>
              <w:rPr>
                <w:sz w:val="14"/>
                <w:szCs w:val="14"/>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(LOSS) ON</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3560" w:type="dxa"/>
            <w:vAlign w:val="bottom"/>
          </w:tcPr>
          <w:p>
            <w:pPr>
              <w:spacing w:after="0"/>
              <w:rPr>
                <w:sz w:val="14"/>
                <w:szCs w:val="14"/>
                <w:color w:val="auto"/>
              </w:rPr>
            </w:pPr>
          </w:p>
        </w:tc>
        <w:tc>
          <w:tcPr>
            <w:tcW w:w="16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PAID-IN</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UNEARNED</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(DEFICIT)</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196,800</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$(1,495)</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(8,947)</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$(462,099)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(21,889)</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68,704</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68,704</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41,352</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41,384</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Unrealized income on derivative</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instruments, net of $1,737 tax.......</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4,053</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4,053</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Stock options granted, net of</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forfeitures..........................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55</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3,965</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3,965</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at June 30, 1999 (unaudited)...</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198,800</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$3,181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$489,073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$ 2,558</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(5,145)</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$(393,395)</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96,272</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1520"/>
          </w:cols>
          <w:pgMar w:left="240" w:top="289" w:right="139"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82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234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68,704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18,509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13,763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8,659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8,211</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12,916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518</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1,368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(64,143)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(19,656)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(8,848)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(594)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(6,827)</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20,357</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17,241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(3,153)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63,503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16,072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(2,146)</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(1,464)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5,704</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4,170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5,789</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10,236</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12,935</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102,800</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51,368</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1,212</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 leasehold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 and other....................................</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(32,913)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(18,232)</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(31,701)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(17,511)</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42,535</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332,223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(478,684)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financing arrangements............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(293,012)</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(208,449)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financing arrangements..........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228,008</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223,921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long-term financing arrangements.............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(267,763)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long-term debt................</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357,877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on notes payable to related parties................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under capital lease obligations..........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(2,941)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(1,753)</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financing activities.......................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(25,410)</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(45,896)</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45,689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(12,039)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25,389</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53,732</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71,078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41,693</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 Cash paid for:</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net of refunds..............................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26,710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21,857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4,582</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20,891</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Capital lease obligations of $7,881 and $2,106 were incurred during the nine months ended June 30, 1999 and 1998, respectively, when the Company entered into lease agreements for the purchase of fixed assets.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As of June 30, 1999 and 1998, the Company incurred stock issuance costs of $1,150 and $1,586 respectively, which had not been paid as of that date.</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9" w:right="1440" w:bottom="1440" w:gutter="0" w:footer="0" w:header="0"/>
        </w:sectPr>
      </w:pPr>
    </w:p>
    <w:bookmarkStart w:id="99" w:name="page100"/>
    <w:bookmarkEnd w:id="99"/>
    <w:p>
      <w:pPr>
        <w:ind w:left="268"/>
        <w:spacing w:after="0"/>
        <w:rPr>
          <w:sz w:val="20"/>
          <w:szCs w:val="20"/>
          <w:color w:val="auto"/>
        </w:rPr>
      </w:pPr>
      <w:r>
        <w:rPr>
          <w:rFonts w:ascii="Courier New" w:cs="Courier New" w:eastAsia="Courier New" w:hAnsi="Courier New"/>
          <w:sz w:val="15"/>
          <w:szCs w:val="15"/>
          <w:color w:val="auto"/>
        </w:rPr>
        <w:t>100</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JUNE 30, 1999</w:t>
      </w:r>
    </w:p>
    <w:p>
      <w:pPr>
        <w:spacing w:after="0" w:line="174" w:lineRule="exact"/>
        <w:rPr>
          <w:sz w:val="20"/>
          <w:szCs w:val="20"/>
          <w:color w:val="auto"/>
        </w:rPr>
      </w:pPr>
    </w:p>
    <w:p>
      <w:pPr>
        <w:ind w:left="348"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 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1998.</w:t>
      </w:r>
    </w:p>
    <w:p>
      <w:pPr>
        <w:spacing w:after="0" w:line="178" w:lineRule="exact"/>
        <w:rPr>
          <w:sz w:val="20"/>
          <w:szCs w:val="20"/>
          <w:color w:val="auto"/>
        </w:rPr>
      </w:pPr>
    </w:p>
    <w:p>
      <w:pPr>
        <w:ind w:left="348" w:hanging="348"/>
        <w:spacing w:after="0"/>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NEW ACCOUNTING STANDARDS</w:t>
      </w:r>
    </w:p>
    <w:p>
      <w:pPr>
        <w:spacing w:after="0" w:line="176"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Effective October 1, 1998, the Company adopted the provisions of Statement of Position (SOP) 98-1, "Accounting for the Costs of Computer Software Developed for or Obtained for Internal-Use". The SOP requires the capitalization of certain costs incurred after the date of adoption in connection with developing or obtaining software for internal use. In accordance with the SOP, the Company capitalized approximately $1,700 of internally developed software costs in the nine-month period ended June 30, 1999.</w:t>
      </w:r>
    </w:p>
    <w:p>
      <w:pPr>
        <w:spacing w:after="0" w:line="162" w:lineRule="exact"/>
        <w:rPr>
          <w:sz w:val="20"/>
          <w:szCs w:val="20"/>
          <w:color w:val="auto"/>
        </w:rPr>
      </w:pPr>
    </w:p>
    <w:p>
      <w:pPr>
        <w:ind w:left="348" w:hanging="348"/>
        <w:spacing w:after="0"/>
        <w:tabs>
          <w:tab w:leader="none" w:pos="3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Effective October 1, 1998, the Company adopted the provisions of Statement of Financial Accounting Standards No. 130, "Reporting Comprehensive Income" (Statement 130),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7" w:lineRule="exact"/>
        <w:rPr>
          <w:sz w:val="20"/>
          <w:szCs w:val="20"/>
          <w:color w:val="auto"/>
        </w:rPr>
      </w:pPr>
    </w:p>
    <w:p>
      <w:pPr>
        <w:ind w:left="8" w:right="3699" w:firstLine="447"/>
        <w:spacing w:after="0"/>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w:t>
      </w:r>
    </w:p>
    <w:p>
      <w:pPr>
        <w:spacing w:after="0" w:line="200" w:lineRule="exact"/>
        <w:rPr>
          <w:sz w:val="20"/>
          <w:szCs w:val="20"/>
          <w:color w:val="auto"/>
        </w:rPr>
      </w:pPr>
    </w:p>
    <w:p>
      <w:pPr>
        <w:spacing w:after="0" w:line="318"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NINE MONTHS ENDED</w:t>
      </w:r>
    </w:p>
    <w:p>
      <w:pPr>
        <w:spacing w:after="0" w:line="2" w:lineRule="exact"/>
        <w:rPr>
          <w:sz w:val="20"/>
          <w:szCs w:val="20"/>
          <w:color w:val="auto"/>
        </w:rPr>
      </w:pPr>
    </w:p>
    <w:p>
      <w:pPr>
        <w:ind w:left="6168"/>
        <w:spacing w:after="0"/>
        <w:rPr>
          <w:sz w:val="20"/>
          <w:szCs w:val="20"/>
          <w:color w:val="auto"/>
        </w:rPr>
      </w:pPr>
      <w:r>
        <w:rPr>
          <w:rFonts w:ascii="Courier New" w:cs="Courier New" w:eastAsia="Courier New" w:hAnsi="Courier New"/>
          <w:sz w:val="15"/>
          <w:szCs w:val="15"/>
          <w:color w:val="auto"/>
        </w:rPr>
        <w:t>JUNE 30,</w:t>
      </w:r>
    </w:p>
    <w:p>
      <w:pPr>
        <w:spacing w:after="0" w:line="4" w:lineRule="exact"/>
        <w:rPr>
          <w:sz w:val="20"/>
          <w:szCs w:val="20"/>
          <w:color w:val="auto"/>
        </w:rPr>
      </w:pPr>
    </w:p>
    <w:p>
      <w:pPr>
        <w:ind w:left="572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808"/>
        <w:spacing w:after="0"/>
        <w:tabs>
          <w:tab w:leader="none" w:pos="676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2" w:lineRule="exact"/>
        <w:rPr>
          <w:sz w:val="20"/>
          <w:szCs w:val="20"/>
          <w:color w:val="auto"/>
        </w:rPr>
      </w:pPr>
    </w:p>
    <w:p>
      <w:pPr>
        <w:ind w:left="5808"/>
        <w:spacing w:after="0"/>
        <w:tabs>
          <w:tab w:leader="none" w:pos="6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$68,704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$18,509</w:t>
      </w:r>
    </w:p>
    <w:p>
      <w:pPr>
        <w:spacing w:after="0" w:line="13" w:lineRule="exact"/>
        <w:rPr>
          <w:sz w:val="20"/>
          <w:szCs w:val="20"/>
          <w:color w:val="auto"/>
        </w:rPr>
      </w:pPr>
    </w:p>
    <w:p>
      <w:pPr>
        <w:sectPr>
          <w:pgSz w:w="11900" w:h="16838" w:orient="portrait"/>
          <w:cols w:equalWidth="0" w:num="3">
            <w:col w:w="5368" w:space="360"/>
            <w:col w:w="620" w:space="360"/>
            <w:col w:w="351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Change in unrealized income on derivative instruments, net</w:t>
      </w:r>
    </w:p>
    <w:p>
      <w:pPr>
        <w:sectPr>
          <w:pgSz w:w="11900" w:h="16838" w:orient="portrait"/>
          <w:cols w:equalWidth="0" w:num="1">
            <w:col w:w="10227"/>
          </w:cols>
          <w:pgMar w:left="232" w:top="289" w:right="1440" w:bottom="1440" w:gutter="0" w:footer="0" w:header="0"/>
          <w:type w:val="continuous"/>
        </w:sectPr>
      </w:pP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of tax....................................................</w:t>
      </w: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Comprehensive income........................................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4,053</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$72,757</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$18,509</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368" w:space="360"/>
            <w:col w:w="620" w:space="360"/>
            <w:col w:w="3519"/>
          </w:cols>
          <w:pgMar w:left="232" w:top="289" w:right="1440" w:bottom="1440" w:gutter="0" w:footer="0" w:header="0"/>
          <w:type w:val="continuous"/>
        </w:sectPr>
      </w:pPr>
    </w:p>
    <w:p>
      <w:pPr>
        <w:spacing w:after="0" w:line="157"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27"/>
          </w:cols>
          <w:pgMar w:left="232" w:top="289" w:right="1440" w:bottom="1440" w:gutter="0" w:footer="0" w:header="0"/>
          <w:type w:val="continuous"/>
        </w:sectPr>
      </w:pPr>
    </w:p>
    <w:bookmarkStart w:id="100" w:name="page101"/>
    <w:bookmarkEnd w:id="100"/>
    <w:p>
      <w:pPr>
        <w:ind w:left="268"/>
        <w:spacing w:after="0"/>
        <w:rPr>
          <w:sz w:val="20"/>
          <w:szCs w:val="20"/>
          <w:color w:val="auto"/>
        </w:rPr>
      </w:pPr>
      <w:r>
        <w:rPr>
          <w:rFonts w:ascii="Courier New" w:cs="Courier New" w:eastAsia="Courier New" w:hAnsi="Courier New"/>
          <w:sz w:val="15"/>
          <w:szCs w:val="15"/>
          <w:color w:val="auto"/>
        </w:rPr>
        <w:t>101</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The provision for income taxes for the following periods consists of the following:</w:t>
      </w:r>
    </w:p>
    <w:p>
      <w:pPr>
        <w:spacing w:after="0" w:line="200" w:lineRule="exact"/>
        <w:rPr>
          <w:sz w:val="20"/>
          <w:szCs w:val="20"/>
          <w:color w:val="auto"/>
        </w:rPr>
      </w:pPr>
    </w:p>
    <w:p>
      <w:pPr>
        <w:spacing w:after="0" w:line="318" w:lineRule="exact"/>
        <w:rPr>
          <w:sz w:val="20"/>
          <w:szCs w:val="20"/>
          <w:color w:val="auto"/>
        </w:rPr>
      </w:pPr>
    </w:p>
    <w:p>
      <w:pPr>
        <w:jc w:val="right"/>
        <w:ind w:right="2979"/>
        <w:spacing w:after="0"/>
        <w:rPr>
          <w:sz w:val="20"/>
          <w:szCs w:val="20"/>
          <w:color w:val="auto"/>
        </w:rPr>
      </w:pPr>
      <w:r>
        <w:rPr>
          <w:rFonts w:ascii="Courier New" w:cs="Courier New" w:eastAsia="Courier New" w:hAnsi="Courier New"/>
          <w:sz w:val="15"/>
          <w:szCs w:val="15"/>
          <w:color w:val="auto"/>
        </w:rPr>
        <w:t>NINE MONTHS ENDED</w:t>
      </w:r>
    </w:p>
    <w:p>
      <w:pPr>
        <w:spacing w:after="0" w:line="2" w:lineRule="exact"/>
        <w:rPr>
          <w:sz w:val="20"/>
          <w:szCs w:val="20"/>
          <w:color w:val="auto"/>
        </w:rPr>
      </w:pPr>
    </w:p>
    <w:p>
      <w:pPr>
        <w:ind w:left="6168"/>
        <w:spacing w:after="0"/>
        <w:rPr>
          <w:sz w:val="20"/>
          <w:szCs w:val="20"/>
          <w:color w:val="auto"/>
        </w:rPr>
      </w:pPr>
      <w:r>
        <w:rPr>
          <w:rFonts w:ascii="Courier New" w:cs="Courier New" w:eastAsia="Courier New" w:hAnsi="Courier New"/>
          <w:sz w:val="15"/>
          <w:szCs w:val="15"/>
          <w:color w:val="auto"/>
        </w:rPr>
        <w:t>JUNE 30,</w:t>
      </w:r>
    </w:p>
    <w:p>
      <w:pPr>
        <w:spacing w:after="0" w:line="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both"/>
        <w:ind w:left="5808"/>
        <w:spacing w:after="0"/>
        <w:tabs>
          <w:tab w:leader="none" w:pos="676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2" w:lineRule="exact"/>
        <w:rPr>
          <w:sz w:val="20"/>
          <w:szCs w:val="20"/>
          <w:color w:val="auto"/>
        </w:rPr>
      </w:pPr>
    </w:p>
    <w:p>
      <w:pPr>
        <w:ind w:left="5808"/>
        <w:spacing w:after="0"/>
        <w:tabs>
          <w:tab w:leader="none" w:pos="6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tabs>
          <w:tab w:leader="none" w:pos="5708" w:val="left"/>
          <w:tab w:leader="none" w:pos="6688" w:val="left"/>
        </w:tabs>
        <w:rPr>
          <w:sz w:val="20"/>
          <w:szCs w:val="20"/>
          <w:color w:val="auto"/>
        </w:rPr>
      </w:pPr>
      <w:r>
        <w:rPr>
          <w:rFonts w:ascii="Courier New" w:cs="Courier New" w:eastAsia="Courier New" w:hAnsi="Courier New"/>
          <w:sz w:val="15"/>
          <w:szCs w:val="15"/>
          <w:color w:val="auto"/>
        </w:rPr>
        <w:t>Current.....................................................</w:t>
      </w:r>
      <w:r>
        <w:rPr>
          <w:sz w:val="20"/>
          <w:szCs w:val="20"/>
          <w:color w:val="auto"/>
        </w:rPr>
        <w:tab/>
      </w:r>
      <w:r>
        <w:rPr>
          <w:rFonts w:ascii="Courier New" w:cs="Courier New" w:eastAsia="Courier New" w:hAnsi="Courier New"/>
          <w:sz w:val="15"/>
          <w:szCs w:val="15"/>
          <w:color w:val="auto"/>
        </w:rPr>
        <w:t>$28,076</w:t>
      </w:r>
      <w:r>
        <w:rPr>
          <w:sz w:val="20"/>
          <w:szCs w:val="20"/>
          <w:color w:val="auto"/>
        </w:rPr>
        <w:tab/>
      </w:r>
      <w:r>
        <w:rPr>
          <w:rFonts w:ascii="Courier New" w:cs="Courier New" w:eastAsia="Courier New" w:hAnsi="Courier New"/>
          <w:sz w:val="14"/>
          <w:szCs w:val="14"/>
          <w:color w:val="auto"/>
        </w:rPr>
        <w:t>$20,260</w:t>
      </w:r>
    </w:p>
    <w:p>
      <w:pPr>
        <w:spacing w:after="0" w:line="2" w:lineRule="exact"/>
        <w:rPr>
          <w:sz w:val="20"/>
          <w:szCs w:val="20"/>
          <w:color w:val="auto"/>
        </w:rPr>
      </w:pPr>
    </w:p>
    <w:p>
      <w:pPr>
        <w:ind w:left="8"/>
        <w:spacing w:after="0"/>
        <w:tabs>
          <w:tab w:leader="none" w:pos="5888" w:val="left"/>
          <w:tab w:leader="none" w:pos="6768" w:val="left"/>
        </w:tabs>
        <w:rPr>
          <w:sz w:val="20"/>
          <w:szCs w:val="20"/>
          <w:color w:val="auto"/>
        </w:rPr>
      </w:pPr>
      <w:r>
        <w:rPr>
          <w:rFonts w:ascii="Courier New" w:cs="Courier New" w:eastAsia="Courier New" w:hAnsi="Courier New"/>
          <w:sz w:val="15"/>
          <w:szCs w:val="15"/>
          <w:color w:val="auto"/>
        </w:rPr>
        <w:t>Deferred....................................................</w:t>
      </w:r>
      <w:r>
        <w:rPr>
          <w:sz w:val="20"/>
          <w:szCs w:val="20"/>
          <w:color w:val="auto"/>
        </w:rPr>
        <w:tab/>
      </w:r>
      <w:r>
        <w:rPr>
          <w:rFonts w:ascii="Courier New" w:cs="Courier New" w:eastAsia="Courier New" w:hAnsi="Courier New"/>
          <w:sz w:val="15"/>
          <w:szCs w:val="15"/>
          <w:color w:val="auto"/>
        </w:rPr>
        <w:t>1,368</w:t>
      </w:r>
      <w:r>
        <w:rPr>
          <w:sz w:val="20"/>
          <w:szCs w:val="20"/>
          <w:color w:val="auto"/>
        </w:rPr>
        <w:tab/>
      </w:r>
      <w:r>
        <w:rPr>
          <w:rFonts w:ascii="Courier New" w:cs="Courier New" w:eastAsia="Courier New" w:hAnsi="Courier New"/>
          <w:sz w:val="15"/>
          <w:szCs w:val="15"/>
          <w:color w:val="auto"/>
        </w:rPr>
        <w:t>(1,750)</w:t>
      </w:r>
    </w:p>
    <w:p>
      <w:pPr>
        <w:spacing w:after="0" w:line="2" w:lineRule="exact"/>
        <w:rPr>
          <w:sz w:val="20"/>
          <w:szCs w:val="20"/>
          <w:color w:val="auto"/>
        </w:rPr>
      </w:pPr>
    </w:p>
    <w:p>
      <w:pPr>
        <w:ind w:left="5728"/>
        <w:spacing w:after="0"/>
        <w:tabs>
          <w:tab w:leader="none" w:pos="66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2899"/>
        <w:spacing w:after="0"/>
        <w:tabs>
          <w:tab w:leader="none" w:pos="700" w:val="left"/>
        </w:tabs>
        <w:rPr>
          <w:sz w:val="20"/>
          <w:szCs w:val="20"/>
          <w:color w:val="auto"/>
        </w:rPr>
      </w:pPr>
      <w:r>
        <w:rPr>
          <w:rFonts w:ascii="Courier New" w:cs="Courier New" w:eastAsia="Courier New" w:hAnsi="Courier New"/>
          <w:sz w:val="15"/>
          <w:szCs w:val="15"/>
          <w:color w:val="auto"/>
        </w:rPr>
        <w:t>$29,444</w:t>
      </w:r>
      <w:r>
        <w:rPr>
          <w:sz w:val="20"/>
          <w:szCs w:val="20"/>
          <w:color w:val="auto"/>
        </w:rPr>
        <w:tab/>
      </w:r>
      <w:r>
        <w:rPr>
          <w:rFonts w:ascii="Courier New" w:cs="Courier New" w:eastAsia="Courier New" w:hAnsi="Courier New"/>
          <w:sz w:val="14"/>
          <w:szCs w:val="14"/>
          <w:color w:val="auto"/>
        </w:rPr>
        <w:t>$18,510</w:t>
      </w:r>
    </w:p>
    <w:p>
      <w:pPr>
        <w:spacing w:after="0" w:line="2" w:lineRule="exact"/>
        <w:rPr>
          <w:sz w:val="20"/>
          <w:szCs w:val="20"/>
          <w:color w:val="auto"/>
        </w:rPr>
      </w:pPr>
    </w:p>
    <w:p>
      <w:pPr>
        <w:jc w:val="both"/>
        <w:ind w:left="5728"/>
        <w:spacing w:after="0"/>
        <w:tabs>
          <w:tab w:leader="none" w:pos="66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8"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15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5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520" w:type="dxa"/>
            <w:vAlign w:val="bottom"/>
          </w:tcPr>
          <w:p>
            <w:pPr>
              <w:spacing w:after="0"/>
              <w:rPr>
                <w:sz w:val="14"/>
                <w:szCs w:val="14"/>
                <w:color w:val="auto"/>
              </w:rPr>
            </w:pPr>
          </w:p>
        </w:tc>
      </w:tr>
      <w:tr>
        <w:trPr>
          <w:trHeight w:val="172"/>
        </w:trPr>
        <w:tc>
          <w:tcPr>
            <w:tcW w:w="5620" w:type="dxa"/>
            <w:vAlign w:val="bottom"/>
          </w:tcPr>
          <w:p>
            <w:pPr>
              <w:spacing w:after="0"/>
              <w:rPr>
                <w:sz w:val="14"/>
                <w:szCs w:val="14"/>
                <w:color w:val="auto"/>
              </w:rPr>
            </w:pP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5620" w:type="dxa"/>
            <w:vAlign w:val="bottom"/>
          </w:tcPr>
          <w:p>
            <w:pPr>
              <w:spacing w:after="0"/>
              <w:rPr>
                <w:sz w:val="14"/>
                <w:szCs w:val="14"/>
                <w:color w:val="auto"/>
              </w:rPr>
            </w:pP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1998</w:t>
            </w:r>
          </w:p>
        </w:tc>
      </w:tr>
      <w:tr>
        <w:trPr>
          <w:trHeight w:val="172"/>
        </w:trPr>
        <w:tc>
          <w:tcPr>
            <w:tcW w:w="56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r>
      <w:tr>
        <w:trPr>
          <w:trHeight w:val="344"/>
        </w:trPr>
        <w:tc>
          <w:tcPr>
            <w:tcW w:w="562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(20)</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62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r>
      <w:tr>
        <w:trPr>
          <w:trHeight w:val="172"/>
        </w:trPr>
        <w:tc>
          <w:tcPr>
            <w:tcW w:w="562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w:t>
            </w:r>
          </w:p>
        </w:tc>
      </w:tr>
    </w:tbl>
    <w:p>
      <w:pPr>
        <w:spacing w:after="0" w:line="348" w:lineRule="exact"/>
        <w:rPr>
          <w:sz w:val="20"/>
          <w:szCs w:val="20"/>
          <w:color w:val="auto"/>
        </w:rPr>
      </w:pPr>
    </w:p>
    <w:p>
      <w:pPr>
        <w:ind w:left="348" w:right="3079" w:hanging="348"/>
        <w:spacing w:after="0" w:line="242" w:lineRule="auto"/>
        <w:tabs>
          <w:tab w:leader="none" w:pos="3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1998, the Company incurred tax expense on the income of its operations in various countries and sustained a loss in a tax jurisdiction in which the Company is tax-exempt, which resulted in no tax benefit to offset the expense incurred. As a result, the Company's effective income tax rate in fiscal 1998 was significantly greater than the estimated fiscal 1999 effective tax rate.</w:t>
      </w:r>
    </w:p>
    <w:p>
      <w:pPr>
        <w:spacing w:after="0" w:line="174" w:lineRule="exact"/>
        <w:rPr>
          <w:sz w:val="20"/>
          <w:szCs w:val="20"/>
          <w:color w:val="auto"/>
        </w:rPr>
      </w:pPr>
    </w:p>
    <w:p>
      <w:pPr>
        <w:ind w:left="348" w:hanging="348"/>
        <w:spacing w:after="0"/>
        <w:tabs>
          <w:tab w:leader="none" w:pos="3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3040" w:type="dxa"/>
            <w:vAlign w:val="bottom"/>
            <w:gridSpan w:val="4"/>
          </w:tcPr>
          <w:p>
            <w:pPr>
              <w:ind w:left="1440"/>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4100" w:type="dxa"/>
            <w:vAlign w:val="bottom"/>
          </w:tcPr>
          <w:p>
            <w:pPr>
              <w:spacing w:after="0"/>
              <w:rPr>
                <w:sz w:val="14"/>
                <w:szCs w:val="14"/>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1999</w:t>
            </w:r>
          </w:p>
        </w:tc>
        <w:tc>
          <w:tcPr>
            <w:tcW w:w="280" w:type="dxa"/>
            <w:vAlign w:val="bottom"/>
          </w:tcPr>
          <w:p>
            <w:pPr>
              <w:spacing w:after="0"/>
              <w:rPr>
                <w:sz w:val="14"/>
                <w:szCs w:val="14"/>
                <w:color w:val="auto"/>
              </w:rPr>
            </w:pP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1998</w:t>
            </w:r>
          </w:p>
        </w:tc>
      </w:tr>
      <w:tr>
        <w:trPr>
          <w:trHeight w:val="17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c>
          <w:tcPr>
            <w:tcW w:w="280" w:type="dxa"/>
            <w:vAlign w:val="bottom"/>
          </w:tcPr>
          <w:p>
            <w:pPr>
              <w:spacing w:after="0"/>
              <w:rPr>
                <w:sz w:val="14"/>
                <w:szCs w:val="14"/>
                <w:color w:val="auto"/>
              </w:rPr>
            </w:pP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w w:val="74"/>
              </w:rPr>
              <w:t>Net income................................................</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$68,704</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$18,509</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basic earnings per share --</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w w:val="73"/>
              </w:rPr>
              <w:t>average shares.........................................</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196,976</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145,630</w:t>
            </w:r>
          </w:p>
        </w:tc>
      </w:tr>
      <w:tr>
        <w:trPr>
          <w:trHeight w:val="172"/>
        </w:trPr>
        <w:tc>
          <w:tcPr>
            <w:tcW w:w="5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Effect of dilutive stock options granted..................</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2,673</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821</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dilutive earnings per share</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 adjusted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w w:val="73"/>
              </w:rPr>
              <w:t>average shares and assumed conversions.................</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199,649</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146,451</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w w:val="74"/>
              </w:rPr>
              <w:t>Basic earnings per share..................................</w:t>
            </w:r>
          </w:p>
        </w:tc>
        <w:tc>
          <w:tcPr>
            <w:tcW w:w="1520" w:type="dxa"/>
            <w:vAlign w:val="bottom"/>
          </w:tcPr>
          <w:p>
            <w:pPr>
              <w:ind w:left="14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w w:val="74"/>
              </w:rPr>
              <w:t>Diluted earnings per share................................</w:t>
            </w:r>
          </w:p>
        </w:tc>
        <w:tc>
          <w:tcPr>
            <w:tcW w:w="1520" w:type="dxa"/>
            <w:vAlign w:val="bottom"/>
          </w:tcPr>
          <w:p>
            <w:pPr>
              <w:ind w:left="14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7"/>
          </w:cols>
          <w:pgMar w:left="232" w:top="289" w:right="1440" w:bottom="1440" w:gutter="0" w:footer="0" w:header="0"/>
        </w:sectPr>
      </w:pPr>
    </w:p>
    <w:p>
      <w:pPr>
        <w:spacing w:after="0" w:line="148"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27"/>
          </w:cols>
          <w:pgMar w:left="232" w:top="289" w:right="1440" w:bottom="1440" w:gutter="0" w:footer="0" w:header="0"/>
          <w:type w:val="continuous"/>
        </w:sectPr>
      </w:pPr>
    </w:p>
    <w:bookmarkStart w:id="101" w:name="page102"/>
    <w:bookmarkEnd w:id="101"/>
    <w:p>
      <w:pPr>
        <w:ind w:left="268"/>
        <w:spacing w:after="0"/>
        <w:rPr>
          <w:sz w:val="20"/>
          <w:szCs w:val="20"/>
          <w:color w:val="auto"/>
        </w:rPr>
      </w:pPr>
      <w:r>
        <w:rPr>
          <w:rFonts w:ascii="Courier New" w:cs="Courier New" w:eastAsia="Courier New" w:hAnsi="Courier New"/>
          <w:sz w:val="15"/>
          <w:szCs w:val="15"/>
          <w:color w:val="auto"/>
        </w:rPr>
        <w:t>102</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TRANSACTION</w:t>
      </w:r>
    </w:p>
    <w:p>
      <w:pPr>
        <w:spacing w:after="0" w:line="176"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On June 7, 1999 the Company and certain shareholders of the Company completed a public offering by which the Company sold 2,000 Ordinary Shares and the certain shareholders of the Company sold 18,426 Ordinary Shares, including an exercise of an over-allotment of 426 Ordinary Shares that was completed in July 1999, at an offering price of $22.44 per share. The total net proceeds to the Company, after deduction of issuance costs, amounted to $41,384.</w:t>
      </w:r>
    </w:p>
    <w:p>
      <w:pPr>
        <w:spacing w:after="0" w:line="160" w:lineRule="exact"/>
        <w:rPr>
          <w:sz w:val="20"/>
          <w:szCs w:val="20"/>
          <w:color w:val="auto"/>
        </w:rPr>
      </w:pPr>
    </w:p>
    <w:p>
      <w:pPr>
        <w:ind w:left="348" w:hanging="348"/>
        <w:spacing w:after="0"/>
        <w:tabs>
          <w:tab w:leader="none" w:pos="3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September 3, 1999, the Company signed an agreement to acquire International Telecommunication Data Systems, Inc. (ITDS), in a stock-for-stock transaction, which will be accounted for under the purchase method of accounting. The Company will issue approximately 6,600 ordinary shares and 1,200 options for ordinary shares in connection with the consummation of the transaction. Closing of the transaction is subject to the approval of ITDS' shareholders and requires regulatory approvals, as well as certain other customary closing conditions.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ITDS is a leading provider of billing and customer care service bureau solutions to wireless and satellite telecommunication service providers. ITDS' revenue and net loss for its fiscal year ended December 31, 1998 were $115,460 and $3,926, respectively. For the six months ended June 30, 1999, ITDS had revenue and net income of $68,623 and $8,714 respectively. ITDS had total assets of $164,541 at June 30, 1999.</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27"/>
          </w:cols>
          <w:pgMar w:left="232" w:top="289"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103</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International Telecommunication Data Systems, Inc. as of December 31, 1998 and 1997, and the related consolidated statements of operations,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International Telecommunication Data Systems, Inc. at December 31, 1998 and 1997, and the results of their operations and their cash flows for each of the three years in the period ended December 31, 1998, in conformity with generally accepted accounting principles.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Stamford, Connecticut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16, 1999</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89"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880" w:type="dxa"/>
            <w:vAlign w:val="bottom"/>
          </w:tcPr>
          <w:p>
            <w:pPr>
              <w:spacing w:after="0"/>
              <w:rPr>
                <w:sz w:val="24"/>
                <w:szCs w:val="24"/>
                <w:color w:val="auto"/>
              </w:rPr>
            </w:pPr>
          </w:p>
        </w:tc>
        <w:tc>
          <w:tcPr>
            <w:tcW w:w="4560" w:type="dxa"/>
            <w:vAlign w:val="bottom"/>
          </w:tcPr>
          <w:p>
            <w:pPr>
              <w:jc w:val="right"/>
              <w:ind w:right="1525"/>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$ 40,735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$28,967</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net of allowances for doubtful</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of $2,362 and $486, respectively..............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34,713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1,843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741</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78,131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34,936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computers, including leased property</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under capital leases of $1,150 and $1,105, respectively...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9,506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4,844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Furniture and fixtures....................................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Equipment, including leased property under capital leases</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of $54 in 1998 and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589</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13,187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6,253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5,450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2,319</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7,737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3,934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Goodwill</w:t>
            </w:r>
          </w:p>
        </w:tc>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net of accumulated amortization of $3,010 in</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42,249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Product development costs--at cost, net of accumulated</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amortization of $5,810 and $1,105 at December 31, 1998</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and December 31, 1997, respectively....................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22,511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3,698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1,884</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69,288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5,582</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$155,156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$44,452</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LIABILITIES AND STOCKHOLDERS' EQUITY</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$ 10,921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$ 1,192</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expenses and income taxes payable.................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2,919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560</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compensation......................................</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3,026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Customer advances and deferred revenue....................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Current maturities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21,306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 common stock, $0.01 par value; 40,000</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 authorized, 17,313 and 12,787 shares issued and</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outstanding at December 31, 1998 and December 31, 1997,</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Additional paid-in capital..................................</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141,662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44,447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Retained deficit............................................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(4,026)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Unearned compensation.......................................</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stockholders' equity........................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133,825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40,318</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liabilities and stockholders' equity........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$155,156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$44,452</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89"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105</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36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6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4"/>
                <w:szCs w:val="14"/>
                <w:color w:val="auto"/>
              </w:rPr>
            </w:pPr>
          </w:p>
        </w:tc>
        <w:tc>
          <w:tcPr>
            <w:tcW w:w="76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88"/>
              </w:rPr>
              <w:t>1997</w:t>
            </w:r>
          </w:p>
        </w:tc>
        <w:tc>
          <w:tcPr>
            <w:tcW w:w="22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Revenue....................................................</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$115,460</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$23,429</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$16,689</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44,334</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5,617</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4,283</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General, administrative and selling expenses.............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20,798</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6,760</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6,523</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10,846</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1,596</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1,054</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Systems development and programming costs................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16,974</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2,911</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Personnel and indirect acquisition costs.................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4,713</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20,800</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Total costs and expenses...................................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118,465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16,884</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13,975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Operating income (loss)....................................</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6,545</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2,714</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Other income...............................................</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1,550</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1,702</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316</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Interest expense...........................................</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(2,740)</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Income (loss) before income taxes and extraordinary item...</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(4,195)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8,127</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2,614</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Income tax expense (benefit)...............................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3,326</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1,112</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Income (loss) before extraordinary item....................</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(3,100)</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4,801</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1,502</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Extraordinary loss (net of $562 tax benefit)...............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(826)</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Net income (loss)..........................................</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(3,926)</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$ 4,801</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$ 1,502</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per common share --</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Income (loss) before extraordinary item..................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loss.......................................</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0.15</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 basic income (loss) per 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15,607</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12,728</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9,890</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per common share --</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Income (loss) before extraordinary item..................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loss.......................................</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0.15</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 diluted income (loss) per 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15,607</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13,193</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10,109</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289"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106</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PREFERRED STOCK</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460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214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CLASS A</w:t>
            </w:r>
          </w:p>
        </w:tc>
        <w:tc>
          <w:tcPr>
            <w:tcW w:w="2460" w:type="dxa"/>
            <w:vAlign w:val="bottom"/>
            <w:gridSpan w:val="3"/>
          </w:tcPr>
          <w:p>
            <w:pPr>
              <w:jc w:val="right"/>
              <w:ind w:right="765"/>
              <w:spacing w:after="0"/>
              <w:rPr>
                <w:sz w:val="20"/>
                <w:szCs w:val="20"/>
                <w:color w:val="auto"/>
              </w:rPr>
            </w:pPr>
            <w:r>
              <w:rPr>
                <w:rFonts w:ascii="Courier New" w:cs="Courier New" w:eastAsia="Courier New" w:hAnsi="Courier New"/>
                <w:sz w:val="15"/>
                <w:szCs w:val="15"/>
                <w:color w:val="auto"/>
              </w:rPr>
              <w:t>CLASS B</w:t>
            </w:r>
          </w:p>
        </w:tc>
        <w:tc>
          <w:tcPr>
            <w:tcW w:w="220" w:type="dxa"/>
            <w:vAlign w:val="bottom"/>
          </w:tcPr>
          <w:p>
            <w:pPr>
              <w:spacing w:after="0"/>
              <w:rPr>
                <w:sz w:val="14"/>
                <w:szCs w:val="14"/>
                <w:color w:val="auto"/>
              </w:rPr>
            </w:pPr>
          </w:p>
        </w:tc>
        <w:tc>
          <w:tcPr>
            <w:tcW w:w="210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COMMON STOCK</w:t>
            </w: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980" w:type="dxa"/>
            <w:vAlign w:val="bottom"/>
          </w:tcPr>
          <w:p>
            <w:pPr>
              <w:spacing w:after="0"/>
              <w:rPr>
                <w:sz w:val="14"/>
                <w:szCs w:val="14"/>
                <w:color w:val="auto"/>
              </w:rPr>
            </w:pPr>
          </w:p>
        </w:tc>
        <w:tc>
          <w:tcPr>
            <w:tcW w:w="246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NUMBER</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NUMBER</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NUMBER</w:t>
            </w:r>
          </w:p>
        </w:tc>
        <w:tc>
          <w:tcPr>
            <w:tcW w:w="10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ADDITIONAL</w:t>
            </w:r>
          </w:p>
        </w:tc>
      </w:tr>
      <w:tr>
        <w:trPr>
          <w:trHeight w:val="172"/>
        </w:trPr>
        <w:tc>
          <w:tcPr>
            <w:tcW w:w="28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SHARES</w:t>
            </w:r>
          </w:p>
        </w:tc>
        <w:tc>
          <w:tcPr>
            <w:tcW w:w="10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w:t>
            </w:r>
          </w:p>
        </w:tc>
        <w:tc>
          <w:tcPr>
            <w:tcW w:w="116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8"/>
              </w:rPr>
              <w:t>OF SHARES</w:t>
            </w:r>
          </w:p>
        </w:tc>
        <w:tc>
          <w:tcPr>
            <w:tcW w:w="1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w:t>
            </w:r>
          </w:p>
        </w:tc>
        <w:tc>
          <w:tcPr>
            <w:tcW w:w="2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OF SHARES</w:t>
            </w:r>
          </w:p>
        </w:tc>
        <w:tc>
          <w:tcPr>
            <w:tcW w:w="10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PAID-IN</w:t>
            </w:r>
          </w:p>
        </w:tc>
      </w:tr>
      <w:tr>
        <w:trPr>
          <w:trHeight w:val="172"/>
        </w:trPr>
        <w:tc>
          <w:tcPr>
            <w:tcW w:w="28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OUTSTANDING</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PAR VALUE</w:t>
            </w:r>
          </w:p>
        </w:tc>
        <w:tc>
          <w:tcPr>
            <w:tcW w:w="126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PAR VALUE</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OUTSTANDING</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PAR VALUE</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CAPITAL</w:t>
            </w:r>
          </w:p>
        </w:tc>
      </w:tr>
      <w:tr>
        <w:trPr>
          <w:trHeight w:val="172"/>
        </w:trPr>
        <w:tc>
          <w:tcPr>
            <w:tcW w:w="28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1995...</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w:t>
            </w:r>
          </w:p>
        </w:tc>
        <w:tc>
          <w:tcPr>
            <w:tcW w:w="10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$ 400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w:t>
            </w:r>
          </w:p>
        </w:tc>
        <w:tc>
          <w:tcPr>
            <w:tcW w:w="100" w:type="dxa"/>
            <w:vAlign w:val="bottom"/>
          </w:tcPr>
          <w:p>
            <w:pPr>
              <w:spacing w:after="0"/>
              <w:rPr>
                <w:sz w:val="24"/>
                <w:szCs w:val="2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$ 328</w:t>
            </w:r>
          </w:p>
        </w:tc>
        <w:tc>
          <w:tcPr>
            <w:tcW w:w="220" w:type="dxa"/>
            <w:vAlign w:val="bottom"/>
          </w:tcPr>
          <w:p>
            <w:pPr>
              <w:spacing w:after="0"/>
              <w:rPr>
                <w:sz w:val="24"/>
                <w:szCs w:val="2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7,313</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$ 76</w:t>
            </w:r>
          </w:p>
        </w:tc>
        <w:tc>
          <w:tcPr>
            <w:tcW w:w="1040" w:type="dxa"/>
            <w:vAlign w:val="bottom"/>
          </w:tcPr>
          <w:p>
            <w:pPr>
              <w:spacing w:after="0"/>
              <w:rPr>
                <w:sz w:val="24"/>
                <w:szCs w:val="2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unrealized loss 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securities available for</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dividends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declared....................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Retirement of treasury</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(398)</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Recapitalization of Class A &amp;</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 preferred stock...........</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w:t>
            </w:r>
          </w:p>
        </w:tc>
        <w:tc>
          <w:tcPr>
            <w:tcW w:w="10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(1,500)</w:t>
            </w:r>
          </w:p>
        </w:tc>
        <w:tc>
          <w:tcPr>
            <w:tcW w:w="10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1,279</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10,115</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Compensation paid in common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969</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Conversion of Class C</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convertible preferred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638</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 of warrants..........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502</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818</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Sale of common stock, net of</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expenses....................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3,300</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31,648</w:t>
            </w:r>
          </w:p>
        </w:tc>
      </w:tr>
      <w:tr>
        <w:trPr>
          <w:trHeight w:val="172"/>
        </w:trPr>
        <w:tc>
          <w:tcPr>
            <w:tcW w:w="28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1996...</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12,655</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43,790</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unrealized gain 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securities available for</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Secondary sale of common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Employee stock purchase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plan........................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 of stock options.....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w:t>
            </w:r>
          </w:p>
        </w:tc>
        <w:tc>
          <w:tcPr>
            <w:tcW w:w="106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372</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unearned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compensation................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1997...</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12,787</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44,447</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(loss)..........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Shares issued in connection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with Intelicom</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acquisition.................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606</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9,894</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Secondary sale of common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3,663</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83,107</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Employee stock purchase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plan........................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456</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 of stock options.....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233</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1,887</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Tax benefit from 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1,871</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unearned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compensation................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1998...</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17,313</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$141,662</w:t>
            </w:r>
          </w:p>
        </w:tc>
      </w:tr>
      <w:tr>
        <w:trPr>
          <w:trHeight w:val="172"/>
        </w:trPr>
        <w:tc>
          <w:tcPr>
            <w:tcW w:w="28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88"/>
        </w:trPr>
        <w:tc>
          <w:tcPr>
            <w:tcW w:w="2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7"/>
              </w:rPr>
              <w:t>UNEARNED</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COMPENSA-</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TION</w:t>
            </w:r>
          </w:p>
        </w:tc>
        <w:tc>
          <w:tcPr>
            <w:tcW w:w="10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ACCUMULATED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TREASURY</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RETAINED</w:t>
            </w: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RESTRICTED</w:t>
            </w:r>
          </w:p>
        </w:tc>
        <w:tc>
          <w:tcPr>
            <w:tcW w:w="100" w:type="dxa"/>
            <w:vAlign w:val="bottom"/>
          </w:tcPr>
          <w:p>
            <w:pPr>
              <w:spacing w:after="0"/>
              <w:rPr>
                <w:sz w:val="14"/>
                <w:szCs w:val="14"/>
                <w:color w:val="auto"/>
              </w:rPr>
            </w:pPr>
          </w:p>
        </w:tc>
        <w:tc>
          <w:tcPr>
            <w:tcW w:w="120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7"/>
              </w:rPr>
              <w:t>OTHER</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STOCK AT</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EARNINGS</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STOCK</w:t>
            </w:r>
          </w:p>
        </w:tc>
        <w:tc>
          <w:tcPr>
            <w:tcW w:w="130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9"/>
              </w:rPr>
              <w:t>COMPREHENSIVE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COST</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(DEFICIT)</w:t>
            </w: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AWARDS</w:t>
            </w:r>
          </w:p>
        </w:tc>
        <w:tc>
          <w:tcPr>
            <w:tcW w:w="1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INCOME</w:t>
            </w:r>
          </w:p>
        </w:tc>
        <w:tc>
          <w:tcPr>
            <w:tcW w:w="2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44"/>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1995...</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1,502</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1,502</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unrealized loss 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securities available for</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$(37)</w:t>
            </w:r>
          </w:p>
        </w:tc>
        <w:tc>
          <w:tcPr>
            <w:tcW w:w="22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1,465</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dividends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declared....................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Retirement of treasury</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Recapitalization of Class A &amp;</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 preferred 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(10,225)</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(825)</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ectPr>
          <w:pgSz w:w="11900" w:h="16838" w:orient="portrait"/>
          <w:cols w:equalWidth="0" w:num="1">
            <w:col w:w="10820"/>
          </w:cols>
          <w:pgMar w:left="240" w:top="289" w:right="839" w:bottom="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Compensation paid in common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w:t>
            </w: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634</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Conversion of Class C</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convertible preferred</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640</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Exercise of warrants..........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823</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Sale of common stock, net of</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expenses....................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31,680</w:t>
            </w:r>
          </w:p>
        </w:tc>
      </w:tr>
      <w:tr>
        <w:trPr>
          <w:trHeight w:val="172"/>
        </w:trPr>
        <w:tc>
          <w:tcPr>
            <w:tcW w:w="29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at December 31, 1996...</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(8,827)</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34,717</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4,801</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4,801</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Net unrealized gain 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securities available for</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sale........................</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w:t>
            </w:r>
          </w:p>
        </w:tc>
      </w:tr>
      <w:tr>
        <w:trPr>
          <w:trHeight w:val="172"/>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Comprehensive income..........</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4,838</w:t>
            </w:r>
          </w:p>
        </w:tc>
      </w:tr>
      <w:tr>
        <w:trPr>
          <w:trHeight w:val="172"/>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Secondary sale of common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Employee stock purchase</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plan........................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Exercise of stock options.....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372</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unearned</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105</w:t>
            </w: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w:t>
            </w:r>
          </w:p>
        </w:tc>
      </w:tr>
      <w:tr>
        <w:trPr>
          <w:trHeight w:val="172"/>
        </w:trPr>
        <w:tc>
          <w:tcPr>
            <w:tcW w:w="29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at December 31, 1997...</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(4,026)</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(231)</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40,318</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80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(3,926)</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(3,926)</w:t>
            </w:r>
          </w:p>
        </w:tc>
      </w:tr>
      <w:tr>
        <w:trPr>
          <w:trHeight w:val="172"/>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Comprehensive (loss)..........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(3,926)</w:t>
            </w:r>
          </w:p>
        </w:tc>
      </w:tr>
      <w:tr>
        <w:trPr>
          <w:trHeight w:val="172"/>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Shares issued in connection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with Intelicom</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acquisition.................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9,900</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Secondary sale of common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83,144</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Employee stock purchase</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plan........................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456</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Exercise of stock options.....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1,889</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Tax benefit from 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options.....................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1,871</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unearned</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173</w:t>
            </w: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w:t>
            </w:r>
          </w:p>
        </w:tc>
      </w:tr>
      <w:tr>
        <w:trPr>
          <w:trHeight w:val="172"/>
        </w:trPr>
        <w:tc>
          <w:tcPr>
            <w:tcW w:w="29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(7,952)</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(58)</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$133,825</w:t>
            </w:r>
          </w:p>
        </w:tc>
      </w:tr>
      <w:tr>
        <w:trPr>
          <w:trHeight w:val="172"/>
        </w:trPr>
        <w:tc>
          <w:tcPr>
            <w:tcW w:w="29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19"/>
          </w:cols>
          <w:pgMar w:left="240" w:top="140"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107</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100" w:type="dxa"/>
            <w:vAlign w:val="bottom"/>
          </w:tcPr>
          <w:p>
            <w:pPr>
              <w:spacing w:after="0"/>
              <w:rPr>
                <w:sz w:val="14"/>
                <w:szCs w:val="14"/>
                <w:color w:val="auto"/>
              </w:rPr>
            </w:pPr>
          </w:p>
        </w:tc>
        <w:tc>
          <w:tcPr>
            <w:tcW w:w="304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(3,926)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4,801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1,502</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provided by operating activities: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loss....................................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Write-off in process research and development.........</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10,846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1,596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of unearned compensation.................</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Compensation paid in Common Stock.....................</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income taxes.................................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(6,425)</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1,084</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612</w:t>
            </w: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receivable................................</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(23,996)</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(1,775)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(1,884)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payable and accrued expenses..............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Customer advances..................................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2,766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assets and liabilities, net..................</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1,580</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(1,789)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10,644</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4,756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1,446</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Capital expenditures....................................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(3,749)</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(2,738)</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(1,853)</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Purchase of securities available for sale...............</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(25,329)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(25,060)</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Purchase of investments held to maturity................</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(3,062)</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maturities of investments.................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3,411</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300</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Proceeds from maturities of securities available for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50,389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Purchase of Intelicom...................................</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(73,832)</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Product development costs...............................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(6,918)</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(2,872)</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(859)</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cash (used for) provided by investing activities....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(84,499)</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19,799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(27,825)</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Principal payments on long-term debt....................</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(70,000)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(1,811)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long-term debt............................</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70,000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Tax benefit associated with stock options...............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1,871</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Financing fee related to acquisition....................</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(1,484)</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Payment to retire Preferred Stock.......................</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(825)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Principal payments on notes payable.....................</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Principal payments on capital lease obligations.........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(253)</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sale of Common Stock......................</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85,489</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658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32,502</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Dividends paid..........................................</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cash provided by financing activities...............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85,623</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273</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29,345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increase in cash and cash equivalents...............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11,768</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24,828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2,966</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28,967</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4,139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1,173</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$ 40,735</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$ 28,967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4,139</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paid during the year for interest..................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paid during the year for taxes.....................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820</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DISCLOSURE OF NONCASH FINANCING ACTIVITIES: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 lease obligations totaling $686 in the year ended December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4" w:lineRule="exact"/>
        <w:rPr>
          <w:sz w:val="20"/>
          <w:szCs w:val="20"/>
          <w:color w:val="auto"/>
        </w:rPr>
      </w:pPr>
    </w:p>
    <w:p>
      <w:pPr>
        <w:jc w:val="right"/>
        <w:ind w:right="5659"/>
        <w:spacing w:after="0"/>
        <w:rPr>
          <w:sz w:val="20"/>
          <w:szCs w:val="20"/>
          <w:color w:val="auto"/>
        </w:rPr>
      </w:pPr>
      <w:r>
        <w:rPr>
          <w:rFonts w:ascii="Courier New" w:cs="Courier New" w:eastAsia="Courier New" w:hAnsi="Courier New"/>
          <w:sz w:val="14"/>
          <w:szCs w:val="14"/>
          <w:color w:val="auto"/>
        </w:rPr>
        <w:t>were incurred for the acquisition of new equipment.</w:t>
      </w:r>
    </w:p>
    <w:p>
      <w:pPr>
        <w:spacing w:after="0" w:line="12" w:lineRule="exact"/>
        <w:rPr>
          <w:sz w:val="20"/>
          <w:szCs w:val="20"/>
          <w:color w:val="auto"/>
        </w:rPr>
      </w:pPr>
    </w:p>
    <w:p>
      <w:pPr>
        <w:jc w:val="right"/>
        <w:ind w:right="565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19"/>
          </w:cols>
          <w:pgMar w:left="240" w:top="289" w:right="1440" w:bottom="1440" w:gutter="0" w:footer="0" w:header="0"/>
        </w:sectPr>
      </w:pPr>
    </w:p>
    <w:bookmarkStart w:id="108" w:name="page109"/>
    <w:bookmarkEnd w:id="108"/>
    <w:p>
      <w:pPr>
        <w:ind w:left="268"/>
        <w:spacing w:after="0"/>
        <w:rPr>
          <w:sz w:val="20"/>
          <w:szCs w:val="20"/>
          <w:color w:val="auto"/>
        </w:rPr>
      </w:pPr>
      <w:r>
        <w:rPr>
          <w:rFonts w:ascii="Courier New" w:cs="Courier New" w:eastAsia="Courier New" w:hAnsi="Courier New"/>
          <w:sz w:val="15"/>
          <w:szCs w:val="15"/>
          <w:color w:val="auto"/>
        </w:rPr>
        <w:t>108</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ind w:left="8" w:right="5939" w:hanging="8"/>
        <w:spacing w:after="0" w:line="483" w:lineRule="auto"/>
        <w:tabs>
          <w:tab w:leader="none" w:pos="36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SIGNIFICANT ACCOUNTING POLICIES DESCRIPTION OF BUSINESS</w:t>
      </w:r>
    </w:p>
    <w:p>
      <w:pPr>
        <w:spacing w:after="0" w:line="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International Telecommunication Data Systems, Inc. ("ITDS" or the "Company") is a leading provider of comprehensive transactional billing and management information solutions to providers of wireless and satellite telecommunications services. The Company uses its proprietary software technology to develop billing solutions which address customer requirements as they evolve, regardless of the market segment, geographic area or mix of network features and billing options. Typically, the Company provides its services under contracts with terms ranging from two to five years, and bills customers monthly, on a per-subscriber and fixed fee basis. As a result, substantially all of the Company's revenue is recurring in nature, and increases as a provider's subscriber base grows.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AND EQUIPMENT</w:t>
      </w:r>
    </w:p>
    <w:p>
      <w:pPr>
        <w:spacing w:after="0" w:line="176" w:lineRule="exact"/>
        <w:rPr>
          <w:sz w:val="20"/>
          <w:szCs w:val="20"/>
          <w:color w:val="auto"/>
        </w:rPr>
      </w:pPr>
    </w:p>
    <w:p>
      <w:pPr>
        <w:jc w:val="both"/>
        <w:ind w:left="8" w:right="3159" w:firstLine="447"/>
        <w:spacing w:after="0" w:line="242" w:lineRule="auto"/>
        <w:rPr>
          <w:sz w:val="20"/>
          <w:szCs w:val="20"/>
          <w:color w:val="auto"/>
        </w:rPr>
      </w:pPr>
      <w:r>
        <w:rPr>
          <w:rFonts w:ascii="Courier New" w:cs="Courier New" w:eastAsia="Courier New" w:hAnsi="Courier New"/>
          <w:sz w:val="15"/>
          <w:szCs w:val="15"/>
          <w:color w:val="auto"/>
        </w:rPr>
        <w:t>Property and equipment are carried at cost, less accumulated depreciation computed using the straight-line method over the estimated useful lives of the assets. Amortization of assets under capital leases is included in depreciation expense.</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capitalizes software development costs incurred in the development of software used in its product and service line only after establishing commercial and technical viability and ceases when the product is available for general release. The capitalized costs include salaries and related payroll costs incurred in the development activities. Software development costs are carried at cost less accumulated amortization. Amortization is computed by using the greater of the amount that results from applying the ratio that current revenue for the product bears to total revenue for the product or the straight-line method over the remaining useful life of the product. Generally, such deferred costs are amortized over five years. During the years ended December 31, 1998, 1997 and 1996, $4.7 million, $518,398 and $300,105, respectively, of capitalized software development costs were amortized.</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Revenues and costs associated with the recurring process of providing billing and other service/software solutions are recognized at the time services are performed. Custom programming contracts are accounted for upon completion of short-term projects. For longer-term custom programming projects, the percentage of completion method is used. Accounts receivable at December 31, 1998 and 1997 include $12.3 million and $2.3 million, respectively, for services rendered prior to December 31 which were billed in January of the following year when the billing cycles were complete.</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EQUIVALENTS</w:t>
      </w:r>
    </w:p>
    <w:p>
      <w:pPr>
        <w:spacing w:after="0" w:line="176" w:lineRule="exact"/>
        <w:rPr>
          <w:sz w:val="20"/>
          <w:szCs w:val="20"/>
          <w:color w:val="auto"/>
        </w:rPr>
      </w:pPr>
    </w:p>
    <w:p>
      <w:pPr>
        <w:ind w:left="8" w:right="3519" w:firstLine="447"/>
        <w:spacing w:after="0"/>
        <w:rPr>
          <w:sz w:val="20"/>
          <w:szCs w:val="20"/>
          <w:color w:val="auto"/>
        </w:rPr>
      </w:pPr>
      <w:r>
        <w:rPr>
          <w:rFonts w:ascii="Courier New" w:cs="Courier New" w:eastAsia="Courier New" w:hAnsi="Courier New"/>
          <w:sz w:val="15"/>
          <w:szCs w:val="15"/>
          <w:color w:val="auto"/>
        </w:rPr>
        <w:t>The Company considers all highly liquid investments with a maturity of three months or less when purchased to be cash equivalents.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CONSOLIDATION</w:t>
      </w:r>
    </w:p>
    <w:p>
      <w:pPr>
        <w:spacing w:after="0" w:line="176" w:lineRule="exact"/>
        <w:rPr>
          <w:sz w:val="20"/>
          <w:szCs w:val="20"/>
          <w:color w:val="auto"/>
        </w:rPr>
      </w:pPr>
    </w:p>
    <w:p>
      <w:pPr>
        <w:ind w:left="8" w:right="3519" w:firstLine="447"/>
        <w:spacing w:after="0" w:line="274" w:lineRule="auto"/>
        <w:rPr>
          <w:sz w:val="20"/>
          <w:szCs w:val="20"/>
          <w:color w:val="auto"/>
        </w:rPr>
      </w:pPr>
      <w:r>
        <w:rPr>
          <w:rFonts w:ascii="Courier New" w:cs="Courier New" w:eastAsia="Courier New" w:hAnsi="Courier New"/>
          <w:sz w:val="14"/>
          <w:szCs w:val="14"/>
          <w:color w:val="auto"/>
        </w:rPr>
        <w:t>The financial statements include the accounts of ITDS and consolidated subsidiaries after elimination of intercompany accounts and transactions.</w:t>
      </w:r>
    </w:p>
    <w:p>
      <w:pPr>
        <w:spacing w:after="0" w:line="15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27"/>
          </w:cols>
          <w:pgMar w:left="232" w:top="289"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109</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The Company expenses advertising costs as incurred. Advertising expenses for the years ended December 31, 1998, 1997, and 1996 were $670,542, $233,673 and $194,097,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Other income for the years ended December 31, 1998, 1997 and 1996 includes $1.4 million, $1.6 million and $313,132, respectively, of investment income, primarily interest income.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and disclosures reported in the financial statements and accompanying notes. Actual results could differ from those estimates.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CUSTOMERS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Revenues generated from Nextel and Western Wireless accounted for approximately 30.2% and 11.9%, respectively, of 1998 revenues. For the year ended 1997 revenues from Aliant Communications and Sygnet Communications accounted for 18.4% and 11.7%, respectively, and for the year ended 1996 Aliant Communications and Horizon Cellular accounted for 19.1% and 12.5%, respectively, of revenues. The loss of either Nextel or Western Wireless could have an adverse impact on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the Financial Accounting Standards Board ("FASB") issued Statement No. 133, Accounting for Derivative Instruments and Hedging Activities, which is required to be adopted in years beginning after June 15, 1999. Because of the Company's limited use of derivatives, management does not anticipate that the adoption of the new Statement will have a significant effect on earnings or the financial position of the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January 1, 1998, the Company adopted the FASB's Statement of Financial Accounting Standards No. 131, Disclosures about Segments of an Enterprise and Related Information ("SFAS 131"). SFAS 131 superseded SFAS 14, Financial Reporting for Segments of a Business Enterprise. SFAS 131 establishes standards for the way that public business enterprises report information about operating segments in annual financial statements and requires that those enterprises report selected information about operating segments in interim financial reports. SFAS 131 also establishes standards for related disclosures about products and services, geographic areas, and major customers. The adoption of SFAS 131 did not affect results of operations or financial position. The operating results of the Company are regularly reviewed by the chief operating decision maker as one well-defined line of business. Therefore, the Company has determined that under the requirements of SFAS 131, it continues to have only one operating segment.</w:t>
      </w:r>
    </w:p>
    <w:p>
      <w:pPr>
        <w:spacing w:after="0" w:line="182" w:lineRule="exact"/>
        <w:rPr>
          <w:sz w:val="20"/>
          <w:szCs w:val="20"/>
          <w:color w:val="auto"/>
        </w:rPr>
      </w:pPr>
    </w:p>
    <w:p>
      <w:pPr>
        <w:ind w:right="3699" w:firstLine="447"/>
        <w:spacing w:after="0" w:line="241" w:lineRule="auto"/>
        <w:rPr>
          <w:sz w:val="20"/>
          <w:szCs w:val="20"/>
          <w:color w:val="auto"/>
        </w:rPr>
      </w:pPr>
      <w:r>
        <w:rPr>
          <w:rFonts w:ascii="Courier New" w:cs="Courier New" w:eastAsia="Courier New" w:hAnsi="Courier New"/>
          <w:sz w:val="15"/>
          <w:szCs w:val="15"/>
          <w:color w:val="auto"/>
        </w:rPr>
        <w:t>As of January 1, 1998, the Company adopted SFAS 130, Reporting Comprehensive Income ("SFAS 130"). SFAS 130 establishes new rules for the reporting and display of comprehensive income and its components.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19"/>
          </w:cols>
          <w:pgMar w:left="240" w:top="289" w:right="1440" w:bottom="1440" w:gutter="0" w:footer="0" w:header="0"/>
        </w:sectPr>
      </w:pPr>
    </w:p>
    <w:bookmarkStart w:id="110" w:name="page111"/>
    <w:bookmarkEnd w:id="110"/>
    <w:p>
      <w:pPr>
        <w:ind w:left="268"/>
        <w:spacing w:after="0"/>
        <w:rPr>
          <w:sz w:val="20"/>
          <w:szCs w:val="20"/>
          <w:color w:val="auto"/>
        </w:rPr>
      </w:pPr>
      <w:r>
        <w:rPr>
          <w:rFonts w:ascii="Courier New" w:cs="Courier New" w:eastAsia="Courier New" w:hAnsi="Courier New"/>
          <w:sz w:val="15"/>
          <w:szCs w:val="15"/>
          <w:color w:val="auto"/>
        </w:rPr>
        <w:t>110</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January 2, 1998, the Company acquired a subsidiary of Computer Sciences Corporation ("CSC"), a provider of billing and customer care software, by acquiring all of the outstanding Capital Stock of CSC Intelicom Inc. (now known as ITDS Intelicom Services, Inc.) ("Intelicom"). This acquisition was accounted for using the purchase method of accounting. The purchase price, after working capital adjustments aggregating approximately $14.2 million, aggregated $83.7 million, before direct costs of approximately $1.2 million and consisted of 606,673 shares of Common Stock of the Company valued at $10 million (before registration costs of $100,000) and $73.8 million in cash. In addition, the Company made a $6 million payment in January 1999, which was contingent upon certain performance factors. The assets acquired and liabilities assumed were recorded at their estimated fair value on the date of acquisition and the purchase price in excess of the fair market value of the assets acquired of approximately $45.3 million is being amortized over 15 years. In connection with the acquisition the Company received current assets of $5.9 million, product development costs of $16.6 million, and other non-current assets of $3 million and accrued liabilities of $7.9 million. In addition, purchased research and development costs of $20.8 million, before income tax benefit, and personnel and other indirect transaction costs of $4.7 million, before income tax benefit, (principally hiring and temporary staff of $1.8 million, special bonuses paid to the Company's employees and management of $2.3 million and systems and other costs of $600,000) associated with the Intelicom acquisition have been expensed in 1998. The operations of Intelicom are included with the Company's financial statements since the date of acquisition. All of the personnel and indirect acquisition costs were paid during 1998 with the exception of approximately $220,000. Assuming the acquisition occurred on January 1, 1997, revenues, net income and diluted earnings per share for 1997 would have been $80.4 million, $5.2 million and $0.37, respectively.</w:t>
      </w:r>
    </w:p>
    <w:p>
      <w:pPr>
        <w:spacing w:after="0" w:line="19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 portion of the cash purchase price for Intelicom was obtained by the Company under a credit agreement dated January 2, 1998, with certain lenders and Lehman Commercial Paper, Inc., as Administrative Agent and Arranger (the "Credit Agreement"). The Company subsequently amended the Credit Agreement with an Amended and Restated Credit Agreement dated as of March 18, 1998 (the "Amended Credit Agreement") which provided for a $70 million term loan and a $30 million line of credit. The Amended Credit Agreement contains normal covenants which include meeting certain financial ratios.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During the quarter ended March 31, 1998, the Company entered into a hedging agreement with a third party, expiring in March 2001, to limit exposure to interest rate volatility on the Amended Credit Agreement (the "Hedge Agreement").</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On June 8, 1998 as a result of the follow-on offering described in Note 4, the Company retired the $70 million term loan and terminated the Hedge Agreement. In connection with repaying the $70 million term loan, and canceling the Hedge Agreement, the Company recorded an after tax extraordinary charge of $826,198.</w:t>
      </w:r>
    </w:p>
    <w:p>
      <w:pPr>
        <w:spacing w:after="0" w:line="175"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The $30 million line of credit remains outstanding at December 31, 1998. No amounts were drawn on the line of credit during 1998.</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Costs for acquired in-process research and development ("in-process R&amp;D") for projects that did not have future alternative uses were $20.8 million. This allocation represents the estimated fair market value based on risk-adjusted cash flows related to the in-process R&amp;D projects. At the date of acquisition, the development of these projects had not yet reached technological feasibility, and the in-process R&amp;D had no alternative future uses. Accordingly, these costs were written off in the quarter ended March 31, 1998.</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27"/>
          </w:cols>
          <w:pgMar w:left="232" w:top="289" w:right="1440" w:bottom="1440" w:gutter="0" w:footer="0" w:header="0"/>
        </w:sectPr>
      </w:pPr>
    </w:p>
    <w:bookmarkStart w:id="111" w:name="page112"/>
    <w:bookmarkEnd w:id="111"/>
    <w:p>
      <w:pPr>
        <w:ind w:left="268"/>
        <w:spacing w:after="0"/>
        <w:rPr>
          <w:sz w:val="20"/>
          <w:szCs w:val="20"/>
          <w:color w:val="auto"/>
        </w:rPr>
      </w:pPr>
      <w:r>
        <w:rPr>
          <w:rFonts w:ascii="Courier New" w:cs="Courier New" w:eastAsia="Courier New" w:hAnsi="Courier New"/>
          <w:sz w:val="15"/>
          <w:szCs w:val="15"/>
          <w:color w:val="auto"/>
        </w:rPr>
        <w:t>111</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259" w:firstLine="447"/>
        <w:spacing w:after="0" w:line="261" w:lineRule="auto"/>
        <w:rPr>
          <w:sz w:val="20"/>
          <w:szCs w:val="20"/>
          <w:color w:val="auto"/>
        </w:rPr>
      </w:pPr>
      <w:r>
        <w:rPr>
          <w:rFonts w:ascii="Courier New" w:cs="Courier New" w:eastAsia="Courier New" w:hAnsi="Courier New"/>
          <w:sz w:val="14"/>
          <w:szCs w:val="14"/>
          <w:color w:val="auto"/>
        </w:rPr>
        <w:t>On the date of its acquisition, Intelicom's in-process R&amp;D value was comprised of three primary R&amp;D programs that were expected to reach completion between late 1998 and 2000. These projects included the introduction of new technology aimed at customer care and billing technology. At the acquisition date, Intelicom's R&amp;D programs ranged in completion from 35% to 80%, and total continuing R&amp;D commitments to complete the projects were expected to be approximately $5.5 million. On the acquisition date, expenditures to complete the Intelicom's projects were expected to be approximately $3 million, $2 million and $500,000 in 1998 through 2000, respectively. These estimates are subject to change, given the uncertainties of the development process, and no assurance can be given that deviations from these estimates will not occur. Additionally, these projects will require maintenance expenditures when and if they reach a state of technological and commercial feasibility. Based on the activities during 1998, the Company believes that the assumptions used in the valuation are reasonable.</w:t>
      </w:r>
    </w:p>
    <w:p>
      <w:pPr>
        <w:spacing w:after="0" w:line="33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Management believes the Company is positioned to complete each of the major R&amp;D programs. However, there is risk associated with the completion of the projects, and there is no assurance that any project will meet with either technological or commercial success. The substantial delay or outright failure of the Intelicom R&amp;D could adversely impact the Company's financial condition.</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value assigned to purchased in-process R&amp;D was determined by estimating the costs to develop Intelicom's purchased in-process R&amp;D into commercially viable products, estimating the resulting net cash flows from the projects and discounting the net cash flows to their present value. The revenue estimates used to value the in-process R&amp;D were based on estimates of relevant market sizes and growth factors, expected trends in technology and the nature and expected timing of new product introductions by the Company and its competitors. The valuation anticipates revenues beginning in 1998.</w:t>
      </w:r>
    </w:p>
    <w:p>
      <w:pPr>
        <w:spacing w:after="0" w:line="177" w:lineRule="exact"/>
        <w:rPr>
          <w:sz w:val="20"/>
          <w:szCs w:val="20"/>
          <w:color w:val="auto"/>
        </w:rPr>
      </w:pPr>
    </w:p>
    <w:p>
      <w:pPr>
        <w:ind w:left="8" w:right="3159" w:firstLine="447"/>
        <w:spacing w:after="0" w:line="262" w:lineRule="auto"/>
        <w:rPr>
          <w:sz w:val="20"/>
          <w:szCs w:val="20"/>
          <w:color w:val="auto"/>
        </w:rPr>
      </w:pPr>
      <w:r>
        <w:rPr>
          <w:rFonts w:ascii="Courier New" w:cs="Courier New" w:eastAsia="Courier New" w:hAnsi="Courier New"/>
          <w:sz w:val="14"/>
          <w:szCs w:val="14"/>
          <w:color w:val="auto"/>
        </w:rPr>
        <w:t>The rates utilized to discount the net cash flows to their present value are based on Intelicom's weighted average cost of capital. Given the nature of the risks associated with the estimated growth, profitability and developmental projects, Intelicom's weighted average cost of capital was adjusted. A discount rate of 30% was deemed appropriate for Intelicom's business enterprise. This discount rate is intended to be commensurate with Intelicom's maturity and the uncertainties in the economic estimates described above.</w:t>
      </w:r>
    </w:p>
    <w:p>
      <w:pPr>
        <w:spacing w:after="0" w:line="16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estimates used by the Company in valuing in-process R&amp;D were based upon assumptions the Company believes to be reasonable but which are inherently uncertain and unpredictable. The Company's assumptions may be incomplete or inaccurate, and no assurance can be given that unanticipated events and circumstances will not occur. Accordingly, actual results may vary from the projected results. Any such variance may result in a material adverse effect on the financial condition and results of operations of the Company.</w:t>
      </w:r>
    </w:p>
    <w:p>
      <w:pPr>
        <w:spacing w:after="0" w:line="175" w:lineRule="exact"/>
        <w:rPr>
          <w:sz w:val="20"/>
          <w:szCs w:val="20"/>
          <w:color w:val="auto"/>
        </w:rPr>
      </w:pPr>
    </w:p>
    <w:p>
      <w:pPr>
        <w:ind w:left="348" w:hanging="348"/>
        <w:spacing w:after="0"/>
        <w:tabs>
          <w:tab w:leader="none" w:pos="34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Amended Credit Agreement (see Note 2) provides for a $30 million line of credit which contains normal covenants including meeting certain financial ratios. This agreement requires the Company to pay interest at LIBOR plus up to two and one quarter percent and expires on December 31, 2002. As of December 31, 1998, no amounts were drawn on the line of credit.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27"/>
          </w:cols>
          <w:pgMar w:left="232" w:top="289" w:right="1440" w:bottom="1440" w:gutter="0" w:footer="0" w:header="0"/>
        </w:sectPr>
      </w:pPr>
    </w:p>
    <w:bookmarkStart w:id="112" w:name="page113"/>
    <w:bookmarkEnd w:id="112"/>
    <w:p>
      <w:pPr>
        <w:ind w:left="268"/>
        <w:spacing w:after="0"/>
        <w:rPr>
          <w:sz w:val="20"/>
          <w:szCs w:val="20"/>
          <w:color w:val="auto"/>
        </w:rPr>
      </w:pPr>
      <w:r>
        <w:rPr>
          <w:rFonts w:ascii="Courier New" w:cs="Courier New" w:eastAsia="Courier New" w:hAnsi="Courier New"/>
          <w:sz w:val="15"/>
          <w:szCs w:val="15"/>
          <w:color w:val="auto"/>
        </w:rPr>
        <w:t>112</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8699" w:hanging="8"/>
        <w:spacing w:after="0" w:line="520" w:lineRule="auto"/>
        <w:tabs>
          <w:tab w:leader="none" w:pos="366"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STOCK STOCK SPLIT</w:t>
      </w:r>
    </w:p>
    <w:p>
      <w:pPr>
        <w:spacing w:after="0" w:line="1" w:lineRule="exact"/>
        <w:rPr>
          <w:sz w:val="20"/>
          <w:szCs w:val="20"/>
          <w:color w:val="auto"/>
        </w:rPr>
      </w:pPr>
    </w:p>
    <w:p>
      <w:pPr>
        <w:ind w:left="8" w:right="3519" w:firstLine="447"/>
        <w:spacing w:after="0" w:line="242" w:lineRule="auto"/>
        <w:rPr>
          <w:sz w:val="20"/>
          <w:szCs w:val="20"/>
          <w:color w:val="auto"/>
        </w:rPr>
      </w:pPr>
      <w:r>
        <w:rPr>
          <w:rFonts w:ascii="Courier New" w:cs="Courier New" w:eastAsia="Courier New" w:hAnsi="Courier New"/>
          <w:sz w:val="15"/>
          <w:szCs w:val="15"/>
          <w:color w:val="auto"/>
        </w:rPr>
        <w:t>The Company effected a three-for-two stock split, in the form of a 50% stock dividend, distributed on March 9, 1998 to stockholders of record on February 23, 1998. Accordingly, all share and per share amounts have been adjusted to reflect this split.</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PUBLIC OFFERINGS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completed its Initial Public Offering ("IPO") in October 1996. The Company sold 3 million shares at $10.67 per share, resulting in proceeds to the Company of approximately $28.7 million, after deducting expenses. In addition, on November 18, 1996 the Company received approximately $3.0 million, net of expenses, upon the exercise of the underwriters' over-allotment option to purchase 300,000 shares of Common Stock from the Company in connection with the IPO.</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connection with the IPO, the Company's Certificate of Incorporation was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amended to authorize the issuance of up to 40,000,000 shares of 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$.01 par value per share and the issuance of up to 2,000,000 shares of Preferred</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$.01 par value per share.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 portion of the proceeds from the Company's IPO were used to retire substantially all of the Company's outstanding debt. In addition, the Company's Class A and B Preferred Stock was retired and the holders of such shares were issued an aggregate of 1,279,218 shares of the Company's Common Stock and were paid an aggregate amount of $825,000. The distribution of the 1,279,218 shares of the Company's Common Stock, valued at $8 per share, for an aggregate of $10.2 million, resulted in a one-time, noncash charge to retained earnings and a corresponding increase to additional paid-in-capital. Further, immediately prior to the IPO, Connecticut Innovations Incorporated ("CII") exercised outstanding warrants to purchase 501,786 shares of the Company's Common Stock at an aggregate purchase price of $822,959. In addition, upon the closing of the IPO all of the outstanding shares of Series C Preferred Stock of the Company (all of which were held by CII) converted into an aggregate of 154,800 shares of Common Stock.</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FOLLOW-ON OFFERINGS</w:t>
      </w:r>
    </w:p>
    <w:p>
      <w:pPr>
        <w:spacing w:after="0" w:line="176"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During April 1997, the Company received net proceeds of $172,876 from the sale of 75,000 shares of its Common Stock in a follow-on offering.</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June 1998, the Company successfully completed a follow-on offering of 3,662,750 shares of Common Stock resulting in net proceeds to the Company of approximately $83.1 million, after deducting expenses of $579,834. With the proceeds, the Company retired the $70 million term loan obtained in connection with the January 2, 1998 Intelicom acquisition, and the remaining funds were used for working capital. In addition to the follow-on offering and shares issued in connection with the Intelicom acquisition, shares were issued in connection with the exercise of stock options during the year ended December 31, 1998.</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February 1997, the FASB issued Statement of Financial Accounting Standards SFAS No. 128, "Earnings Per Share" ("SFAS 128"), which revises the methodology of calculating earnings per share. The Company adopted SFAS 128 in the fourth quarter of 1997. All earnings per share amounts for all prior periods have been presented in accordance with and where appropriate, restated to conform to the SFAS 128 requirements. In accordance with SFAS 128,</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27"/>
          </w:cols>
          <w:pgMar w:left="232" w:top="289" w:right="1440" w:bottom="1440" w:gutter="0" w:footer="0" w:header="0"/>
        </w:sectPr>
      </w:pPr>
    </w:p>
    <w:bookmarkStart w:id="113" w:name="page114"/>
    <w:bookmarkEnd w:id="113"/>
    <w:p>
      <w:pPr>
        <w:ind w:left="268"/>
        <w:spacing w:after="0"/>
        <w:rPr>
          <w:sz w:val="20"/>
          <w:szCs w:val="20"/>
          <w:color w:val="auto"/>
        </w:rPr>
      </w:pPr>
      <w:r>
        <w:rPr>
          <w:rFonts w:ascii="Courier New" w:cs="Courier New" w:eastAsia="Courier New" w:hAnsi="Courier New"/>
          <w:sz w:val="15"/>
          <w:szCs w:val="15"/>
          <w:color w:val="auto"/>
        </w:rPr>
        <w:t>113</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all common stock equivalents that have a dilutive effect on earnings per share are included in the calculation for diluted income per share.</w:t>
      </w:r>
    </w:p>
    <w:p>
      <w:pPr>
        <w:spacing w:after="0" w:line="176"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The following table set forth the computation of basic and diluted earnings (loss) per share (in thousands,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5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1997</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4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Numerator for basic and diluted earnings (loss) per</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share -- earnings (loss) before extraordinary item.....</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$(3,100)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$4,801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$1,502</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4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Denominator for basic earnings (loss) per</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share -- weighted-average shares.......................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15,607</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12,728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9,890</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Effect of dilutive securities:</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Employee stock options.................................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Denominator for diluted earnings (loss) per</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share --</w:t>
            </w:r>
          </w:p>
        </w:tc>
        <w:tc>
          <w:tcPr>
            <w:tcW w:w="42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adjusted weighted-average shares and assumed</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conversions............................................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15,607</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13,193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10,109</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Basic income (loss) per common share before extraordinary</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item......................................................</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(0.20)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$ 0.38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$ 0.15</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Diluted income (loss) per common share before extraordinary</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item......................................................</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(0.20)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$ 0.36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$ 0.15</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Income per common share for the year ended December 31, 1996 is calculated using the weighted average number of shares of common stock outstanding after giving effect to the retirement of the Company's Class A and B Preferred Stock and the conversion of the Series C Preferred Stock in conjunction with the Company's IPO.</w:t>
      </w:r>
    </w:p>
    <w:p>
      <w:pPr>
        <w:spacing w:after="0" w:line="174" w:lineRule="exact"/>
        <w:rPr>
          <w:sz w:val="20"/>
          <w:szCs w:val="20"/>
          <w:color w:val="auto"/>
        </w:rPr>
      </w:pPr>
    </w:p>
    <w:p>
      <w:pPr>
        <w:ind w:left="348" w:hanging="348"/>
        <w:spacing w:after="0"/>
        <w:tabs>
          <w:tab w:leader="none" w:pos="34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PLANS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Company's 1998, 1997 and 1996 Stock Plans authorize the grant of options to employees, directors and consultants for up to 1,125,000, 1,500,000 shares and 1,125,000 shares, respectively, of the Company's Common Stock. All options granted have 10 year terms and vest and become fully exercisable at the end of 4 years of continued service. In addition, a total of 300,000 shares of Common Stock have been authorized for issuance under the Company's 1996 Employee Stock Purchase Plan. The 1998 and 1996 plans are incentive plans, the 1997 is a non-qualified plan.</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the employee stock purchase plan, shares of the Company's Common Stock may be purchased at six-month intervals at 85% of the lower of the fair market value on the first or the last business day of each six-month period. Employees may purchase shares having a value not exceeding 10% of their gross compensation, up to $25,000 of fair market value of such Common Stock, during an offering period.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27"/>
          </w:cols>
          <w:pgMar w:left="232" w:top="289"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114</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firstLine="447"/>
        <w:spacing w:after="0" w:line="274" w:lineRule="auto"/>
        <w:rPr>
          <w:sz w:val="20"/>
          <w:szCs w:val="20"/>
          <w:color w:val="auto"/>
        </w:rPr>
      </w:pPr>
      <w:r>
        <w:rPr>
          <w:rFonts w:ascii="Courier New" w:cs="Courier New" w:eastAsia="Courier New" w:hAnsi="Courier New"/>
          <w:sz w:val="14"/>
          <w:szCs w:val="14"/>
          <w:color w:val="auto"/>
        </w:rPr>
        <w:t>A summary of the Company's activity in the stock option plans, and related information for the years ended December 31, 1998, 1997 and 1996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WEIGHTED-AVERAGE</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OPTIONS</w:t>
            </w: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EXERCISE PRICE</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590,550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$ 9.29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9.33</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588,300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9.29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2,607,643</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12.33</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47,906</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7.77</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Cancelled..............................................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534,754</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10.52</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124,184</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7.88</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2,489,099</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12.33</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1,037,800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25.69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232,768</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8.12</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344,286</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15.11</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2,949,845</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$17.21</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Options exercisable at December 31, 1998...............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682,521</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$11.69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Options exercisable at December 31, 1997...............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111,583</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$ 9.19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Options exercisable at December 31, 1996...............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24,093</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$12.24</w:t>
            </w:r>
          </w:p>
        </w:tc>
      </w:tr>
    </w:tbl>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May 1997, 534,750 options previously issued were exchanged for new options covering an equal number of shares and an exercise price equal to the then current market price. The repriced options were included in the number of shares granted and cancelled for 1997.</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20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OPTIONS OUTSTANDING</w:t>
            </w:r>
          </w:p>
        </w:tc>
        <w:tc>
          <w:tcPr>
            <w:tcW w:w="17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0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WEIGHTED-AVERAGE</w:t>
            </w:r>
          </w:p>
        </w:tc>
        <w:tc>
          <w:tcPr>
            <w:tcW w:w="170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206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OUTSTANDING</w:t>
            </w:r>
          </w:p>
        </w:tc>
        <w:tc>
          <w:tcPr>
            <w:tcW w:w="17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REMAINING</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WEIGHTED-AVERAGE</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AS OF 12/31/98</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CONTRACTUAL LIFE</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$ 7.50-$10.00.........................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612,997</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8.0</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$ 7.75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$10.00-$12.50.........................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176,000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8.4</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11.50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$12.50-$15.00.........................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$15.00-$17.50.........................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1,127,548</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8.9</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15.47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$22.50-$25.00.........................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450,600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9.4</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24.17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$25.00-$27.50.........................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559,000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9.3</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26.70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$27.50-$30.00.........................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6,200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9.5</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28.16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$30.00-$32.50.........................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16,500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9.5</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32.16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$32.50-$35.00.........................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9.5</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34.75</w:t>
            </w:r>
          </w:p>
        </w:tc>
      </w:tr>
      <w:tr>
        <w:trPr>
          <w:trHeight w:val="172"/>
        </w:trPr>
        <w:tc>
          <w:tcPr>
            <w:tcW w:w="3480" w:type="dxa"/>
            <w:vAlign w:val="bottom"/>
          </w:tcPr>
          <w:p>
            <w:pPr>
              <w:spacing w:after="0"/>
              <w:rPr>
                <w:sz w:val="14"/>
                <w:szCs w:val="14"/>
                <w:color w:val="auto"/>
              </w:rPr>
            </w:pP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2,949,845</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8.8</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$17.21</w:t>
            </w:r>
          </w:p>
        </w:tc>
      </w:tr>
      <w:tr>
        <w:trPr>
          <w:trHeight w:val="172"/>
        </w:trPr>
        <w:tc>
          <w:tcPr>
            <w:tcW w:w="3480" w:type="dxa"/>
            <w:vAlign w:val="bottom"/>
          </w:tcPr>
          <w:p>
            <w:pPr>
              <w:spacing w:after="0"/>
              <w:rPr>
                <w:sz w:val="14"/>
                <w:szCs w:val="14"/>
                <w:color w:val="auto"/>
              </w:rPr>
            </w:pP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Exercise prices for options outstanding as of December 31, 1998 ranged from $7.75 to $34.75 per share. The weighted average remaining contractual life of those options is 8.8 years.</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The Company has elected to follow Accounting Principles Board Opinion No. 25, "Accounting for Stock Issued to Employees" (APB 25) and related Interpretations in accounting for its employee stock options because, as discussed below, the alternative fair value accounting provided for under FASB Statement No. 123, "Accounting for Stock-Based Compensation," requires use of option valuation models that were not developed for use in valuing employee</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19"/>
          </w:cols>
          <w:pgMar w:left="240" w:top="289" w:right="1440" w:bottom="1440" w:gutter="0" w:footer="0" w:header="0"/>
        </w:sectPr>
      </w:pPr>
    </w:p>
    <w:bookmarkStart w:id="115" w:name="page116"/>
    <w:bookmarkEnd w:id="115"/>
    <w:p>
      <w:pPr>
        <w:ind w:left="268"/>
        <w:spacing w:after="0"/>
        <w:rPr>
          <w:sz w:val="20"/>
          <w:szCs w:val="20"/>
          <w:color w:val="auto"/>
        </w:rPr>
      </w:pPr>
      <w:r>
        <w:rPr>
          <w:rFonts w:ascii="Courier New" w:cs="Courier New" w:eastAsia="Courier New" w:hAnsi="Courier New"/>
          <w:sz w:val="15"/>
          <w:szCs w:val="15"/>
          <w:color w:val="auto"/>
        </w:rPr>
        <w:t>115</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left="8" w:right="3439"/>
        <w:spacing w:after="0" w:line="241" w:lineRule="auto"/>
        <w:rPr>
          <w:sz w:val="20"/>
          <w:szCs w:val="20"/>
          <w:color w:val="auto"/>
        </w:rPr>
      </w:pPr>
      <w:r>
        <w:rPr>
          <w:rFonts w:ascii="Courier New" w:cs="Courier New" w:eastAsia="Courier New" w:hAnsi="Courier New"/>
          <w:sz w:val="15"/>
          <w:szCs w:val="15"/>
          <w:color w:val="auto"/>
        </w:rPr>
        <w:t>stock options. Under APB 25, if the exercise price of the Company's employee stock options equals the market price of the underlying stock on the date of grant, no compensation expense is recognized.</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Pro forma information regarding net income and earnings per share is required by Statement 123, and has been determined as if the Company had accounted for its employee stock options under the fair value method of the Statement. The fair value for these options was estimated at the date of grant using a Black-Scholes option pricing model with the following weighted average assumptions: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Expected volatility of market price of company's common</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0.72</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0.63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0.71</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Expected option life......................................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 years</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 years</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 years</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Weighted average fair value per share of options granted</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during year.............................................</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$16.47</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$7.31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w:t>
            </w:r>
          </w:p>
        </w:tc>
      </w:tr>
    </w:tbl>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78" w:lineRule="exact"/>
        <w:rPr>
          <w:sz w:val="20"/>
          <w:szCs w:val="20"/>
          <w:color w:val="auto"/>
        </w:rPr>
      </w:pPr>
    </w:p>
    <w:p>
      <w:pPr>
        <w:ind w:left="8" w:right="3159" w:firstLine="447"/>
        <w:spacing w:after="0" w:line="267" w:lineRule="auto"/>
        <w:rPr>
          <w:sz w:val="20"/>
          <w:szCs w:val="20"/>
          <w:color w:val="auto"/>
        </w:rPr>
      </w:pPr>
      <w:r>
        <w:rPr>
          <w:rFonts w:ascii="Courier New" w:cs="Courier New" w:eastAsia="Courier New" w:hAnsi="Courier New"/>
          <w:sz w:val="14"/>
          <w:szCs w:val="14"/>
          <w:color w:val="auto"/>
        </w:rPr>
        <w:t>For purposes of pro forma disclosures, the estimated fair value of the options is amortized to expense over the options' vesting period. The Company's pro forma information follows (in thousands, except per share amounts):</w:t>
      </w:r>
    </w:p>
    <w:p>
      <w:pPr>
        <w:spacing w:after="0" w:line="200" w:lineRule="exact"/>
        <w:rPr>
          <w:sz w:val="20"/>
          <w:szCs w:val="20"/>
          <w:color w:val="auto"/>
        </w:rPr>
      </w:pPr>
    </w:p>
    <w:p>
      <w:pPr>
        <w:spacing w:after="0" w:line="30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72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1996</w:t>
            </w:r>
          </w:p>
        </w:tc>
      </w:tr>
      <w:tr>
        <w:trPr>
          <w:trHeight w:val="172"/>
        </w:trPr>
        <w:tc>
          <w:tcPr>
            <w:tcW w:w="492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 forma net income (loss)...........................</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$(7,381)</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$3,441</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$1,190</w:t>
            </w:r>
          </w:p>
        </w:tc>
      </w:tr>
      <w:tr>
        <w:trPr>
          <w:trHeight w:val="172"/>
        </w:trPr>
        <w:tc>
          <w:tcPr>
            <w:tcW w:w="492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 forma earnings per share:</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 forma basic earnings (loss) per share.............</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 (0.47)</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$ 0.27</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$ 0.12</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 forma diluted earnings (loss) per share...........</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 (0.47)</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$ 0.26</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$ 0.12</w:t>
            </w:r>
          </w:p>
        </w:tc>
      </w:tr>
    </w:tbl>
    <w:p>
      <w:pPr>
        <w:spacing w:after="0" w:line="346" w:lineRule="exact"/>
        <w:rPr>
          <w:sz w:val="20"/>
          <w:szCs w:val="20"/>
          <w:color w:val="auto"/>
        </w:rPr>
      </w:pPr>
    </w:p>
    <w:p>
      <w:pPr>
        <w:ind w:left="348" w:hanging="348"/>
        <w:spacing w:after="0"/>
        <w:tabs>
          <w:tab w:leader="none" w:pos="34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COMPENSATION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accordance with the terms of his employment agreement, as amended on September 30, 1996, an employee became entitled to receive a payment of $275,000 on or before December 31, 1996 and, as a result of the public offering of the Company's Common Stock, the right to purchase 27,500 shares of the Company's Common Stock for $.01 per share. In addition, during 1996 an employee was given the right to purchase 42,652 shares of the Company's Common Stock for $.01 per share. During 1996, these employees acquired the shares and the difference between the exercise price and the fair value on the date of grant was charged to compensation expense. In connection with an employment agreement entered into during 1996, an employee was awarded 36,000 shares of the Company's Common Stock with a fair value of $336,000 when awarded. The shares vest 25% on April 1, 1997, 25% on October 31, 1998, 25% on October 31, 1999, and 25% on October 31, 2000. The fair value of the shares on the date of award is being amortized as compensation expense over the vesting period.</w:t>
      </w:r>
    </w:p>
    <w:p>
      <w:pPr>
        <w:spacing w:after="0" w:line="18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27"/>
          </w:cols>
          <w:pgMar w:left="232" w:top="289" w:right="1440" w:bottom="1440" w:gutter="0" w:footer="0" w:header="0"/>
        </w:sectPr>
      </w:pPr>
    </w:p>
    <w:bookmarkStart w:id="116" w:name="page117"/>
    <w:bookmarkEnd w:id="116"/>
    <w:p>
      <w:pPr>
        <w:ind w:left="268"/>
        <w:spacing w:after="0"/>
        <w:rPr>
          <w:sz w:val="20"/>
          <w:szCs w:val="20"/>
          <w:color w:val="auto"/>
        </w:rPr>
      </w:pPr>
      <w:r>
        <w:rPr>
          <w:rFonts w:ascii="Courier New" w:cs="Courier New" w:eastAsia="Courier New" w:hAnsi="Courier New"/>
          <w:sz w:val="15"/>
          <w:szCs w:val="15"/>
          <w:color w:val="auto"/>
        </w:rPr>
        <w:t>116</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LEASE OBLIGATIONS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leases computer equipment and office furniture under capital leases expiring in various years through 1999. The assets and liabilities under capital leases are recorded at the lower of the present value of the minimum lease payments or the fair value of the asset. Depreciation of assets under capital leases is included in depreciation expense.</w:t>
      </w:r>
    </w:p>
    <w:p>
      <w:pPr>
        <w:spacing w:after="0" w:line="175"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Maturities of capital lease obligations are as follows as of December 31, 1998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$ 81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2"/>
        </w:trPr>
        <w:tc>
          <w:tcPr>
            <w:tcW w:w="544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lease obligations.....................................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amount representing interest..........................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544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 payments.....................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$ 99</w:t>
            </w:r>
          </w:p>
        </w:tc>
      </w:tr>
      <w:tr>
        <w:trPr>
          <w:trHeight w:val="172"/>
        </w:trPr>
        <w:tc>
          <w:tcPr>
            <w:tcW w:w="544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hanging="348"/>
        <w:spacing w:after="0"/>
        <w:tabs>
          <w:tab w:leader="none" w:pos="34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June 11, 1996, the Company entered into a noncancelable lease expiring on August 31, 2000 for 48,222 square feet of office space in Stamford, Connecticut. In connection therewith, the Company obtained a letter of credit in the initial amount of $362,000 as security for the lease. Minimum future rental payments due under such lease are $723,330 per year.</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 conjunction with the Intelicom acquisition of January 2, 1998, ITDS acquired from CSC two noncancelable leases expiring in August 2003 for 60,400 square feet of office space in Champaign, Illinois. The Company also leases Connecticut office facilities under a noncancelable operating lease expiring in April 1999. The Company recognizes rental expense on a straight line basis over the term of the lease. Rent expense was $1.6 million, $738,582 and $591,729 for the years ended December 31, 1998, 1997 and 1996, respectively.</w:t>
      </w:r>
    </w:p>
    <w:p>
      <w:pPr>
        <w:spacing w:after="0" w:line="177" w:lineRule="exact"/>
        <w:rPr>
          <w:sz w:val="20"/>
          <w:szCs w:val="20"/>
          <w:color w:val="auto"/>
        </w:rPr>
      </w:pPr>
    </w:p>
    <w:p>
      <w:pPr>
        <w:ind w:left="8" w:right="3439" w:firstLine="447"/>
        <w:spacing w:after="0"/>
        <w:rPr>
          <w:sz w:val="20"/>
          <w:szCs w:val="20"/>
          <w:color w:val="auto"/>
        </w:rPr>
      </w:pPr>
      <w:r>
        <w:rPr>
          <w:rFonts w:ascii="Courier New" w:cs="Courier New" w:eastAsia="Courier New" w:hAnsi="Courier New"/>
          <w:sz w:val="15"/>
          <w:szCs w:val="15"/>
          <w:color w:val="auto"/>
        </w:rPr>
        <w:t>Minimum future rental payments due under such leases as of December 31, 1998 are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1,734</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1,218</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1,218</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812</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6,984</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Less: sublease income.....................................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$6,919</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The Company is also obligated to pay utilities and property taxes above the landlords' base year costs.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has entered into employment contracts with various officers and other employees. The contracts expire in one to four years and require the Company to pay base compensation of approximately $2.1 million per year plus benefits. The contracts provide for</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27"/>
          </w:cols>
          <w:pgMar w:left="232" w:top="289" w:right="1440" w:bottom="1440" w:gutter="0" w:footer="0" w:header="0"/>
        </w:sectPr>
      </w:pPr>
    </w:p>
    <w:bookmarkStart w:id="117" w:name="page118"/>
    <w:bookmarkEnd w:id="117"/>
    <w:p>
      <w:pPr>
        <w:ind w:left="268"/>
        <w:spacing w:after="0"/>
        <w:rPr>
          <w:sz w:val="20"/>
          <w:szCs w:val="20"/>
          <w:color w:val="auto"/>
        </w:rPr>
      </w:pPr>
      <w:r>
        <w:rPr>
          <w:rFonts w:ascii="Courier New" w:cs="Courier New" w:eastAsia="Courier New" w:hAnsi="Courier New"/>
          <w:sz w:val="15"/>
          <w:szCs w:val="15"/>
          <w:color w:val="auto"/>
        </w:rPr>
        <w:t>117</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discretionary bonuses if approved by the Board of Directors. In addition, as of December 31, 1998, the Company has loans and advances to officers aggregating $374,750 (including $29,324 in interest), which is included in Accounts Receivable.</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maintains an employee savings plan that qualifies as a cash or deferred salary arrangement under Section 401(k) of the Internal Revenue Code. Under the plan, participating employees may defer up to 15% of their pre-tax compensation, but not more than $10,000 for 1998 and 1997 calendar years. The Company does not contribute to the plan.</w:t>
      </w:r>
    </w:p>
    <w:p>
      <w:pPr>
        <w:spacing w:after="0" w:line="174" w:lineRule="exact"/>
        <w:rPr>
          <w:sz w:val="20"/>
          <w:szCs w:val="20"/>
          <w:color w:val="auto"/>
        </w:rPr>
      </w:pPr>
    </w:p>
    <w:p>
      <w:pPr>
        <w:ind w:left="348" w:hanging="348"/>
        <w:spacing w:after="0"/>
        <w:tabs>
          <w:tab w:leader="none" w:pos="34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EXTRAORDINARY ITEM</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June 8, 1998, as a result of the follow-on offering described in Note 4, the Company retired the $70 million term loan and terminated the Hedge Agreement obtained in conjunction with the Intelicom acquisition (see Note 2). In connection with repaying the $70 million term loan and canceling the Hedge Agreement, the Company recorded an after tax extraordinary charge of $826,198.</w:t>
      </w:r>
    </w:p>
    <w:p>
      <w:pPr>
        <w:spacing w:after="0" w:line="174" w:lineRule="exact"/>
        <w:rPr>
          <w:sz w:val="20"/>
          <w:szCs w:val="20"/>
          <w:color w:val="auto"/>
        </w:rPr>
      </w:pPr>
    </w:p>
    <w:p>
      <w:pPr>
        <w:ind w:left="448" w:hanging="448"/>
        <w:spacing w:after="0"/>
        <w:tabs>
          <w:tab w:leader="none" w:pos="44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Significant components of income tax expense (benefit) before extraordinary item are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25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4920" w:type="dxa"/>
            <w:vAlign w:val="bottom"/>
          </w:tcPr>
          <w:p>
            <w:pPr>
              <w:spacing w:after="0"/>
              <w:rPr>
                <w:sz w:val="14"/>
                <w:szCs w:val="14"/>
                <w:color w:val="auto"/>
              </w:rPr>
            </w:pPr>
          </w:p>
        </w:tc>
        <w:tc>
          <w:tcPr>
            <w:tcW w:w="2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Federal.............................................</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$ 4,661</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382</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State...............................................</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669</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5,330</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Federal.............................................</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(6,007)</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437</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State...............................................</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(418)</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175</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(6,425)</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Total tax expense (benefit)...........................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$(1,095)</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$1,112</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A reconciliation of the applicable federal statutory rate to the Company's effective tax (benefit) rate from income before income tax expense and extraordinary item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Statutory rate..............................................</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income tax benefit.......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Meals and entertainment.....................................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(26.1)%</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ind w:left="3400"/>
              <w:spacing w:after="0"/>
              <w:rPr>
                <w:sz w:val="20"/>
                <w:szCs w:val="20"/>
                <w:color w:val="auto"/>
              </w:rPr>
            </w:pPr>
            <w:r>
              <w:rPr>
                <w:rFonts w:ascii="Courier New" w:cs="Courier New" w:eastAsia="Courier New" w:hAnsi="Courier New"/>
                <w:sz w:val="15"/>
                <w:szCs w:val="15"/>
                <w:color w:val="auto"/>
              </w:rPr>
              <w:t>F-45</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118" w:name="page119"/>
    <w:bookmarkEnd w:id="118"/>
    <w:p>
      <w:pPr>
        <w:ind w:left="268"/>
        <w:spacing w:after="0"/>
        <w:rPr>
          <w:sz w:val="20"/>
          <w:szCs w:val="20"/>
          <w:color w:val="auto"/>
        </w:rPr>
      </w:pPr>
      <w:r>
        <w:rPr>
          <w:rFonts w:ascii="Courier New" w:cs="Courier New" w:eastAsia="Courier New" w:hAnsi="Courier New"/>
          <w:sz w:val="15"/>
          <w:szCs w:val="15"/>
          <w:color w:val="auto"/>
        </w:rPr>
        <w:t>118</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Significant components of the Company's deferred tax assets and liabilities</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are as follows (in thousands):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180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280" w:type="dxa"/>
            <w:vAlign w:val="bottom"/>
          </w:tcPr>
          <w:p>
            <w:pPr>
              <w:spacing w:after="0"/>
              <w:rPr>
                <w:sz w:val="14"/>
                <w:szCs w:val="14"/>
                <w:color w:val="auto"/>
              </w:rPr>
            </w:pP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1997</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charges..........................................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1,623</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compensation......................................</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Reserve for doubtful accounts.............................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748</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Purchased software development costs......................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845</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 process research and development.......................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7,435</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deferred tax assets...................................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10,742</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1,056</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Software development costs................................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5,051</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1,966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Capitalized leases........................................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713</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537</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deferred tax liabilities..............................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5,764</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2,503</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deferred tax asset (liability)..........................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4,978</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$(1,447)</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8" w:hanging="448"/>
        <w:spacing w:after="0"/>
        <w:tabs>
          <w:tab w:leader="none" w:pos="44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April 2, 1998, the Company was served with a complaint in Connecticut Superior Court alleging that the Company had breached the terms of its employment contact with Alan K. Greene, the Company's former Chief Financial Officer, and breached other obligations to Greene. The Company intends to vigorously defend itself in the action and has filed a response to the claim and asserted a counterclaim against Mr. Greene. The parties are currently in the discovery phase of the litigation. In addition, on September 11, 1998, Mr. Greene filed an age discrimination suit against the Company in the Connecticut Commission on Human Rights and Opportunities and in the Equal Employment Opportunities Commission. The Company filed its Answer and Position Statement, disclaiming any liability relating to age discrimination, on November 5, 1998.</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addition, Intelicom, a wholly-owned subsidiary of the Company acquired in January 1998 from Computer Sciences Corporation ("CSC"), is party to litigation and has been threatened with litigation in connection with the operation of its business prior to its acquisition by the Company. Pursuant to the terms of the acquisition, CSC and certain of its affiliates are obligated to defend and indemnify the Company against any obligations arising out of such litigation or threatened litigation.</w:t>
      </w:r>
    </w:p>
    <w:p>
      <w:pPr>
        <w:spacing w:after="0" w:line="177" w:lineRule="exact"/>
        <w:rPr>
          <w:sz w:val="20"/>
          <w:szCs w:val="20"/>
          <w:color w:val="auto"/>
        </w:rPr>
      </w:pPr>
    </w:p>
    <w:p>
      <w:pPr>
        <w:jc w:val="both"/>
        <w:ind w:left="8" w:right="3339" w:firstLine="447"/>
        <w:spacing w:after="0" w:line="242" w:lineRule="auto"/>
        <w:rPr>
          <w:sz w:val="20"/>
          <w:szCs w:val="20"/>
          <w:color w:val="auto"/>
        </w:rPr>
      </w:pPr>
      <w:r>
        <w:rPr>
          <w:rFonts w:ascii="Courier New" w:cs="Courier New" w:eastAsia="Courier New" w:hAnsi="Courier New"/>
          <w:sz w:val="15"/>
          <w:szCs w:val="15"/>
          <w:color w:val="auto"/>
        </w:rPr>
        <w:t>The Company does not believe that any liabilities relating to any of the legal proceedings to which it is a party are likely to be, individually or in the aggregate, material to its consolidated financial position or results of operations.</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27"/>
          </w:cols>
          <w:pgMar w:left="232" w:top="289" w:right="1440" w:bottom="1440" w:gutter="0" w:footer="0" w:header="0"/>
        </w:sectPr>
      </w:pPr>
    </w:p>
    <w:bookmarkStart w:id="119" w:name="page120"/>
    <w:bookmarkEnd w:id="119"/>
    <w:p>
      <w:pPr>
        <w:ind w:left="268"/>
        <w:spacing w:after="0"/>
        <w:rPr>
          <w:sz w:val="20"/>
          <w:szCs w:val="20"/>
          <w:color w:val="auto"/>
        </w:rPr>
      </w:pPr>
      <w:r>
        <w:rPr>
          <w:rFonts w:ascii="Courier New" w:cs="Courier New" w:eastAsia="Courier New" w:hAnsi="Courier New"/>
          <w:sz w:val="15"/>
          <w:szCs w:val="15"/>
          <w:color w:val="auto"/>
        </w:rPr>
        <w:t>119</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hanging="448"/>
        <w:spacing w:after="0"/>
        <w:tabs>
          <w:tab w:leader="none" w:pos="44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RESULTS OF OPERATIONS (UNAUDITED)</w:t>
      </w:r>
    </w:p>
    <w:p>
      <w:pPr>
        <w:spacing w:after="0" w:line="176" w:lineRule="exact"/>
        <w:rPr>
          <w:sz w:val="20"/>
          <w:szCs w:val="20"/>
          <w:color w:val="auto"/>
        </w:rPr>
      </w:pPr>
    </w:p>
    <w:p>
      <w:pPr>
        <w:ind w:left="8" w:right="3599" w:firstLine="447"/>
        <w:spacing w:after="0" w:line="241" w:lineRule="auto"/>
        <w:rPr>
          <w:sz w:val="20"/>
          <w:szCs w:val="20"/>
          <w:color w:val="auto"/>
        </w:rPr>
      </w:pPr>
      <w:r>
        <w:rPr>
          <w:rFonts w:ascii="Courier New" w:cs="Courier New" w:eastAsia="Courier New" w:hAnsi="Courier New"/>
          <w:sz w:val="15"/>
          <w:szCs w:val="15"/>
          <w:color w:val="auto"/>
        </w:rPr>
        <w:t>The following is a tabulation of the unaudited quarterly results of operations for the two years ended December 31, 1998 (in thousands, except per-share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6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w w:val="97"/>
              </w:rPr>
              <w:t>THREE MONTHS ENDED</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660" w:type="dxa"/>
            <w:vAlign w:val="bottom"/>
          </w:tcPr>
          <w:p>
            <w:pPr>
              <w:spacing w:after="0"/>
              <w:rPr>
                <w:sz w:val="14"/>
                <w:szCs w:val="14"/>
                <w:color w:val="auto"/>
              </w:rPr>
            </w:pPr>
          </w:p>
        </w:tc>
        <w:tc>
          <w:tcPr>
            <w:tcW w:w="4120" w:type="dxa"/>
            <w:vAlign w:val="bottom"/>
            <w:gridSpan w:val="7"/>
          </w:tcPr>
          <w:p>
            <w:pPr>
              <w:jc w:val="right"/>
              <w:ind w:right="28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36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12/31/98</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9/30/98</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6/30/98</w:t>
            </w:r>
          </w:p>
        </w:tc>
        <w:tc>
          <w:tcPr>
            <w:tcW w:w="10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5"/>
              </w:rPr>
              <w:t>3/31/98</w:t>
            </w:r>
          </w:p>
        </w:tc>
      </w:tr>
      <w:tr>
        <w:trPr>
          <w:trHeight w:val="172"/>
        </w:trPr>
        <w:tc>
          <w:tcPr>
            <w:tcW w:w="36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$33,262</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$28,832</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$27,360</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$ 26,006</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6,308</w:t>
            </w:r>
          </w:p>
        </w:tc>
        <w:tc>
          <w:tcPr>
            <w:tcW w:w="12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6,003</w:t>
            </w:r>
          </w:p>
        </w:tc>
        <w:tc>
          <w:tcPr>
            <w:tcW w:w="140" w:type="dxa"/>
            <w:vAlign w:val="bottom"/>
          </w:tcPr>
          <w:p>
            <w:pPr>
              <w:spacing w:after="0"/>
              <w:rPr>
                <w:sz w:val="14"/>
                <w:szCs w:val="1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5,068</w:t>
            </w: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(20,384)</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Income before extraordinary loss.......</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4,095</w:t>
            </w:r>
          </w:p>
        </w:tc>
        <w:tc>
          <w:tcPr>
            <w:tcW w:w="12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3,877</w:t>
            </w:r>
          </w:p>
        </w:tc>
        <w:tc>
          <w:tcPr>
            <w:tcW w:w="140" w:type="dxa"/>
            <w:vAlign w:val="bottom"/>
          </w:tcPr>
          <w:p>
            <w:pPr>
              <w:spacing w:after="0"/>
              <w:rPr>
                <w:sz w:val="14"/>
                <w:szCs w:val="1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2,433</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13,505</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4,095</w:t>
            </w:r>
          </w:p>
        </w:tc>
        <w:tc>
          <w:tcPr>
            <w:tcW w:w="12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3,877</w:t>
            </w:r>
          </w:p>
        </w:tc>
        <w:tc>
          <w:tcPr>
            <w:tcW w:w="140" w:type="dxa"/>
            <w:vAlign w:val="bottom"/>
          </w:tcPr>
          <w:p>
            <w:pPr>
              <w:spacing w:after="0"/>
              <w:rPr>
                <w:sz w:val="14"/>
                <w:szCs w:val="1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1,607</w:t>
            </w: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(13,505)</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Basic income (loss) per share before</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0.24</w:t>
            </w:r>
          </w:p>
        </w:tc>
        <w:tc>
          <w:tcPr>
            <w:tcW w:w="12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0.22</w:t>
            </w:r>
          </w:p>
        </w:tc>
        <w:tc>
          <w:tcPr>
            <w:tcW w:w="140" w:type="dxa"/>
            <w:vAlign w:val="bottom"/>
          </w:tcPr>
          <w:p>
            <w:pPr>
              <w:spacing w:after="0"/>
              <w:rPr>
                <w:sz w:val="14"/>
                <w:szCs w:val="1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0.11</w:t>
            </w: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Diluted income (loss) per share before</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0.23</w:t>
            </w:r>
          </w:p>
        </w:tc>
        <w:tc>
          <w:tcPr>
            <w:tcW w:w="12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0.21</w:t>
            </w:r>
          </w:p>
        </w:tc>
        <w:tc>
          <w:tcPr>
            <w:tcW w:w="140" w:type="dxa"/>
            <w:vAlign w:val="bottom"/>
          </w:tcPr>
          <w:p>
            <w:pPr>
              <w:spacing w:after="0"/>
              <w:rPr>
                <w:sz w:val="14"/>
                <w:szCs w:val="1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0.11</w:t>
            </w: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w:t>
            </w:r>
          </w:p>
        </w:tc>
      </w:tr>
      <w:tr>
        <w:trPr>
          <w:trHeight w:val="860"/>
        </w:trPr>
        <w:tc>
          <w:tcPr>
            <w:tcW w:w="3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2"/>
        </w:trPr>
        <w:tc>
          <w:tcPr>
            <w:tcW w:w="3660" w:type="dxa"/>
            <w:vAlign w:val="bottom"/>
          </w:tcPr>
          <w:p>
            <w:pPr>
              <w:spacing w:after="0"/>
              <w:rPr>
                <w:sz w:val="14"/>
                <w:szCs w:val="14"/>
                <w:color w:val="auto"/>
              </w:rPr>
            </w:pPr>
          </w:p>
        </w:tc>
        <w:tc>
          <w:tcPr>
            <w:tcW w:w="412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12/31/97</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9/30/97</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6/30/97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3/31/97</w:t>
            </w:r>
          </w:p>
        </w:tc>
      </w:tr>
      <w:tr>
        <w:trPr>
          <w:trHeight w:val="172"/>
        </w:trPr>
        <w:tc>
          <w:tcPr>
            <w:tcW w:w="36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w w:val="91"/>
              </w:rPr>
              <w:t>Revenue.....................................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$6,758</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$6,039</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$5,362</w:t>
            </w:r>
          </w:p>
        </w:tc>
        <w:tc>
          <w:tcPr>
            <w:tcW w:w="80" w:type="dxa"/>
            <w:vAlign w:val="bottom"/>
          </w:tcPr>
          <w:p>
            <w:pPr>
              <w:spacing w:after="0"/>
              <w:rPr>
                <w:sz w:val="24"/>
                <w:szCs w:val="2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$5,270</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1"/>
              </w:rPr>
              <w:t>Operating income............................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2,027</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1,659</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1,421</w:t>
            </w:r>
          </w:p>
        </w:tc>
        <w:tc>
          <w:tcPr>
            <w:tcW w:w="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1,439</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1"/>
              </w:rPr>
              <w:t>Net income..................................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1,420</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1,240</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1,078</w:t>
            </w:r>
          </w:p>
        </w:tc>
        <w:tc>
          <w:tcPr>
            <w:tcW w:w="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1,062</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1"/>
              </w:rPr>
              <w:t>Basic net income per share..................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0.08</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1"/>
              </w:rPr>
              <w:t>Diluted net income per share................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0.08</w:t>
            </w:r>
          </w:p>
        </w:tc>
      </w:tr>
    </w:tbl>
    <w:p>
      <w:pPr>
        <w:spacing w:after="0" w:line="348" w:lineRule="exact"/>
        <w:rPr>
          <w:sz w:val="20"/>
          <w:szCs w:val="20"/>
          <w:color w:val="auto"/>
        </w:rPr>
      </w:pPr>
    </w:p>
    <w:p>
      <w:pPr>
        <w:jc w:val="both"/>
        <w:ind w:left="8" w:right="3339" w:firstLine="447"/>
        <w:spacing w:after="0" w:line="241" w:lineRule="auto"/>
        <w:rPr>
          <w:sz w:val="20"/>
          <w:szCs w:val="20"/>
          <w:color w:val="auto"/>
        </w:rPr>
      </w:pPr>
      <w:r>
        <w:rPr>
          <w:rFonts w:ascii="Courier New" w:cs="Courier New" w:eastAsia="Courier New" w:hAnsi="Courier New"/>
          <w:sz w:val="15"/>
          <w:szCs w:val="15"/>
          <w:color w:val="auto"/>
        </w:rPr>
        <w:t>The sum of the quarters' net income per share do not equal the full year per-share amounts due to differences resulting from changes in the number of shares of Common Stock outstanding.</w:t>
      </w:r>
    </w:p>
    <w:p>
      <w:pPr>
        <w:spacing w:after="0" w:line="176" w:lineRule="exact"/>
        <w:rPr>
          <w:sz w:val="20"/>
          <w:szCs w:val="20"/>
          <w:color w:val="auto"/>
        </w:rPr>
      </w:pPr>
    </w:p>
    <w:p>
      <w:pPr>
        <w:ind w:left="8" w:right="3259" w:firstLine="447"/>
        <w:spacing w:after="0" w:line="265" w:lineRule="auto"/>
        <w:rPr>
          <w:sz w:val="20"/>
          <w:szCs w:val="20"/>
          <w:color w:val="auto"/>
        </w:rPr>
      </w:pPr>
      <w:r>
        <w:rPr>
          <w:rFonts w:ascii="Courier New" w:cs="Courier New" w:eastAsia="Courier New" w:hAnsi="Courier New"/>
          <w:sz w:val="14"/>
          <w:szCs w:val="14"/>
          <w:color w:val="auto"/>
        </w:rPr>
        <w:t>Excluding non-recurring in-process research and development and personnel and indirect acquisition costs associated with the Company's January 2, 1998 acquisition of Intelicom and the extraordinary loss, earnings for the quarter ended March 31, 1998 were $2 million or $.14 per pro forma diluted share.</w:t>
      </w:r>
    </w:p>
    <w:p>
      <w:pPr>
        <w:spacing w:after="0" w:line="158" w:lineRule="exact"/>
        <w:rPr>
          <w:sz w:val="20"/>
          <w:szCs w:val="20"/>
          <w:color w:val="auto"/>
        </w:rPr>
      </w:pPr>
    </w:p>
    <w:p>
      <w:pPr>
        <w:ind w:left="448" w:hanging="448"/>
        <w:spacing w:after="0"/>
        <w:tabs>
          <w:tab w:leader="none" w:pos="44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w:t>
      </w:r>
    </w:p>
    <w:p>
      <w:pPr>
        <w:spacing w:after="0" w:line="176" w:lineRule="exact"/>
        <w:rPr>
          <w:sz w:val="20"/>
          <w:szCs w:val="20"/>
          <w:color w:val="auto"/>
        </w:rPr>
      </w:pPr>
    </w:p>
    <w:p>
      <w:pPr>
        <w:jc w:val="both"/>
        <w:ind w:left="8" w:right="3259" w:firstLine="447"/>
        <w:spacing w:after="0" w:line="267" w:lineRule="auto"/>
        <w:rPr>
          <w:sz w:val="20"/>
          <w:szCs w:val="20"/>
          <w:color w:val="auto"/>
        </w:rPr>
      </w:pPr>
      <w:r>
        <w:rPr>
          <w:rFonts w:ascii="Courier New" w:cs="Courier New" w:eastAsia="Courier New" w:hAnsi="Courier New"/>
          <w:sz w:val="14"/>
          <w:szCs w:val="14"/>
          <w:color w:val="auto"/>
        </w:rPr>
        <w:t>On February 8, 1999, the Company announced that it had formed a strategic alliance with Novazen Inc. to include internet-based billing and customer care software in the Company's proprietary suits or products and services.</w:t>
      </w:r>
    </w:p>
    <w:p>
      <w:pPr>
        <w:spacing w:after="0" w:line="159" w:lineRule="exact"/>
        <w:rPr>
          <w:sz w:val="20"/>
          <w:szCs w:val="20"/>
          <w:color w:val="auto"/>
        </w:rPr>
      </w:pPr>
    </w:p>
    <w:p>
      <w:pPr>
        <w:jc w:val="both"/>
        <w:ind w:left="8" w:right="3079" w:firstLine="447"/>
        <w:spacing w:after="0" w:line="267" w:lineRule="auto"/>
        <w:rPr>
          <w:sz w:val="20"/>
          <w:szCs w:val="20"/>
          <w:color w:val="auto"/>
        </w:rPr>
      </w:pPr>
      <w:r>
        <w:rPr>
          <w:rFonts w:ascii="Courier New" w:cs="Courier New" w:eastAsia="Courier New" w:hAnsi="Courier New"/>
          <w:sz w:val="14"/>
          <w:szCs w:val="14"/>
          <w:color w:val="auto"/>
        </w:rPr>
        <w:t>On March 24, 1999, the Board of Directors approved a stock buy-back program of up to $10 million. The purchased shares will be used for the Company's stock incentive plans, employee stock purchase plan and other corporate purposes.</w:t>
      </w:r>
    </w:p>
    <w:p>
      <w:pPr>
        <w:spacing w:after="0" w:line="15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27"/>
          </w:cols>
          <w:pgMar w:left="232" w:top="289"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120</w:t>
      </w:r>
    </w:p>
    <w:p>
      <w:pPr>
        <w:spacing w:after="0" w:line="17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INTERNATIONAL TELECOMMUNICATION DATA SYSTEMS, INC. AND SUBSIDIARIES</w:t>
      </w:r>
    </w:p>
    <w:p>
      <w:pPr>
        <w:spacing w:after="0" w:line="18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8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8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$ 39,617</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 of allowances for doubtful</w:t>
            </w:r>
          </w:p>
        </w:tc>
        <w:tc>
          <w:tcPr>
            <w:tcW w:w="10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of $2,133.....................................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36,034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4,611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884</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assets........................................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81,146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08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Computers, including leased property under capital leases</w:t>
            </w:r>
          </w:p>
        </w:tc>
        <w:tc>
          <w:tcPr>
            <w:tcW w:w="10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$1,150..............................................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11,011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Furniture and fixtures....................................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Equipment, including leased property under capital leases</w:t>
            </w:r>
          </w:p>
        </w:tc>
        <w:tc>
          <w:tcPr>
            <w:tcW w:w="10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$54.................................................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1,750</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15,802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7,108</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8,694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0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Goodwill -- net of accumulated amortization of $4,741.....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46,526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Product development costs-at cost, net of accumulated</w:t>
            </w:r>
          </w:p>
        </w:tc>
        <w:tc>
          <w:tcPr>
            <w:tcW w:w="10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$8,747.................................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23,120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2,276</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74,701</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assets................................................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$164,541</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19"/>
          </w:cols>
          <w:pgMar w:left="240" w:top="289"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121</w:t>
      </w:r>
    </w:p>
    <w:p>
      <w:pPr>
        <w:spacing w:after="0" w:line="17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INTERNATIONAL TELECOMMUNICATION DATA SYSTEMS, INC. AND SUBSIDIARIES</w:t>
      </w:r>
    </w:p>
    <w:p>
      <w:pPr>
        <w:spacing w:after="0" w:line="18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18"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JUNE 30,</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1999</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AND STOCKHOLDERS' EQUITY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liabilities:</w:t>
      </w:r>
    </w:p>
    <w:p>
      <w:pPr>
        <w:spacing w:after="0" w:line="2" w:lineRule="exact"/>
        <w:rPr>
          <w:sz w:val="20"/>
          <w:szCs w:val="20"/>
          <w:color w:val="auto"/>
        </w:rPr>
      </w:pPr>
    </w:p>
    <w:p>
      <w:pPr>
        <w:ind w:left="180"/>
        <w:spacing w:after="0"/>
        <w:tabs>
          <w:tab w:leader="dot" w:pos="5600" w:val="left"/>
        </w:tabs>
        <w:rPr>
          <w:sz w:val="20"/>
          <w:szCs w:val="20"/>
          <w:color w:val="auto"/>
        </w:rPr>
      </w:pPr>
      <w:r>
        <w:rPr>
          <w:rFonts w:ascii="Courier New" w:cs="Courier New" w:eastAsia="Courier New" w:hAnsi="Courier New"/>
          <w:sz w:val="15"/>
          <w:szCs w:val="15"/>
          <w:color w:val="auto"/>
        </w:rPr>
        <w:t>Accounts payable</w:t>
      </w:r>
      <w:r>
        <w:rPr>
          <w:sz w:val="20"/>
          <w:szCs w:val="20"/>
          <w:color w:val="auto"/>
        </w:rPr>
        <w:tab/>
      </w:r>
      <w:r>
        <w:rPr>
          <w:rFonts w:ascii="Courier New" w:cs="Courier New" w:eastAsia="Courier New" w:hAnsi="Courier New"/>
          <w:sz w:val="14"/>
          <w:szCs w:val="14"/>
          <w:color w:val="auto"/>
        </w:rPr>
        <w:t>$ 11,164</w:t>
      </w:r>
    </w:p>
    <w:p>
      <w:pPr>
        <w:spacing w:after="0" w:line="2" w:lineRule="exact"/>
        <w:rPr>
          <w:sz w:val="20"/>
          <w:szCs w:val="20"/>
          <w:color w:val="auto"/>
        </w:rPr>
      </w:pPr>
    </w:p>
    <w:p>
      <w:pPr>
        <w:ind w:left="180"/>
        <w:spacing w:after="0"/>
        <w:tabs>
          <w:tab w:leader="dot" w:pos="5880" w:val="left"/>
        </w:tabs>
        <w:rPr>
          <w:sz w:val="20"/>
          <w:szCs w:val="20"/>
          <w:color w:val="auto"/>
        </w:rPr>
      </w:pPr>
      <w:r>
        <w:rPr>
          <w:rFonts w:ascii="Courier New" w:cs="Courier New" w:eastAsia="Courier New" w:hAnsi="Courier New"/>
          <w:sz w:val="15"/>
          <w:szCs w:val="15"/>
          <w:color w:val="auto"/>
        </w:rPr>
        <w:t>Accrued expenses and income taxes payable</w:t>
      </w:r>
      <w:r>
        <w:rPr>
          <w:sz w:val="20"/>
          <w:szCs w:val="20"/>
          <w:color w:val="auto"/>
        </w:rPr>
        <w:tab/>
      </w:r>
      <w:r>
        <w:rPr>
          <w:rFonts w:ascii="Courier New" w:cs="Courier New" w:eastAsia="Courier New" w:hAnsi="Courier New"/>
          <w:sz w:val="14"/>
          <w:szCs w:val="14"/>
          <w:color w:val="auto"/>
        </w:rPr>
        <w:t>3,289</w:t>
      </w:r>
    </w:p>
    <w:p>
      <w:pPr>
        <w:spacing w:after="0" w:line="2" w:lineRule="exact"/>
        <w:rPr>
          <w:sz w:val="20"/>
          <w:szCs w:val="20"/>
          <w:color w:val="auto"/>
        </w:rPr>
      </w:pPr>
    </w:p>
    <w:p>
      <w:pPr>
        <w:ind w:left="180"/>
        <w:spacing w:after="0"/>
        <w:tabs>
          <w:tab w:leader="dot" w:pos="5880" w:val="left"/>
        </w:tabs>
        <w:rPr>
          <w:sz w:val="20"/>
          <w:szCs w:val="20"/>
          <w:color w:val="auto"/>
        </w:rPr>
      </w:pPr>
      <w:r>
        <w:rPr>
          <w:rFonts w:ascii="Courier New" w:cs="Courier New" w:eastAsia="Courier New" w:hAnsi="Courier New"/>
          <w:sz w:val="15"/>
          <w:szCs w:val="15"/>
          <w:color w:val="auto"/>
        </w:rPr>
        <w:t>Accrued compensation</w:t>
      </w:r>
      <w:r>
        <w:rPr>
          <w:sz w:val="20"/>
          <w:szCs w:val="20"/>
          <w:color w:val="auto"/>
        </w:rPr>
        <w:tab/>
      </w:r>
      <w:r>
        <w:rPr>
          <w:rFonts w:ascii="Courier New" w:cs="Courier New" w:eastAsia="Courier New" w:hAnsi="Courier New"/>
          <w:sz w:val="14"/>
          <w:szCs w:val="14"/>
          <w:color w:val="auto"/>
        </w:rPr>
        <w:t>2,469</w:t>
      </w:r>
    </w:p>
    <w:p>
      <w:pPr>
        <w:spacing w:after="0" w:line="2" w:lineRule="exact"/>
        <w:rPr>
          <w:sz w:val="20"/>
          <w:szCs w:val="20"/>
          <w:color w:val="auto"/>
        </w:rPr>
      </w:pPr>
    </w:p>
    <w:p>
      <w:pPr>
        <w:ind w:left="620"/>
        <w:spacing w:after="0"/>
        <w:tabs>
          <w:tab w:leader="dot" w:pos="5880" w:val="left"/>
        </w:tabs>
        <w:rPr>
          <w:sz w:val="20"/>
          <w:szCs w:val="20"/>
          <w:color w:val="auto"/>
        </w:rPr>
      </w:pPr>
      <w:r>
        <w:rPr>
          <w:rFonts w:ascii="Courier New" w:cs="Courier New" w:eastAsia="Courier New" w:hAnsi="Courier New"/>
          <w:sz w:val="15"/>
          <w:szCs w:val="15"/>
          <w:color w:val="auto"/>
        </w:rPr>
        <w:t>Customer advances and deferred revenue</w:t>
      </w:r>
      <w:r>
        <w:rPr>
          <w:sz w:val="20"/>
          <w:szCs w:val="20"/>
          <w:color w:val="auto"/>
        </w:rPr>
        <w:tab/>
      </w:r>
      <w:r>
        <w:rPr>
          <w:rFonts w:ascii="Courier New" w:cs="Courier New" w:eastAsia="Courier New" w:hAnsi="Courier New"/>
          <w:sz w:val="14"/>
          <w:szCs w:val="14"/>
          <w:color w:val="auto"/>
        </w:rPr>
        <w:t>5,171</w:t>
      </w:r>
    </w:p>
    <w:p>
      <w:pPr>
        <w:spacing w:after="0" w:line="2" w:lineRule="exact"/>
        <w:rPr>
          <w:sz w:val="20"/>
          <w:szCs w:val="20"/>
          <w:color w:val="auto"/>
        </w:rPr>
      </w:pPr>
    </w:p>
    <w:p>
      <w:pPr>
        <w:ind w:left="180"/>
        <w:spacing w:after="0"/>
        <w:tabs>
          <w:tab w:leader="dot" w:pos="6140" w:val="left"/>
        </w:tabs>
        <w:rPr>
          <w:sz w:val="20"/>
          <w:szCs w:val="20"/>
          <w:color w:val="auto"/>
        </w:rPr>
      </w:pPr>
      <w:r>
        <w:rPr>
          <w:rFonts w:ascii="Courier New" w:cs="Courier New" w:eastAsia="Courier New" w:hAnsi="Courier New"/>
          <w:sz w:val="15"/>
          <w:szCs w:val="15"/>
          <w:color w:val="auto"/>
        </w:rPr>
        <w:t>Current maturities of capital lease obligations</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ind w:left="180"/>
        <w:spacing w:after="0"/>
        <w:tabs>
          <w:tab w:leader="dot" w:pos="606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298</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dot" w:pos="5780" w:val="left"/>
        </w:tabs>
        <w:rPr>
          <w:sz w:val="20"/>
          <w:szCs w:val="20"/>
          <w:color w:val="auto"/>
        </w:rPr>
      </w:pPr>
      <w:r>
        <w:rPr>
          <w:rFonts w:ascii="Courier New" w:cs="Courier New" w:eastAsia="Courier New" w:hAnsi="Courier New"/>
          <w:sz w:val="15"/>
          <w:szCs w:val="15"/>
          <w:color w:val="auto"/>
        </w:rPr>
        <w:t>Total current liabilities</w:t>
      </w:r>
      <w:r>
        <w:rPr>
          <w:sz w:val="20"/>
          <w:szCs w:val="20"/>
          <w:color w:val="auto"/>
        </w:rPr>
        <w:tab/>
      </w:r>
      <w:r>
        <w:rPr>
          <w:rFonts w:ascii="Courier New" w:cs="Courier New" w:eastAsia="Courier New" w:hAnsi="Courier New"/>
          <w:sz w:val="15"/>
          <w:szCs w:val="15"/>
          <w:color w:val="auto"/>
        </w:rPr>
        <w:t>22,411</w:t>
      </w:r>
    </w:p>
    <w:p>
      <w:pPr>
        <w:spacing w:after="0" w:line="2" w:lineRule="exact"/>
        <w:rPr>
          <w:sz w:val="20"/>
          <w:szCs w:val="20"/>
          <w:color w:val="auto"/>
        </w:rPr>
      </w:pPr>
    </w:p>
    <w:p>
      <w:pPr>
        <w:spacing w:after="0"/>
        <w:tabs>
          <w:tab w:leader="dot" w:pos="6140" w:val="left"/>
        </w:tabs>
        <w:rPr>
          <w:sz w:val="20"/>
          <w:szCs w:val="20"/>
          <w:color w:val="auto"/>
        </w:rPr>
      </w:pPr>
      <w:r>
        <w:rPr>
          <w:rFonts w:ascii="Courier New" w:cs="Courier New" w:eastAsia="Courier New" w:hAnsi="Courier New"/>
          <w:sz w:val="15"/>
          <w:szCs w:val="15"/>
          <w:color w:val="auto"/>
        </w:rPr>
        <w:t>Capital lease obligations</w:t>
      </w:r>
      <w:r>
        <w:rPr>
          <w:sz w:val="20"/>
          <w:szCs w:val="20"/>
          <w:color w:val="auto"/>
        </w:rPr>
        <w:tab/>
      </w:r>
      <w:r>
        <w:rPr>
          <w:rFonts w:ascii="Courier New" w:cs="Courier New" w:eastAsia="Courier New" w:hAnsi="Courier New"/>
          <w:sz w:val="15"/>
          <w:szCs w:val="15"/>
          <w:color w:val="auto"/>
        </w:rPr>
        <w:t>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EQUITY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 $0.01 par value; 40,000 shares authorized,</w:t>
      </w:r>
    </w:p>
    <w:p>
      <w:pPr>
        <w:spacing w:after="0" w:line="2" w:lineRule="exact"/>
        <w:rPr>
          <w:sz w:val="20"/>
          <w:szCs w:val="20"/>
          <w:color w:val="auto"/>
        </w:rPr>
      </w:pPr>
    </w:p>
    <w:p>
      <w:pPr>
        <w:ind w:left="440"/>
        <w:spacing w:after="0"/>
        <w:tabs>
          <w:tab w:leader="dot" w:pos="6060" w:val="left"/>
        </w:tabs>
        <w:rPr>
          <w:sz w:val="20"/>
          <w:szCs w:val="20"/>
          <w:color w:val="auto"/>
        </w:rPr>
      </w:pPr>
      <w:r>
        <w:rPr>
          <w:rFonts w:ascii="Courier New" w:cs="Courier New" w:eastAsia="Courier New" w:hAnsi="Courier New"/>
          <w:sz w:val="15"/>
          <w:szCs w:val="15"/>
          <w:color w:val="auto"/>
        </w:rPr>
        <w:t>17,379 issued and outstanding</w:t>
      </w:r>
      <w:r>
        <w:rPr>
          <w:sz w:val="20"/>
          <w:szCs w:val="20"/>
          <w:color w:val="auto"/>
        </w:rPr>
        <w:tab/>
      </w:r>
      <w:r>
        <w:rPr>
          <w:rFonts w:ascii="Courier New" w:cs="Courier New" w:eastAsia="Courier New" w:hAnsi="Courier New"/>
          <w:sz w:val="14"/>
          <w:szCs w:val="14"/>
          <w:color w:val="auto"/>
        </w:rPr>
        <w:t>174</w:t>
      </w:r>
    </w:p>
    <w:p>
      <w:pPr>
        <w:spacing w:after="0" w:line="2" w:lineRule="exact"/>
        <w:rPr>
          <w:sz w:val="20"/>
          <w:szCs w:val="20"/>
          <w:color w:val="auto"/>
        </w:rPr>
      </w:pPr>
    </w:p>
    <w:p>
      <w:pPr>
        <w:ind w:left="180"/>
        <w:spacing w:after="0"/>
        <w:tabs>
          <w:tab w:leader="dot" w:pos="5780" w:val="left"/>
        </w:tabs>
        <w:rPr>
          <w:sz w:val="20"/>
          <w:szCs w:val="20"/>
          <w:color w:val="auto"/>
        </w:rPr>
      </w:pPr>
      <w:r>
        <w:rPr>
          <w:rFonts w:ascii="Courier New" w:cs="Courier New" w:eastAsia="Courier New" w:hAnsi="Courier New"/>
          <w:sz w:val="15"/>
          <w:szCs w:val="15"/>
          <w:color w:val="auto"/>
        </w:rPr>
        <w:t>Treasury stock, 91,500 shares at cost</w:t>
      </w:r>
      <w:r>
        <w:rPr>
          <w:sz w:val="20"/>
          <w:szCs w:val="20"/>
          <w:color w:val="auto"/>
        </w:rPr>
        <w:tab/>
      </w:r>
      <w:r>
        <w:rPr>
          <w:rFonts w:ascii="Courier New" w:cs="Courier New" w:eastAsia="Courier New" w:hAnsi="Courier New"/>
          <w:sz w:val="15"/>
          <w:szCs w:val="15"/>
          <w:color w:val="auto"/>
        </w:rPr>
        <w:t>(1,180)</w:t>
      </w:r>
    </w:p>
    <w:p>
      <w:pPr>
        <w:spacing w:after="0" w:line="2" w:lineRule="exact"/>
        <w:rPr>
          <w:sz w:val="20"/>
          <w:szCs w:val="20"/>
          <w:color w:val="auto"/>
        </w:rPr>
      </w:pPr>
    </w:p>
    <w:p>
      <w:pPr>
        <w:ind w:left="180"/>
        <w:spacing w:after="0"/>
        <w:tabs>
          <w:tab w:leader="dot" w:pos="5700" w:val="left"/>
        </w:tabs>
        <w:rPr>
          <w:sz w:val="20"/>
          <w:szCs w:val="20"/>
          <w:color w:val="auto"/>
        </w:rPr>
      </w:pPr>
      <w:r>
        <w:rPr>
          <w:rFonts w:ascii="Courier New" w:cs="Courier New" w:eastAsia="Courier New" w:hAnsi="Courier New"/>
          <w:sz w:val="15"/>
          <w:szCs w:val="15"/>
          <w:color w:val="auto"/>
        </w:rPr>
        <w:t>Additional paid-in capital</w:t>
      </w:r>
      <w:r>
        <w:rPr>
          <w:sz w:val="20"/>
          <w:szCs w:val="20"/>
          <w:color w:val="auto"/>
        </w:rPr>
        <w:tab/>
      </w:r>
      <w:r>
        <w:rPr>
          <w:rFonts w:ascii="Courier New" w:cs="Courier New" w:eastAsia="Courier New" w:hAnsi="Courier New"/>
          <w:sz w:val="14"/>
          <w:szCs w:val="14"/>
          <w:color w:val="auto"/>
        </w:rPr>
        <w:t>142,386</w:t>
      </w:r>
    </w:p>
    <w:p>
      <w:pPr>
        <w:spacing w:after="0" w:line="2" w:lineRule="exact"/>
        <w:rPr>
          <w:sz w:val="20"/>
          <w:szCs w:val="20"/>
          <w:color w:val="auto"/>
        </w:rPr>
      </w:pPr>
    </w:p>
    <w:p>
      <w:pPr>
        <w:ind w:left="180"/>
        <w:spacing w:after="0"/>
        <w:tabs>
          <w:tab w:leader="dot" w:pos="6060" w:val="left"/>
        </w:tabs>
        <w:rPr>
          <w:sz w:val="20"/>
          <w:szCs w:val="20"/>
          <w:color w:val="auto"/>
        </w:rPr>
      </w:pPr>
      <w:r>
        <w:rPr>
          <w:rFonts w:ascii="Courier New" w:cs="Courier New" w:eastAsia="Courier New" w:hAnsi="Courier New"/>
          <w:sz w:val="15"/>
          <w:szCs w:val="15"/>
          <w:color w:val="auto"/>
        </w:rPr>
        <w:t>Retained earnings</w:t>
      </w:r>
      <w:r>
        <w:rPr>
          <w:sz w:val="20"/>
          <w:szCs w:val="20"/>
          <w:color w:val="auto"/>
        </w:rPr>
        <w:tab/>
      </w:r>
      <w:r>
        <w:rPr>
          <w:rFonts w:ascii="Courier New" w:cs="Courier New" w:eastAsia="Courier New" w:hAnsi="Courier New"/>
          <w:sz w:val="14"/>
          <w:szCs w:val="14"/>
          <w:color w:val="auto"/>
        </w:rPr>
        <w:t>762</w:t>
      </w:r>
    </w:p>
    <w:p>
      <w:pPr>
        <w:spacing w:after="0" w:line="2" w:lineRule="exact"/>
        <w:rPr>
          <w:sz w:val="20"/>
          <w:szCs w:val="20"/>
          <w:color w:val="auto"/>
        </w:rPr>
      </w:pPr>
    </w:p>
    <w:p>
      <w:pPr>
        <w:ind w:left="180"/>
        <w:spacing w:after="0"/>
        <w:tabs>
          <w:tab w:leader="dot" w:pos="6060" w:val="left"/>
        </w:tabs>
        <w:rPr>
          <w:sz w:val="20"/>
          <w:szCs w:val="20"/>
          <w:color w:val="auto"/>
        </w:rPr>
      </w:pPr>
      <w:r>
        <w:rPr>
          <w:rFonts w:ascii="Courier New" w:cs="Courier New" w:eastAsia="Courier New" w:hAnsi="Courier New"/>
          <w:sz w:val="15"/>
          <w:szCs w:val="15"/>
          <w:color w:val="auto"/>
        </w:rPr>
        <w:t>Unearned compensation</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dot" w:pos="5700" w:val="left"/>
        </w:tabs>
        <w:rPr>
          <w:sz w:val="20"/>
          <w:szCs w:val="20"/>
          <w:color w:val="auto"/>
        </w:rPr>
      </w:pPr>
      <w:r>
        <w:rPr>
          <w:rFonts w:ascii="Courier New" w:cs="Courier New" w:eastAsia="Courier New" w:hAnsi="Courier New"/>
          <w:sz w:val="15"/>
          <w:szCs w:val="15"/>
          <w:color w:val="auto"/>
        </w:rPr>
        <w:t>Total stockholders' equity</w:t>
      </w:r>
      <w:r>
        <w:rPr>
          <w:sz w:val="20"/>
          <w:szCs w:val="20"/>
          <w:color w:val="auto"/>
        </w:rPr>
        <w:tab/>
      </w:r>
      <w:r>
        <w:rPr>
          <w:rFonts w:ascii="Courier New" w:cs="Courier New" w:eastAsia="Courier New" w:hAnsi="Courier New"/>
          <w:sz w:val="14"/>
          <w:szCs w:val="14"/>
          <w:color w:val="auto"/>
        </w:rPr>
        <w:t>142,109</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dot" w:pos="5600" w:val="left"/>
        </w:tabs>
        <w:rPr>
          <w:sz w:val="20"/>
          <w:szCs w:val="20"/>
          <w:color w:val="auto"/>
        </w:rPr>
      </w:pPr>
      <w:r>
        <w:rPr>
          <w:rFonts w:ascii="Courier New" w:cs="Courier New" w:eastAsia="Courier New" w:hAnsi="Courier New"/>
          <w:sz w:val="15"/>
          <w:szCs w:val="15"/>
          <w:color w:val="auto"/>
        </w:rPr>
        <w:t>Total liabilities and stockholders' equity</w:t>
      </w:r>
      <w:r>
        <w:rPr>
          <w:sz w:val="20"/>
          <w:szCs w:val="20"/>
          <w:color w:val="auto"/>
        </w:rPr>
        <w:tab/>
      </w:r>
      <w:r>
        <w:rPr>
          <w:rFonts w:ascii="Courier New" w:cs="Courier New" w:eastAsia="Courier New" w:hAnsi="Courier New"/>
          <w:sz w:val="15"/>
          <w:szCs w:val="15"/>
          <w:color w:val="auto"/>
        </w:rPr>
        <w:t>$164,541</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19"/>
          </w:cols>
          <w:pgMar w:left="240" w:top="289"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122</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8"/>
              </w:rPr>
              <w:t>SIX MONTHS ENDED</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1999</w:t>
            </w:r>
          </w:p>
        </w:tc>
        <w:tc>
          <w:tcPr>
            <w:tcW w:w="22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Revenue.....................................................</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$68,623</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$ 53,366</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26,100</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20,782</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General, administrative and selling expenses..............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11,423</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9,961</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6,443</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5,108</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Systems development and programming costs.................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10,888</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7,318</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Personnel and indirect acquisition costs..................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4,713</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In-process research and development.......................</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20,800</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54,854</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68,682</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Operating income (loss).....................................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13,769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(15,316)</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Foreign currency loss.......................................</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Other income................................................</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913</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429</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Interest expense............................................</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(2,649)</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 income tax expense (benefit) and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14,329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(17,536)</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Income tax expense (benefit)................................</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5,615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(6,464)</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Income (loss) before extraordinary item.....................</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(11,072)</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Extraordinary loss (net of $562 tax benefit)................</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826</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Net Income (loss)...........................................</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$ 8,714</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$(11,898)</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per common share --</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Income (loss) before extraordinary item.....................</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Extraordinary loss..........................................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 basic income (loss) per common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share.....................................................</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17,315</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13,913</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per common share --</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Income (loss) before extraordinary item.....................</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Extraordinary loss..........................................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 diluted income (loss) per common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share.....................................................</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17,683</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13,913</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19"/>
          </w:cols>
          <w:pgMar w:left="240" w:top="289"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123</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5440" w:type="dxa"/>
            <w:vAlign w:val="bottom"/>
          </w:tcPr>
          <w:p>
            <w:pPr>
              <w:spacing w:after="0"/>
              <w:rPr>
                <w:sz w:val="14"/>
                <w:szCs w:val="14"/>
                <w:color w:val="auto"/>
              </w:rPr>
            </w:pPr>
          </w:p>
        </w:tc>
        <w:tc>
          <w:tcPr>
            <w:tcW w:w="19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8,714</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$(11,898)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before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 to net cash provided (used) by</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Write off of in-process research and development..........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20,800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6,443</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5,208</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(7,446)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unearned compensation.....................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(1,321)</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(15,141)</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(2,753)</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Customer advances and deferred revenue.................</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 accrued expenses and accrued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5,428</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Other assets and liabilities, net......................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1,543</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cash provided (used) by operating activities............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13,775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(1,126)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(2,615)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(1,758)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Investment in software/business alliance....................</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(2,036)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Purchase of Intelicom.......................................</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(6,000)</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(73,832)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Product development costs...................................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(3,727)</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(3,693)</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cash used for investing activities......................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(14,378)</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(79,283)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Principal payment of long-term debt.........................</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(70,118)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long term debt................................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Treasury stock..............................................</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(1,180)</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sale of common stock..........................</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724</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84,510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Financing fee related to acquisition........................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(1,483)</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cash (used for) provided by financing activities........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82,909</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40,735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28,967</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$ 39,617</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$ 31,467</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paid during the period for 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paid during the period for 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SUPPLEMENTAL DISCLOSURE OF NONCASH INVESTING AND FINANCIAL</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 1998, the Company issued 606 shares of its common stock,</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valued at $10,000, to CSC as partial financing of the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ITDS Intelicom Services, Inc.</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219"/>
          </w:cols>
          <w:pgMar w:left="240" w:top="289" w:right="1440" w:bottom="1440" w:gutter="0" w:footer="0" w:header="0"/>
        </w:sectPr>
      </w:pPr>
    </w:p>
    <w:bookmarkStart w:id="124" w:name="page125"/>
    <w:bookmarkEnd w:id="124"/>
    <w:p>
      <w:pPr>
        <w:ind w:left="268"/>
        <w:spacing w:after="0"/>
        <w:rPr>
          <w:sz w:val="20"/>
          <w:szCs w:val="20"/>
          <w:color w:val="auto"/>
        </w:rPr>
      </w:pPr>
      <w:r>
        <w:rPr>
          <w:rFonts w:ascii="Courier New" w:cs="Courier New" w:eastAsia="Courier New" w:hAnsi="Courier New"/>
          <w:sz w:val="15"/>
          <w:szCs w:val="15"/>
          <w:color w:val="auto"/>
        </w:rPr>
        <w:t>124</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348" w:hanging="348"/>
        <w:spacing w:after="0"/>
        <w:tabs>
          <w:tab w:leader="none" w:pos="3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six month periods ended June 30, 1999 are not necessarily indicative of the results that may be expected for the year ended December 31, 1999.</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CONSOLIDATION</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wholly-owned subsidiaries. All significant intercompany accounts and transactions have been eliminated.</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January 2, 1998, the Company acquired a subsidiary of Computer Sciences Corporation ("CSC"), a provider of billing and customer care software, by acquiring all of the outstanding Capital Stock of CSC Intelicom Inc. (now known as ITDS Intelicom Services, Inc.) ("Intelicom"). This acquisition was accounted for using the purchase method of accounting. The purchase price, after working capital adjustments of approximately $14.2 million, aggregated $83.7 million, before direct costs of approximately $1.2 million and consisted of 606,673 shares of Common Stock of the Company valued at $10 million (before registration costs of $100,000) and $73.8 million in cash. In addition, the Company made a $6 million payment in January 1999, which was contingent upon certain performance factors. The assets acquired and liabilities assumed were recorded at their estimated fair value on the date of acquisition and the purchase price in excess of the fair market value of the assets acquired of approximately $45.3 million is being amortized over 15 years. The additional $6 million payment is being amortized over the remaining life of the original goodwill, 14 years. In connection with the acquisition the Company received current assets of $5.9 million, product development costs of $16.6 million, and other non-current assets of $3 million and assumed accrued liabilities of $7.9 million. In addition, purchased research and development costs of $20.8 million, and personnel and indirect acquisition costs of $4.2 million, (principally hiring and temporary staff of $1.3 million, special bonuses paid to company's employees and management of $2.3 million and systems and other costs of $600,000) associated with the Intelicom acquisition have been expensed in 1998. The operations of Intelicom are included with the Company's financial statements since the date of acquisition.</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left="8" w:right="343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COMPREHENSIVE INCOME</w:t>
      </w:r>
    </w:p>
    <w:p>
      <w:pPr>
        <w:spacing w:after="0" w:line="176"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For the six months ended June 30, 1999 and 1998, the Company had no other comprehensive income.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27"/>
          </w:cols>
          <w:pgMar w:left="232" w:top="289" w:right="1440" w:bottom="1440" w:gutter="0" w:footer="0" w:header="0"/>
        </w:sectPr>
      </w:pPr>
    </w:p>
    <w:bookmarkStart w:id="125" w:name="page126"/>
    <w:bookmarkEnd w:id="125"/>
    <w:p>
      <w:pPr>
        <w:ind w:left="268"/>
        <w:spacing w:after="0"/>
        <w:rPr>
          <w:sz w:val="20"/>
          <w:szCs w:val="20"/>
          <w:color w:val="auto"/>
        </w:rPr>
      </w:pPr>
      <w:r>
        <w:rPr>
          <w:rFonts w:ascii="Courier New" w:cs="Courier New" w:eastAsia="Courier New" w:hAnsi="Courier New"/>
          <w:sz w:val="15"/>
          <w:szCs w:val="15"/>
          <w:color w:val="auto"/>
        </w:rPr>
        <w:t>125</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BUSINESS ALLIANCE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February 9, 1999, the Company announced it has formed a strategic business alliance with Novazen, Inc. to include Novazen's Internet -- based billing and customer care software in ITDS' proprietary suite of products and services. In addition to other distribution rights, the alliance gives ITDS the exclusive right to provide its clients with Novazen's advanced Internet -- based billing and customer communication software. This software will function with all of ITDS' proprietary service bureau products and services, which already offer wireless service providers with customer acquisition, billing, customer care and process control.</w:t>
      </w:r>
    </w:p>
    <w:p>
      <w:pPr>
        <w:spacing w:after="0" w:line="17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part of the transaction, a payment of $2 million was made principally to secure certain software rights. An ownership interest in Novazen was also received. The software rights, including all enhancement and modification to the software, are being amortized over a four year period. The Company's ownership interest in Novazen is being accounted for under the cost method.</w:t>
      </w:r>
    </w:p>
    <w:p>
      <w:pPr>
        <w:spacing w:after="0" w:line="174" w:lineRule="exact"/>
        <w:rPr>
          <w:sz w:val="20"/>
          <w:szCs w:val="20"/>
          <w:color w:val="auto"/>
        </w:rPr>
      </w:pPr>
    </w:p>
    <w:p>
      <w:pPr>
        <w:ind w:left="348" w:hanging="348"/>
        <w:spacing w:after="0"/>
        <w:tabs>
          <w:tab w:leader="none" w:pos="34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Income tax provisions for interim periods, other than unusual items, are based on estimated effective annual income tax rates. The Company recognizes deferred tax assets and liabilities for the expected future tax consequences of temporary differences between the tax bases, projected state tax rates and financial reporting bases of assets and liabilities.</w:t>
      </w:r>
    </w:p>
    <w:p>
      <w:pPr>
        <w:spacing w:after="0" w:line="175"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The differences between the effective tax rate and the federal statutory rate is primarily a result of state income taxes and in 1998 the tax benefit anticipated from the nonrecurring costs associated with the Intelicom acquisition.</w:t>
      </w:r>
    </w:p>
    <w:p>
      <w:pPr>
        <w:spacing w:after="0" w:line="173" w:lineRule="exact"/>
        <w:rPr>
          <w:sz w:val="20"/>
          <w:szCs w:val="20"/>
          <w:color w:val="auto"/>
        </w:rPr>
      </w:pPr>
    </w:p>
    <w:p>
      <w:pPr>
        <w:ind w:left="348" w:hanging="348"/>
        <w:spacing w:after="0"/>
        <w:tabs>
          <w:tab w:leader="none" w:pos="34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left="8" w:right="3079" w:firstLine="447"/>
        <w:spacing w:after="0" w:line="263" w:lineRule="auto"/>
        <w:rPr>
          <w:sz w:val="20"/>
          <w:szCs w:val="20"/>
          <w:color w:val="auto"/>
        </w:rPr>
      </w:pPr>
      <w:r>
        <w:rPr>
          <w:rFonts w:ascii="Courier New" w:cs="Courier New" w:eastAsia="Courier New" w:hAnsi="Courier New"/>
          <w:sz w:val="14"/>
          <w:szCs w:val="14"/>
          <w:color w:val="auto"/>
        </w:rPr>
        <w:t>In February 1997, the Financial Accounting Standards Board ("FASB") issued Statement of Financial Accounting Standards ("SFAS") No. 128, EARNINGS PER SHARE "SFAS 128", which revises the methodology of calculating earnings per share. The Company adopted SFAS 128 in the fourth quarter of 1997. In accordance with SFAS 128, all common stock equivalents that have a dilutive effect on earnings per share are included in the calculation for dilutive income per share.</w:t>
      </w:r>
    </w:p>
    <w:p>
      <w:pPr>
        <w:spacing w:after="0" w:line="161"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 for the periods indicated.</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JUNE 30</w:t>
            </w:r>
          </w:p>
        </w:tc>
        <w:tc>
          <w:tcPr>
            <w:tcW w:w="6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9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1998</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ind w:left="460"/>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440" w:type="dxa"/>
            <w:vAlign w:val="bottom"/>
          </w:tcPr>
          <w:p>
            <w:pPr>
              <w:spacing w:after="0"/>
              <w:rPr>
                <w:sz w:val="14"/>
                <w:szCs w:val="14"/>
                <w:color w:val="auto"/>
              </w:rPr>
            </w:pPr>
          </w:p>
        </w:tc>
        <w:tc>
          <w:tcPr>
            <w:tcW w:w="19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IN THOUSANDS, EXCEPT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PER SHARE DATA</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$ 8,714</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$(11,898)</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17,315</w:t>
            </w:r>
          </w:p>
        </w:tc>
        <w:tc>
          <w:tcPr>
            <w:tcW w:w="6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13,913</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c>
          <w:tcPr>
            <w:tcW w:w="6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Extraordinary loss..........................................</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c>
          <w:tcPr>
            <w:tcW w:w="6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ind w:left="3400"/>
              <w:spacing w:after="0"/>
              <w:rPr>
                <w:sz w:val="20"/>
                <w:szCs w:val="20"/>
                <w:color w:val="auto"/>
              </w:rPr>
            </w:pPr>
            <w:r>
              <w:rPr>
                <w:rFonts w:ascii="Courier New" w:cs="Courier New" w:eastAsia="Courier New" w:hAnsi="Courier New"/>
                <w:sz w:val="15"/>
                <w:szCs w:val="15"/>
                <w:color w:val="auto"/>
              </w:rPr>
              <w:t>F-53</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126" w:name="page127"/>
    <w:bookmarkEnd w:id="126"/>
    <w:p>
      <w:pPr>
        <w:ind w:left="268"/>
        <w:spacing w:after="0"/>
        <w:rPr>
          <w:sz w:val="20"/>
          <w:szCs w:val="20"/>
          <w:color w:val="auto"/>
        </w:rPr>
      </w:pPr>
      <w:r>
        <w:rPr>
          <w:rFonts w:ascii="Courier New" w:cs="Courier New" w:eastAsia="Courier New" w:hAnsi="Courier New"/>
          <w:sz w:val="15"/>
          <w:szCs w:val="15"/>
          <w:color w:val="auto"/>
        </w:rPr>
        <w:t>126</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44"/>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4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CONTINUED</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88"/>
        </w:trPr>
        <w:tc>
          <w:tcPr>
            <w:tcW w:w="3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w w:val="77"/>
              </w:rPr>
              <w:t>30</w:t>
            </w:r>
          </w:p>
        </w:tc>
        <w:tc>
          <w:tcPr>
            <w:tcW w:w="64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gridSpan w:val="4"/>
          </w:tcPr>
          <w:p>
            <w:pPr>
              <w:ind w:left="4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1998</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IN THOUSANDS, EXCEPT</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PER SHARE DATA</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Net income (loss)...........................................</w:t>
            </w: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$ 8,714</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$(11,898)</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Average shares outstanding..................................</w:t>
            </w:r>
          </w:p>
        </w:tc>
        <w:tc>
          <w:tcPr>
            <w:tcW w:w="4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17,315</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13,913</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effect of dilutive stock options --</w:t>
            </w:r>
          </w:p>
        </w:tc>
        <w:tc>
          <w:tcPr>
            <w:tcW w:w="15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8"/>
              </w:rPr>
              <w:t>based on the</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treasury stock method.....................................</w:t>
            </w:r>
          </w:p>
        </w:tc>
        <w:tc>
          <w:tcPr>
            <w:tcW w:w="4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Totals............................................</w:t>
            </w:r>
          </w:p>
        </w:tc>
        <w:tc>
          <w:tcPr>
            <w:tcW w:w="4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17,683</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13,913</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Income (loss) before extraordinary item.....................</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Extraordinary loss..........................................</w:t>
            </w:r>
          </w:p>
        </w:tc>
        <w:tc>
          <w:tcPr>
            <w:tcW w:w="4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Net Income (loss)...........................................</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hanging="348"/>
        <w:spacing w:after="0"/>
        <w:tabs>
          <w:tab w:leader="none" w:pos="34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DIRECTOR AND EMPLOYEE LOANS</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As of June 30, 1999, prepaid expenses and other current assets and other long-term assets include approximately $491,000 of loans and advances to certain officers, directors and employees of the Company.</w:t>
      </w:r>
    </w:p>
    <w:p>
      <w:pPr>
        <w:spacing w:after="0" w:line="174" w:lineRule="exact"/>
        <w:rPr>
          <w:sz w:val="20"/>
          <w:szCs w:val="20"/>
          <w:color w:val="auto"/>
        </w:rPr>
      </w:pPr>
    </w:p>
    <w:p>
      <w:pPr>
        <w:ind w:left="348" w:hanging="348"/>
        <w:spacing w:after="0"/>
        <w:tabs>
          <w:tab w:leader="none" w:pos="34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April 2, 1998, the Company was served with a complaint in Connecticut Superior Court alleging that the Company had breached the terms of its employment contract with Mr. Alan K. Greene, the Company's former Chief Financial Officer, and breached other obligations to Mr. Greene. In addition, on September 11, 1998, Mr. Greene filed an age discrimination suit against the Company in the Connecticut Commission on Human Rights and Opportunities and in the Equal Employment Opportunities Commission. The Company filed its Answer and Position Statement, disclaiming any liability relating to age discrimination, on November 5, 1998. On August 2, 1999 the parties executed a settlement agreement which included the mutual release of any and all outstanding claims/obligations. The effect of the settlement was not material to the financial position or results of operations of the Company.</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addition, Intelicom, a wholly-owned subsidiary of the Company acquired in January 1998 from Computer Sciences Corporation ("CSC") is party to litigation and has been threatened with litigation in connection with the operation of its business prior to its acquisition by the Company. Pursuant to the terms of the acquisition, CSC and certain of its affiliates are obligated to defend and indemnify the Company against obligations arising out of such litigation or threatened litigation.</w:t>
      </w:r>
    </w:p>
    <w:p>
      <w:pPr>
        <w:spacing w:after="0" w:line="177" w:lineRule="exact"/>
        <w:rPr>
          <w:sz w:val="20"/>
          <w:szCs w:val="20"/>
          <w:color w:val="auto"/>
        </w:rPr>
      </w:pPr>
    </w:p>
    <w:p>
      <w:pPr>
        <w:jc w:val="both"/>
        <w:ind w:left="8" w:right="3339" w:firstLine="447"/>
        <w:spacing w:after="0" w:line="242" w:lineRule="auto"/>
        <w:rPr>
          <w:sz w:val="20"/>
          <w:szCs w:val="20"/>
          <w:color w:val="auto"/>
        </w:rPr>
      </w:pPr>
      <w:r>
        <w:rPr>
          <w:rFonts w:ascii="Courier New" w:cs="Courier New" w:eastAsia="Courier New" w:hAnsi="Courier New"/>
          <w:sz w:val="15"/>
          <w:szCs w:val="15"/>
          <w:color w:val="auto"/>
        </w:rPr>
        <w:t>The Company does not believe that any liabilities relating to any of the legal proceedings to which it is a party are likely to be, individually or in the aggregate, material to its consolidated financial position or results of operations.</w:t>
      </w:r>
    </w:p>
    <w:p>
      <w:pPr>
        <w:spacing w:after="0" w:line="173" w:lineRule="exact"/>
        <w:rPr>
          <w:sz w:val="20"/>
          <w:szCs w:val="20"/>
          <w:color w:val="auto"/>
        </w:rPr>
      </w:pPr>
    </w:p>
    <w:p>
      <w:pPr>
        <w:ind w:left="348" w:hanging="348"/>
        <w:spacing w:after="0"/>
        <w:tabs>
          <w:tab w:leader="none" w:pos="34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On September 3, 1999, the Company signed an agreement to be acquired by Amdocs Limited in a stock-for-stock transaction. Closing of the transaction is subject to the approval of the Company's stockholders and requires regulatory approvals, as well as certain other customary closing conditions.</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27"/>
          </w:cols>
          <w:pgMar w:left="232" w:top="289"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127</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UNDERWRITING</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Company, the selling shareholder and the underwriters for the offering (the "Underwriters") named below have entered into an underwriting agreement with respect to the shares being offered. Subject to certain conditions, each Underwriter has severally agreed to purchase the number of shares indicated in the following table. Goldman, Sachs &amp; Co., Banc of America Securities LLC, Deutsche Bank Securities Inc., Lehman Brothers Inc. and Prudential Securities Incorporated are the representatives of the Underwriters.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Number</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Underwriters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Shares</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Goldman, Sachs &amp; Co.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5,642,000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Banc of America Securities LLC..............................</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2,418,000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Deutsche Bank Securities Inc.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3,224,000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Lehman Brothers Inc.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3,224,000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Prudential Securities Incorporated..........................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1,612,000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BancBoston Robertson Stephens Inc.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165,000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CIBC World Markets Corp.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165,000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A. G. Edwards &amp; Sons, Inc.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165,000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First Union Capital Markets Corp.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165,000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Edward D. Jones &amp; Co., L.P.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165,000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SG Cowen Securities Corporation.............................</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165,000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Volpe Brown Whelan &amp; Company, LLC...........................</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165,000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Wasserstein Perella Securities, Inc.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165,000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Advest, Inc.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William Blair &amp; Company, L.L.C.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J.C. Bradford &amp; Co.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Doft &amp; Co., Inc.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Kaufman Bros., L.P.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Legg Mason Wood Walker, Incorporated........................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McDonald Investment Inc., A KeyCorp Company.................</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18,000,000</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the Underwriters sell more shares than the total number set forth in the table above, the Underwriters have an option to buy up to an additional 2,700,000 shares from the selling shareholder to cover such sales. They may exercise that option for 30 days. If any shares are purchased pursuant to this option, the Underwriters will severally purchase shares in approximately the same proportion as set forth in the table above.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table shows the per share and total underwriting discounts and commissions to be paid to the Underwriters by the selling shareholder. Such amounts are shown assuming both no exercise and full exercise of the Underwriters' option to purchase additional shares.</w:t>
      </w:r>
    </w:p>
    <w:p>
      <w:pPr>
        <w:spacing w:after="0" w:line="200" w:lineRule="exact"/>
        <w:rPr>
          <w:sz w:val="20"/>
          <w:szCs w:val="20"/>
          <w:color w:val="auto"/>
        </w:rPr>
      </w:pPr>
    </w:p>
    <w:p>
      <w:pPr>
        <w:spacing w:after="0" w:line="317"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Paid by the Selling</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Shareholder</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100"/>
        <w:spacing w:after="0"/>
        <w:tabs>
          <w:tab w:leader="none" w:pos="6420" w:val="left"/>
        </w:tabs>
        <w:rPr>
          <w:sz w:val="20"/>
          <w:szCs w:val="20"/>
          <w:color w:val="auto"/>
        </w:rPr>
      </w:pPr>
      <w:r>
        <w:rPr>
          <w:rFonts w:ascii="Courier New" w:cs="Courier New" w:eastAsia="Courier New" w:hAnsi="Courier New"/>
          <w:sz w:val="15"/>
          <w:szCs w:val="15"/>
          <w:color w:val="auto"/>
        </w:rPr>
        <w:t>No Exercise</w:t>
      </w:r>
      <w:r>
        <w:rPr>
          <w:sz w:val="20"/>
          <w:szCs w:val="20"/>
          <w:color w:val="auto"/>
        </w:rPr>
        <w:tab/>
      </w:r>
      <w:r>
        <w:rPr>
          <w:rFonts w:ascii="Courier New" w:cs="Courier New" w:eastAsia="Courier New" w:hAnsi="Courier New"/>
          <w:sz w:val="14"/>
          <w:szCs w:val="14"/>
          <w:color w:val="auto"/>
        </w:rPr>
        <w:t>Full Exercise</w:t>
      </w:r>
    </w:p>
    <w:p>
      <w:pPr>
        <w:spacing w:after="0" w:line="4" w:lineRule="exact"/>
        <w:rPr>
          <w:sz w:val="20"/>
          <w:szCs w:val="20"/>
          <w:color w:val="auto"/>
        </w:rPr>
      </w:pPr>
    </w:p>
    <w:p>
      <w:pPr>
        <w:ind w:left="5100"/>
        <w:spacing w:after="0"/>
        <w:tabs>
          <w:tab w:leader="none" w:pos="6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289"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274" w:lineRule="auto"/>
        <w:rPr>
          <w:sz w:val="20"/>
          <w:szCs w:val="20"/>
          <w:color w:val="auto"/>
        </w:rPr>
      </w:pPr>
      <w:r>
        <w:rPr>
          <w:rFonts w:ascii="Courier New" w:cs="Courier New" w:eastAsia="Courier New" w:hAnsi="Courier New"/>
          <w:sz w:val="14"/>
          <w:szCs w:val="14"/>
          <w:color w:val="auto"/>
        </w:rPr>
        <w:t>$ 0.91 $16,380,000</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$18,837,000</w:t>
      </w:r>
    </w:p>
    <w:p>
      <w:pPr>
        <w:spacing w:after="0" w:line="231" w:lineRule="exact"/>
        <w:rPr>
          <w:sz w:val="20"/>
          <w:szCs w:val="20"/>
          <w:color w:val="auto"/>
        </w:rPr>
      </w:pPr>
    </w:p>
    <w:p>
      <w:pPr>
        <w:sectPr>
          <w:pgSz w:w="11900" w:h="16838" w:orient="portrait"/>
          <w:cols w:equalWidth="0" w:num="3">
            <w:col w:w="4920" w:space="180"/>
            <w:col w:w="980" w:space="440"/>
            <w:col w:w="3699"/>
          </w:cols>
          <w:pgMar w:left="240" w:top="289" w:right="1440" w:bottom="1440" w:gutter="0" w:footer="0" w:header="0"/>
          <w:type w:val="continuous"/>
        </w:sectPr>
      </w:pPr>
    </w:p>
    <w:p>
      <w:pPr>
        <w:spacing w:after="0" w:line="12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If the entities described below purchase the shares reserved for them, the underwriting discount will be reduced and the proceeds to the selling shareholder will increase by an amount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U-1</w:t>
      </w:r>
    </w:p>
    <w:p>
      <w:pPr>
        <w:sectPr>
          <w:pgSz w:w="11900" w:h="16838" w:orient="portrait"/>
          <w:cols w:equalWidth="0" w:num="1">
            <w:col w:w="10219"/>
          </w:cols>
          <w:pgMar w:left="240" w:top="289" w:right="1440" w:bottom="1440" w:gutter="0" w:footer="0" w:header="0"/>
          <w:type w:val="continuous"/>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128</w:t>
      </w:r>
    </w:p>
    <w:p>
      <w:pPr>
        <w:spacing w:after="0" w:line="176" w:lineRule="exact"/>
        <w:rPr>
          <w:sz w:val="20"/>
          <w:szCs w:val="20"/>
          <w:color w:val="auto"/>
        </w:rPr>
      </w:pPr>
    </w:p>
    <w:p>
      <w:pPr>
        <w:ind w:right="3959"/>
        <w:spacing w:after="0"/>
        <w:rPr>
          <w:sz w:val="20"/>
          <w:szCs w:val="20"/>
          <w:color w:val="auto"/>
        </w:rPr>
      </w:pPr>
      <w:r>
        <w:rPr>
          <w:rFonts w:ascii="Courier New" w:cs="Courier New" w:eastAsia="Courier New" w:hAnsi="Courier New"/>
          <w:sz w:val="15"/>
          <w:szCs w:val="15"/>
          <w:color w:val="auto"/>
        </w:rPr>
        <w:t>equal to $0.55 per share with respect to the shares purchased by these purchasers, or an aggregate of $550,000.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Shares sold by the Underwriters to the public will initially be offered at the initial price to public set forth on the cover of this prospectus. Any shares sold by the Underwriters to securities dealers may be sold at a discount of up to $0.55 per share from the initial price to public. Any such securities dealers may resell any shares purchased from the Underwriters to certain other brokers or dealers at a discount of up to $0.10 per share from the initial price to public. If all the shares are not sold at the initial price to public, the representatives may change the offering price and the other selling terms.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substantially all of its principal shareholders, including the selling shareholder, and its officers and directors have agreed with the Underwriters not to dispose of or hedge any of their ordinary shares or securities convertible into or exchangeable for ordinary shares during the period from the date of this prospectus continuing through the date 90 days after the date of this prospectus, except with the prior written consent of the representatives. This agreement does not apply to any existing employee benefit plans and ordinary shares that may be transferred by the WCAS Investors to SBCI, AIL and others under the call option described in "Risk Factors -- Risks applicable to our capital structure -- A few of our shareholders may be able to exercise control over all matters requiring shareholder approval". Further, the selling shareholder has agreed for an additional one-year period following the termination of the 90 day lock-up period not to offer, sell, contract to sell or otherwise dispose of any ordinary shares without the consent of the Company's other principal shareholders, except for sales or other distributions in connection with this offering, sales made in the public market in accordance with Rule 144 and privately-negotiated transactions. See "Shares Eligible for Future Sale" for a discussion of certain transfer restrictions.</w:t>
      </w:r>
    </w:p>
    <w:p>
      <w:pPr>
        <w:spacing w:after="0" w:line="18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connection with the offering, the Underwriters may purchase and sell ordinary shares in the open market. These transactions may include short sales, stabilizing transactions and purchases to cover positions created by short sales. Short sales involve the sale by the Underwriters of a greater number of shares than they are required to purchase in the offering. Stabilizing transactions consist of certain bids or purchases made for the purpose of preventing or retarding a decline in the market price of the ordinary shares while the offering is in progress.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These activities by the Underwriters may stabilize, maintain or otherwise affect the market price of the ordinary shares. As a result, the price of the ordinary shares may be higher than the price that otherwise might exist in the open market. If these activities are commenced, they may be discontinued by the Underwriters at any time. These transactions may be effected on the New York Stock Exchange, in the over-the-counter market or otherwise.</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Company will pay the expenses of the offering on behalf of the selling shareholder, excluding underwriting discounts and commissions. The total expenses of the offering are estimated to be approximately $1.0 million.</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Company and the selling shareholder have agreed to indemnify the several Underwriters against certain liabilities, including liabilities under the Securities Act.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Certain of the underwriters and their affiliates have in the past provided, and may in the future from time to time provide, commercial or investment banking services to the Company, for which they have in the past received, and may in the future receive, customary fees.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U-2</w:t>
      </w:r>
    </w:p>
    <w:p>
      <w:pPr>
        <w:sectPr>
          <w:pgSz w:w="11900" w:h="16838" w:orient="portrait"/>
          <w:cols w:equalWidth="0" w:num="1">
            <w:col w:w="10219"/>
          </w:cols>
          <w:pgMar w:left="240" w:top="289"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129</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Several of the directors of the Company have indicated that they intend to purchase ordinary shares being offered hereby. In addition, at the request of the selling shareholder, the underwriters will reserve up to 1.0 million ordinary shares at the initial public offering price for sale to certain entities in which some of the Company's executive officers have the economic interests. There can be no assurance that any of the reserved shares will be purchased.</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price of these reserved shares will be the initial public offering price on the cover of this prospectus. The number of shares available to the general public will be reduced to the extent these persons purchase the reserved shares. Any reserved shares not purchased by them at the closing of the public offering will be offered by the underwriters to the general public on the same terms as the other shares offered by this prospectus.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U-3</w:t>
      </w:r>
    </w:p>
    <w:p>
      <w:pPr>
        <w:sectPr>
          <w:pgSz w:w="11900" w:h="16838" w:orient="portrait"/>
          <w:cols w:equalWidth="0" w:num="1">
            <w:col w:w="10219"/>
          </w:cols>
          <w:pgMar w:left="240" w:top="289" w:right="1440" w:bottom="1440" w:gutter="0" w:footer="0" w:header="0"/>
        </w:sectPr>
      </w:pPr>
    </w:p>
    <w:bookmarkStart w:id="130" w:name="page131"/>
    <w:bookmarkEnd w:id="130"/>
    <w:p>
      <w:pPr>
        <w:ind w:left="268"/>
        <w:spacing w:after="0"/>
        <w:rPr>
          <w:sz w:val="20"/>
          <w:szCs w:val="20"/>
          <w:color w:val="auto"/>
        </w:rPr>
      </w:pPr>
      <w:r>
        <w:rPr>
          <w:rFonts w:ascii="Courier New" w:cs="Courier New" w:eastAsia="Courier New" w:hAnsi="Courier New"/>
          <w:sz w:val="15"/>
          <w:szCs w:val="15"/>
          <w:color w:val="auto"/>
        </w:rPr>
        <w:t>130</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inside back cover page contains the following:</w:t>
      </w:r>
    </w:p>
    <w:p>
      <w:pPr>
        <w:spacing w:after="0" w:line="176" w:lineRule="exact"/>
        <w:rPr>
          <w:sz w:val="20"/>
          <w:szCs w:val="20"/>
          <w:color w:val="auto"/>
        </w:rPr>
      </w:pPr>
    </w:p>
    <w:p>
      <w:pPr>
        <w:ind w:left="8" w:right="3339" w:hanging="8"/>
        <w:spacing w:after="0" w:line="242" w:lineRule="auto"/>
        <w:tabs>
          <w:tab w:leader="none" w:pos="18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a graphical representation of the components of Amdocs' "ADS(NG)/Family of Products". Text: ADS(NG)/Family of Products. End-to-end family of products for publishers of Yellow Pages, White Pages and Internet directories.</w:t>
      </w:r>
    </w:p>
    <w:p>
      <w:pPr>
        <w:sectPr>
          <w:pgSz w:w="11900" w:h="16838" w:orient="portrait"/>
          <w:cols w:equalWidth="0" w:num="1">
            <w:col w:w="10227"/>
          </w:cols>
          <w:pgMar w:left="232" w:top="289" w:right="1440" w:bottom="1440" w:gutter="0" w:footer="0" w:header="0"/>
        </w:sectPr>
      </w:pPr>
    </w:p>
    <w:bookmarkStart w:id="131" w:name="page132"/>
    <w:bookmarkEnd w:id="131"/>
    <w:p>
      <w:pPr>
        <w:ind w:left="268"/>
        <w:spacing w:after="0"/>
        <w:rPr>
          <w:sz w:val="20"/>
          <w:szCs w:val="20"/>
          <w:color w:val="auto"/>
        </w:rPr>
      </w:pPr>
      <w:r>
        <w:rPr>
          <w:rFonts w:ascii="Courier New" w:cs="Courier New" w:eastAsia="Courier New" w:hAnsi="Courier New"/>
          <w:sz w:val="15"/>
          <w:szCs w:val="15"/>
          <w:color w:val="auto"/>
        </w:rPr>
        <w:t>131</w:t>
      </w:r>
    </w:p>
    <w:p>
      <w:pPr>
        <w:spacing w:after="0" w:line="174" w:lineRule="exact"/>
        <w:rPr>
          <w:sz w:val="20"/>
          <w:szCs w:val="20"/>
          <w:color w:val="auto"/>
        </w:rPr>
      </w:pPr>
    </w:p>
    <w:p>
      <w:pPr>
        <w:ind w:left="188" w:hanging="188"/>
        <w:spacing w:after="0"/>
        <w:tabs>
          <w:tab w:leader="none" w:pos="18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Enforceability of Civil</w:t>
      </w:r>
    </w:p>
    <w:p>
      <w:pPr>
        <w:spacing w:after="0" w:line="2" w:lineRule="exact"/>
        <w:rPr>
          <w:sz w:val="20"/>
          <w:szCs w:val="20"/>
          <w:color w:val="auto"/>
        </w:rPr>
      </w:pPr>
    </w:p>
    <w:p>
      <w:pPr>
        <w:ind w:left="188"/>
        <w:spacing w:after="0"/>
        <w:tabs>
          <w:tab w:leader="dot" w:pos="3728" w:val="left"/>
        </w:tabs>
        <w:rPr>
          <w:sz w:val="20"/>
          <w:szCs w:val="20"/>
          <w:color w:val="auto"/>
        </w:rPr>
      </w:pPr>
      <w:r>
        <w:rPr>
          <w:rFonts w:ascii="Courier New" w:cs="Courier New" w:eastAsia="Courier New" w:hAnsi="Courier New"/>
          <w:sz w:val="15"/>
          <w:szCs w:val="15"/>
          <w:color w:val="auto"/>
        </w:rPr>
        <w:t>Liabilities</w:t>
      </w:r>
      <w:r>
        <w:rPr>
          <w:sz w:val="20"/>
          <w:szCs w:val="20"/>
          <w:color w:val="auto"/>
        </w:rPr>
        <w:tab/>
      </w:r>
      <w:r>
        <w:rPr>
          <w:rFonts w:ascii="Courier New" w:cs="Courier New" w:eastAsia="Courier New" w:hAnsi="Courier New"/>
          <w:sz w:val="15"/>
          <w:szCs w:val="15"/>
          <w:color w:val="auto"/>
        </w:rPr>
        <w:t>3</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4</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9</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Market Prices and Dividend Policy</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Historical Consolidated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Financial Information</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of Results of Operations and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5"/>
          <w:szCs w:val="15"/>
          <w:color w:val="auto"/>
        </w:rPr>
        <w:t>21</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Unaudited Pro Forma Condensed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Combined Financial Statements</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Certain Transactions</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Principal Shareholders and Selling</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Shareholder</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Description of Share Capital</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Comparison of United States and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Guernsey Corporate Law</w:t>
      </w:r>
      <w:r>
        <w:rPr>
          <w:sz w:val="20"/>
          <w:szCs w:val="20"/>
          <w:color w:val="auto"/>
        </w:rPr>
        <w:tab/>
      </w:r>
      <w:r>
        <w:rPr>
          <w:rFonts w:ascii="Courier New" w:cs="Courier New" w:eastAsia="Courier New" w:hAnsi="Courier New"/>
          <w:sz w:val="15"/>
          <w:szCs w:val="15"/>
          <w:color w:val="auto"/>
        </w:rPr>
        <w:t>62</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Taxation of the Company</w:t>
      </w:r>
      <w:r>
        <w:rPr>
          <w:sz w:val="20"/>
          <w:szCs w:val="20"/>
          <w:color w:val="auto"/>
        </w:rPr>
        <w:tab/>
      </w:r>
      <w:r>
        <w:rPr>
          <w:rFonts w:ascii="Courier New" w:cs="Courier New" w:eastAsia="Courier New" w:hAnsi="Courier New"/>
          <w:sz w:val="15"/>
          <w:szCs w:val="15"/>
          <w:color w:val="auto"/>
        </w:rPr>
        <w:t>66</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Taxation of Holders of Ordinary</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68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8"/>
        <w:spacing w:after="0"/>
        <w:tabs>
          <w:tab w:leader="none" w:pos="3648"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Incorporation of Documents by</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72</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U-1</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18,000,000 Shares</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LOGO]</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DEUTSCHE BANC ALEX. BROWN</w:t>
      </w:r>
    </w:p>
    <w:p>
      <w:pPr>
        <w:spacing w:after="0" w:line="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LEHMAN BROTHERS</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PRUDENTIAL SECURITIES</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2" w:lineRule="exact"/>
        <w:rPr>
          <w:sz w:val="20"/>
          <w:szCs w:val="20"/>
          <w:color w:val="auto"/>
        </w:rPr>
      </w:pPr>
    </w:p>
    <w:p>
      <w:pPr>
        <w:ind w:left="188" w:hanging="188"/>
        <w:spacing w:after="0"/>
        <w:tabs>
          <w:tab w:leader="none" w:pos="18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7"/>
      </w:cols>
      <w:pgMar w:left="232" w:top="2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1)"/>
      <w:numFmt w:val="decimal"/>
      <w:start w:val="1"/>
    </w:lvl>
    <w:lvl w:ilvl="1">
      <w:lvlJc w:val="left"/>
      <w:lvlText w:val="(%2)"/>
      <w:numFmt w:val="lowerRoman"/>
      <w:start w:val="1"/>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1)"/>
      <w:numFmt w:val="decimal"/>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1)"/>
      <w:numFmt w:val="decimal"/>
      <w:start w:val="1"/>
    </w:lvl>
  </w:abstractNum>
  <w:abstractNum w:abstractNumId="20">
    <w:nsid w:val="579478FE"/>
    <w:multiLevelType w:val="hybridMultilevel"/>
    <w:lvl w:ilvl="0">
      <w:lvlJc w:val="left"/>
      <w:lvlText w:val="(%1)"/>
      <w:numFmt w:val="decimal"/>
      <w:start w:val="3"/>
    </w:lvl>
  </w:abstractNum>
  <w:abstractNum w:abstractNumId="21">
    <w:nsid w:val="749ABB43"/>
    <w:multiLevelType w:val="hybridMultilevel"/>
    <w:lvl w:ilvl="0">
      <w:lvlJc w:val="left"/>
      <w:lvlText w:val="(%1)"/>
      <w:numFmt w:val="decimal"/>
      <w:start w:val="6"/>
    </w:lvl>
  </w:abstractNum>
  <w:abstractNum w:abstractNumId="22">
    <w:nsid w:val="3DC240FB"/>
    <w:multiLevelType w:val="hybridMultilevel"/>
    <w:lvl w:ilvl="0">
      <w:lvlJc w:val="left"/>
      <w:lvlText w:val="(%1)"/>
      <w:numFmt w:val="decimal"/>
      <w:start w:val="7"/>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decimal"/>
      <w:start w:val="6"/>
    </w:lvl>
  </w:abstractNum>
  <w:abstractNum w:abstractNumId="33">
    <w:nsid w:val="275AC794"/>
    <w:multiLevelType w:val="hybridMultilevel"/>
    <w:lvl w:ilvl="0">
      <w:lvlJc w:val="left"/>
      <w:lvlText w:val="&amp;"/>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1"/>
      <w:numFmt w:val="lowerRoman"/>
      <w:start w:val="1"/>
    </w:lvl>
    <w:lvl w:ilvl="1">
      <w:lvlJc w:val="left"/>
      <w:lvlText w:val="(%2)"/>
      <w:numFmt w:val="lowerRoman"/>
      <w:start w:val="1"/>
    </w:lvl>
  </w:abstractNum>
  <w:abstractNum w:abstractNumId="36">
    <w:nsid w:val="180115BE"/>
    <w:multiLevelType w:val="hybridMultilevel"/>
    <w:lvl w:ilvl="0">
      <w:lvlJc w:val="left"/>
      <w:lvlText w:val="(%1)"/>
      <w:numFmt w:val="lowerRoman"/>
      <w:start w:val="3"/>
    </w:lvl>
    <w:lvl w:ilvl="1">
      <w:lvlJc w:val="left"/>
      <w:lvlText w:val="%2"/>
      <w:numFmt w:val="lowerRoman"/>
      <w:start w:val="1"/>
    </w:lvl>
  </w:abstractNum>
  <w:abstractNum w:abstractNumId="37">
    <w:nsid w:val="235BA861"/>
    <w:multiLevelType w:val="hybridMultilevel"/>
    <w:lvl w:ilvl="0">
      <w:lvlJc w:val="left"/>
      <w:lvlText w:val="(%1)"/>
      <w:numFmt w:val="lowerRoman"/>
      <w:start w:val="4"/>
    </w:lvl>
  </w:abstractNum>
  <w:abstractNum w:abstractNumId="38">
    <w:nsid w:val="47398C89"/>
    <w:multiLevelType w:val="hybridMultilevel"/>
    <w:lvl w:ilvl="0">
      <w:lvlJc w:val="left"/>
      <w:lvlText w:val="(%1)"/>
      <w:numFmt w:val="decimal"/>
      <w:start w:val="2"/>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1."/>
      <w:numFmt w:val="decimal"/>
      <w:start w:val="2"/>
    </w:lvl>
  </w:abstractNum>
  <w:abstractNum w:abstractNumId="49">
    <w:nsid w:val="310C50B3"/>
    <w:multiLevelType w:val="hybridMultilevel"/>
    <w:lvl w:ilvl="0">
      <w:lvlJc w:val="left"/>
      <w:lvlText w:val="%1."/>
      <w:numFmt w:val="decimal"/>
      <w:start w:val="3"/>
    </w:lvl>
  </w:abstractNum>
  <w:abstractNum w:abstractNumId="50">
    <w:nsid w:val="5FF87E05"/>
    <w:multiLevelType w:val="hybridMultilevel"/>
    <w:lvl w:ilvl="0">
      <w:lvlJc w:val="left"/>
      <w:lvlText w:val="%1."/>
      <w:numFmt w:val="decimal"/>
      <w:start w:val="4"/>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1."/>
      <w:numFmt w:val="decimal"/>
      <w:start w:val="5"/>
    </w:lvl>
  </w:abstractNum>
  <w:abstractNum w:abstractNumId="53">
    <w:nsid w:val="1DBABF00"/>
    <w:multiLevelType w:val="hybridMultilevel"/>
    <w:lvl w:ilvl="0">
      <w:lvlJc w:val="left"/>
      <w:lvlText w:val="%1."/>
      <w:numFmt w:val="decimal"/>
      <w:start w:val="6"/>
    </w:lvl>
  </w:abstractNum>
  <w:abstractNum w:abstractNumId="54">
    <w:nsid w:val="4AD084E9"/>
    <w:multiLevelType w:val="hybridMultilevel"/>
    <w:lvl w:ilvl="0">
      <w:lvlJc w:val="left"/>
      <w:lvlText w:val="%1."/>
      <w:numFmt w:val="decimal"/>
      <w:start w:val="7"/>
    </w:lvl>
  </w:abstractNum>
  <w:abstractNum w:abstractNumId="55">
    <w:nsid w:val="1F48EAA1"/>
    <w:multiLevelType w:val="hybridMultilevel"/>
    <w:lvl w:ilvl="0">
      <w:lvlJc w:val="left"/>
      <w:lvlText w:val="%1."/>
      <w:numFmt w:val="decimal"/>
      <w:start w:val="1"/>
    </w:lvl>
  </w:abstractNum>
  <w:abstractNum w:abstractNumId="56">
    <w:nsid w:val="1381823A"/>
    <w:multiLevelType w:val="hybridMultilevel"/>
    <w:lvl w:ilvl="0">
      <w:lvlJc w:val="left"/>
      <w:lvlText w:val="%1."/>
      <w:numFmt w:val="decimal"/>
      <w:start w:val="2"/>
    </w:lvl>
  </w:abstractNum>
  <w:abstractNum w:abstractNumId="57">
    <w:nsid w:val="5DB70AE5"/>
    <w:multiLevelType w:val="hybridMultilevel"/>
    <w:lvl w:ilvl="0">
      <w:lvlJc w:val="left"/>
      <w:lvlText w:val="%1."/>
      <w:numFmt w:val="decimal"/>
      <w:start w:val="3"/>
    </w:lvl>
  </w:abstractNum>
  <w:abstractNum w:abstractNumId="58">
    <w:nsid w:val="100F8FCA"/>
    <w:multiLevelType w:val="hybridMultilevel"/>
    <w:lvl w:ilvl="0">
      <w:lvlJc w:val="left"/>
      <w:lvlText w:val="%1."/>
      <w:numFmt w:val="decimal"/>
      <w:start w:val="4"/>
    </w:lvl>
  </w:abstractNum>
  <w:abstractNum w:abstractNumId="59">
    <w:nsid w:val="6590700B"/>
    <w:multiLevelType w:val="hybridMultilevel"/>
    <w:lvl w:ilvl="0">
      <w:lvlJc w:val="left"/>
      <w:lvlText w:val="%1."/>
      <w:numFmt w:val="decimal"/>
      <w:start w:val="5"/>
    </w:lvl>
  </w:abstractNum>
  <w:abstractNum w:abstractNumId="60">
    <w:nsid w:val="15014ACB"/>
    <w:multiLevelType w:val="hybridMultilevel"/>
    <w:lvl w:ilvl="0">
      <w:lvlJc w:val="left"/>
      <w:lvlText w:val="%1."/>
      <w:numFmt w:val="decimal"/>
      <w:start w:val="6"/>
    </w:lvl>
  </w:abstractNum>
  <w:abstractNum w:abstractNumId="61">
    <w:nsid w:val="5F5E7FD0"/>
    <w:multiLevelType w:val="hybridMultilevel"/>
    <w:lvl w:ilvl="0">
      <w:lvlJc w:val="left"/>
      <w:lvlText w:val="%1."/>
      <w:numFmt w:val="decimal"/>
      <w:start w:val="7"/>
    </w:lvl>
  </w:abstractNum>
  <w:abstractNum w:abstractNumId="62">
    <w:nsid w:val="98A3148"/>
    <w:multiLevelType w:val="hybridMultilevel"/>
    <w:lvl w:ilvl="0">
      <w:lvlJc w:val="left"/>
      <w:lvlText w:val="%1."/>
      <w:numFmt w:val="decimal"/>
      <w:start w:val="8"/>
    </w:lvl>
  </w:abstractNum>
  <w:abstractNum w:abstractNumId="63">
    <w:nsid w:val="799D0247"/>
    <w:multiLevelType w:val="hybridMultilevel"/>
    <w:lvl w:ilvl="0">
      <w:lvlJc w:val="left"/>
      <w:lvlText w:val="%1."/>
      <w:numFmt w:val="decimal"/>
      <w:start w:val="9"/>
    </w:lvl>
  </w:abstractNum>
  <w:abstractNum w:abstractNumId="64">
    <w:nsid w:val="6B94764"/>
    <w:multiLevelType w:val="hybridMultilevel"/>
    <w:lvl w:ilvl="0">
      <w:lvlJc w:val="left"/>
      <w:lvlText w:val="%1."/>
      <w:numFmt w:val="decimal"/>
      <w:start w:val="10"/>
    </w:lvl>
  </w:abstractNum>
  <w:abstractNum w:abstractNumId="65">
    <w:nsid w:val="42C296BD"/>
    <w:multiLevelType w:val="hybridMultilevel"/>
    <w:lvl w:ilvl="0">
      <w:lvlJc w:val="left"/>
      <w:lvlText w:val="%1."/>
      <w:numFmt w:val="decimal"/>
      <w:start w:val="11"/>
    </w:lvl>
  </w:abstractNum>
  <w:abstractNum w:abstractNumId="66">
    <w:nsid w:val="168E121F"/>
    <w:multiLevelType w:val="hybridMultilevel"/>
    <w:lvl w:ilvl="0">
      <w:lvlJc w:val="left"/>
      <w:lvlText w:val="%1."/>
      <w:numFmt w:val="decimal"/>
      <w:start w:val="12"/>
    </w:lvl>
  </w:abstractNum>
  <w:abstractNum w:abstractNumId="67">
    <w:nsid w:val="1EBA5D23"/>
    <w:multiLevelType w:val="hybridMultilevel"/>
    <w:lvl w:ilvl="0">
      <w:lvlJc w:val="left"/>
      <w:lvlText w:val="%1."/>
      <w:numFmt w:val="decimal"/>
      <w:start w:val="13"/>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1."/>
      <w:numFmt w:val="decimal"/>
      <w:start w:val="2"/>
    </w:lvl>
  </w:abstractNum>
  <w:abstractNum w:abstractNumId="70">
    <w:nsid w:val="540A471C"/>
    <w:multiLevelType w:val="hybridMultilevel"/>
    <w:lvl w:ilvl="0">
      <w:lvlJc w:val="left"/>
      <w:lvlText w:val="%1."/>
      <w:numFmt w:val="decimal"/>
      <w:start w:val="3"/>
    </w:lvl>
  </w:abstractNum>
  <w:abstractNum w:abstractNumId="71">
    <w:nsid w:val="7BD3EE7B"/>
    <w:multiLevelType w:val="hybridMultilevel"/>
    <w:lvl w:ilvl="0">
      <w:lvlJc w:val="left"/>
      <w:lvlText w:val="%1."/>
      <w:numFmt w:val="decimal"/>
      <w:start w:val="4"/>
    </w:lvl>
  </w:abstractNum>
  <w:abstractNum w:abstractNumId="72">
    <w:nsid w:val="51D9C564"/>
    <w:multiLevelType w:val="hybridMultilevel"/>
    <w:lvl w:ilvl="0">
      <w:lvlJc w:val="left"/>
      <w:lvlText w:val="%1."/>
      <w:numFmt w:val="decimal"/>
      <w:start w:val="5"/>
    </w:lvl>
  </w:abstractNum>
  <w:abstractNum w:abstractNumId="73">
    <w:nsid w:val="613EFDC5"/>
    <w:multiLevelType w:val="hybridMultilevel"/>
    <w:lvl w:ilvl="0">
      <w:lvlJc w:val="left"/>
      <w:lvlText w:val="%1."/>
      <w:numFmt w:val="decimal"/>
      <w:start w:val="6"/>
    </w:lvl>
  </w:abstractNum>
  <w:abstractNum w:abstractNumId="74">
    <w:nsid w:val="BF72B14"/>
    <w:multiLevelType w:val="hybridMultilevel"/>
    <w:lvl w:ilvl="0">
      <w:lvlJc w:val="left"/>
      <w:lvlText w:val="%1."/>
      <w:numFmt w:val="decimal"/>
      <w:start w:val="7"/>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2020-02-22T17:01:40Z</dcterms:created>
  <dcterms:modified xsi:type="dcterms:W3CDTF">2020-02-22T17:01:40Z</dcterms:modified>
</cp:coreProperties>
</file>