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344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PURSUANT TO RULE 13a-16 OR 15d-16 OF</w:t>
      </w:r>
    </w:p>
    <w:p>
      <w:pPr>
        <w:ind w:left="32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Quarter Ended March 31,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2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08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39"/>
        <w:spacing w:after="0" w:line="207" w:lineRule="exact"/>
        <w:tabs>
          <w:tab w:leader="none" w:pos="52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-10160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560"/>
          </w:cols>
          <w:pgMar w:left="440" w:top="368"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060" w:type="dxa"/>
            <w:vAlign w:val="bottom"/>
          </w:tcPr>
          <w:p>
            <w:pPr>
              <w:jc w:val="center"/>
              <w:ind w:left="1850"/>
              <w:spacing w:after="0"/>
              <w:rPr>
                <w:sz w:val="20"/>
                <w:szCs w:val="20"/>
                <w:color w:val="auto"/>
              </w:rPr>
            </w:pPr>
            <w:r>
              <w:rPr>
                <w:rFonts w:ascii="Arial" w:cs="Arial" w:eastAsia="Arial" w:hAnsi="Arial"/>
                <w:sz w:val="18"/>
                <w:szCs w:val="18"/>
                <w:color w:val="auto"/>
              </w:rPr>
              <w:t>AMDOCS LIMITED</w:t>
            </w:r>
          </w:p>
        </w:tc>
        <w:tc>
          <w:tcPr>
            <w:tcW w:w="1900" w:type="dxa"/>
            <w:vAlign w:val="bottom"/>
          </w:tcPr>
          <w:p>
            <w:pPr>
              <w:spacing w:after="0"/>
              <w:rPr>
                <w:sz w:val="20"/>
                <w:szCs w:val="20"/>
                <w:color w:val="auto"/>
              </w:rPr>
            </w:pPr>
          </w:p>
        </w:tc>
      </w:tr>
      <w:tr>
        <w:trPr>
          <w:trHeight w:val="432"/>
        </w:trPr>
        <w:tc>
          <w:tcPr>
            <w:tcW w:w="9060" w:type="dxa"/>
            <w:vAlign w:val="bottom"/>
          </w:tcPr>
          <w:p>
            <w:pPr>
              <w:jc w:val="center"/>
              <w:ind w:left="1850"/>
              <w:spacing w:after="0"/>
              <w:rPr>
                <w:sz w:val="20"/>
                <w:szCs w:val="20"/>
                <w:color w:val="auto"/>
              </w:rPr>
            </w:pPr>
            <w:r>
              <w:rPr>
                <w:rFonts w:ascii="Arial" w:cs="Arial" w:eastAsia="Arial" w:hAnsi="Arial"/>
                <w:sz w:val="18"/>
                <w:szCs w:val="18"/>
                <w:color w:val="auto"/>
                <w:w w:val="97"/>
              </w:rPr>
              <w:t>FORM 6-K</w:t>
            </w:r>
          </w:p>
        </w:tc>
        <w:tc>
          <w:tcPr>
            <w:tcW w:w="1900" w:type="dxa"/>
            <w:vAlign w:val="bottom"/>
          </w:tcPr>
          <w:p>
            <w:pPr>
              <w:spacing w:after="0"/>
              <w:rPr>
                <w:sz w:val="24"/>
                <w:szCs w:val="24"/>
                <w:color w:val="auto"/>
              </w:rPr>
            </w:pPr>
          </w:p>
        </w:tc>
      </w:tr>
      <w:tr>
        <w:trPr>
          <w:trHeight w:val="432"/>
        </w:trPr>
        <w:tc>
          <w:tcPr>
            <w:tcW w:w="9060" w:type="dxa"/>
            <w:vAlign w:val="bottom"/>
          </w:tcPr>
          <w:p>
            <w:pPr>
              <w:jc w:val="center"/>
              <w:ind w:left="1850"/>
              <w:spacing w:after="0"/>
              <w:rPr>
                <w:sz w:val="20"/>
                <w:szCs w:val="20"/>
                <w:color w:val="auto"/>
              </w:rPr>
            </w:pPr>
            <w:r>
              <w:rPr>
                <w:rFonts w:ascii="Arial" w:cs="Arial" w:eastAsia="Arial" w:hAnsi="Arial"/>
                <w:sz w:val="18"/>
                <w:szCs w:val="18"/>
                <w:color w:val="auto"/>
                <w:w w:val="92"/>
              </w:rPr>
              <w:t>REPORT OF FOREIGN PRIVATE ISSUER</w:t>
            </w:r>
          </w:p>
        </w:tc>
        <w:tc>
          <w:tcPr>
            <w:tcW w:w="1900" w:type="dxa"/>
            <w:vAlign w:val="bottom"/>
          </w:tcPr>
          <w:p>
            <w:pPr>
              <w:spacing w:after="0"/>
              <w:rPr>
                <w:sz w:val="24"/>
                <w:szCs w:val="24"/>
                <w:color w:val="auto"/>
              </w:rPr>
            </w:pPr>
          </w:p>
        </w:tc>
      </w:tr>
      <w:tr>
        <w:trPr>
          <w:trHeight w:val="418"/>
        </w:trPr>
        <w:tc>
          <w:tcPr>
            <w:tcW w:w="9060" w:type="dxa"/>
            <w:vAlign w:val="bottom"/>
          </w:tcPr>
          <w:p>
            <w:pPr>
              <w:jc w:val="center"/>
              <w:ind w:left="1870"/>
              <w:spacing w:after="0"/>
              <w:rPr>
                <w:sz w:val="20"/>
                <w:szCs w:val="20"/>
                <w:color w:val="auto"/>
              </w:rPr>
            </w:pPr>
            <w:r>
              <w:rPr>
                <w:rFonts w:ascii="Arial" w:cs="Arial" w:eastAsia="Arial" w:hAnsi="Arial"/>
                <w:sz w:val="18"/>
                <w:szCs w:val="18"/>
                <w:color w:val="auto"/>
                <w:w w:val="94"/>
              </w:rPr>
              <w:t>FOR THE QUARTER ENDED MARCH 31, 2020</w:t>
            </w:r>
          </w:p>
        </w:tc>
        <w:tc>
          <w:tcPr>
            <w:tcW w:w="1900" w:type="dxa"/>
            <w:vAlign w:val="bottom"/>
          </w:tcPr>
          <w:p>
            <w:pPr>
              <w:spacing w:after="0"/>
              <w:rPr>
                <w:sz w:val="24"/>
                <w:szCs w:val="24"/>
                <w:color w:val="auto"/>
              </w:rPr>
            </w:pPr>
          </w:p>
        </w:tc>
      </w:tr>
      <w:tr>
        <w:trPr>
          <w:trHeight w:val="230"/>
        </w:trPr>
        <w:tc>
          <w:tcPr>
            <w:tcW w:w="9060" w:type="dxa"/>
            <w:vAlign w:val="bottom"/>
          </w:tcPr>
          <w:p>
            <w:pPr>
              <w:jc w:val="center"/>
              <w:ind w:left="1850"/>
              <w:spacing w:after="0"/>
              <w:rPr>
                <w:sz w:val="20"/>
                <w:szCs w:val="20"/>
                <w:color w:val="auto"/>
              </w:rPr>
            </w:pPr>
            <w:r>
              <w:rPr>
                <w:rFonts w:ascii="Arial" w:cs="Arial" w:eastAsia="Arial" w:hAnsi="Arial"/>
                <w:sz w:val="18"/>
                <w:szCs w:val="18"/>
                <w:color w:val="auto"/>
              </w:rPr>
              <w:t>INDEX</w:t>
            </w:r>
          </w:p>
        </w:tc>
        <w:tc>
          <w:tcPr>
            <w:tcW w:w="1900" w:type="dxa"/>
            <w:vAlign w:val="bottom"/>
          </w:tcPr>
          <w:p>
            <w:pPr>
              <w:spacing w:after="0"/>
              <w:rPr>
                <w:sz w:val="20"/>
                <w:szCs w:val="20"/>
                <w:color w:val="auto"/>
              </w:rPr>
            </w:pPr>
          </w:p>
        </w:tc>
      </w:tr>
      <w:tr>
        <w:trPr>
          <w:trHeight w:val="445"/>
        </w:trPr>
        <w:tc>
          <w:tcPr>
            <w:tcW w:w="90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6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1900" w:type="dxa"/>
            <w:vAlign w:val="bottom"/>
          </w:tcPr>
          <w:p>
            <w:pPr>
              <w:spacing w:after="0"/>
              <w:rPr>
                <w:sz w:val="18"/>
                <w:szCs w:val="18"/>
                <w:color w:val="auto"/>
              </w:rPr>
            </w:pPr>
          </w:p>
        </w:tc>
      </w:tr>
      <w:tr>
        <w:trPr>
          <w:trHeight w:val="216"/>
        </w:trPr>
        <w:tc>
          <w:tcPr>
            <w:tcW w:w="9060" w:type="dxa"/>
            <w:vAlign w:val="bottom"/>
          </w:tcPr>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60" w:type="dxa"/>
            <w:vAlign w:val="bottom"/>
          </w:tcPr>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Income</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60" w:type="dxa"/>
            <w:vAlign w:val="bottom"/>
          </w:tcPr>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Income</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60" w:type="dxa"/>
            <w:vAlign w:val="bottom"/>
          </w:tcPr>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Changes in Equity</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60" w:type="dxa"/>
            <w:vAlign w:val="bottom"/>
          </w:tcPr>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60" w:type="dxa"/>
            <w:vAlign w:val="bottom"/>
          </w:tcPr>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Consolidated Financial Statements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60" w:type="dxa"/>
            <w:vAlign w:val="bottom"/>
          </w:tcPr>
          <w:p>
            <w:pPr>
              <w:ind w:left="1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 Operating and Financial Review and Prospects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06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PART II OTHER INFORMATION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060" w:type="dxa"/>
            <w:vAlign w:val="bottom"/>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 Changes in Securities, Use of Proceeds and Issuer Purchases of Equity Securities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060" w:type="dxa"/>
            <w:vAlign w:val="bottom"/>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 Reports on Form 6-K</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060" w:type="dxa"/>
            <w:vAlign w:val="bottom"/>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3. Risk Factors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0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SIGNATURES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right="500"/>
        <w:spacing w:after="0" w:line="34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348"/>
              <w:spacing w:after="0" w:line="119" w:lineRule="exact"/>
              <w:rPr>
                <w:sz w:val="20"/>
                <w:szCs w:val="20"/>
                <w:color w:val="auto"/>
              </w:rPr>
            </w:pPr>
            <w:r>
              <w:rPr>
                <w:rFonts w:ascii="Arial" w:cs="Arial" w:eastAsia="Arial" w:hAnsi="Arial"/>
                <w:sz w:val="13"/>
                <w:szCs w:val="13"/>
                <w:b w:val="1"/>
                <w:bCs w:val="1"/>
                <w:color w:val="auto"/>
              </w:rPr>
              <w:t>March 31,</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762,602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471,632</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946,279</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987,858</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242,353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216,084</w:t>
            </w: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1,951,234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1,675,574</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554,765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525,314</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Lease assets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288,489</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2,460,172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2,462,835</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195,866</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205,162</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455,052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423,941</w:t>
            </w: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5,905,578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5,292,826</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176,513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176,508</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644,597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647,657</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personnel costs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198,448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265,583</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Short-term financing arrangements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59,767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137,468</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118,182</w:t>
            </w: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1,566,793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1,207,930</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229,494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207,508</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218,391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312,088</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334,922</w:t>
            </w: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2,326,766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1,750,360</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tcPr>
          <w:p>
            <w:pPr>
              <w:spacing w:after="0"/>
              <w:rPr>
                <w:sz w:val="18"/>
                <w:szCs w:val="18"/>
                <w:color w:val="auto"/>
              </w:rPr>
            </w:pPr>
          </w:p>
        </w:tc>
        <w:tc>
          <w:tcPr>
            <w:tcW w:w="110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8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Ordinary Shares — Authorized 700,000 shares; £0.01 par value; 279,046 and 277,148 issued and 133,500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134,773 outstanding, respectively</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4,477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4,452</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w w:val="94"/>
              </w:rPr>
              <w:t>3,759,798</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3,667,662</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145,546 and 142,375 ordinary shares, respectively</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89"/>
              </w:rPr>
              <w:t>(5,392,457)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(5,182,409)</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(9,204)</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(2,547)</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5,173,689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5,012,799</w:t>
            </w: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Amdocs Limited shareholders’ 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3,536,303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3,499,957</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42,509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42,509</w:t>
            </w:r>
          </w:p>
        </w:tc>
      </w:tr>
      <w:tr>
        <w:trPr>
          <w:trHeight w:val="230"/>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3,578,812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3,542,466</w:t>
            </w:r>
          </w:p>
        </w:tc>
        <w:tc>
          <w:tcPr>
            <w:tcW w:w="120" w:type="dxa"/>
            <w:vAlign w:val="bottom"/>
          </w:tcPr>
          <w:p>
            <w:pPr>
              <w:spacing w:after="0"/>
              <w:rPr>
                <w:sz w:val="20"/>
                <w:szCs w:val="20"/>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5,905,578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5,292,826</w:t>
            </w: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8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8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1,047,933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1,019,657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2,089,890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2,031,712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683,970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658,613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1,370,282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1,321,181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68,795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66,765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136,106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135,451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120,463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242,575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242,323</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40,638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49,485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1,789,601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1,748,440</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150,175</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300,289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148,309</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24,030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56,957</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124,279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0.535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7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12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6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12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10"/>
        </w:trPr>
        <w:tc>
          <w:tcPr>
            <w:tcW w:w="7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$127,038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$124,279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$242,970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$225,971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fair value of cash flow hedges(1)</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(6,278)</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19,685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23,738</w:t>
            </w:r>
          </w:p>
        </w:tc>
      </w:tr>
      <w:tr>
        <w:trPr>
          <w:trHeight w:val="216"/>
        </w:trPr>
        <w:tc>
          <w:tcPr>
            <w:tcW w:w="7600" w:type="dxa"/>
            <w:vAlign w:val="bottom"/>
            <w:gridSpan w:val="2"/>
          </w:tcPr>
          <w:p>
            <w:pPr>
              <w:ind w:left="360"/>
              <w:spacing w:after="0"/>
              <w:rPr>
                <w:sz w:val="20"/>
                <w:szCs w:val="20"/>
                <w:color w:val="auto"/>
              </w:rPr>
            </w:pPr>
            <w:r>
              <w:rPr>
                <w:rFonts w:ascii="Arial" w:cs="Arial" w:eastAsia="Arial" w:hAnsi="Arial"/>
                <w:sz w:val="18"/>
                <w:szCs w:val="18"/>
                <w:color w:val="auto"/>
              </w:rPr>
              <w:t>Net change in fair value of available-for-sale securities(2)</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799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1,190</w:t>
            </w:r>
          </w:p>
        </w:tc>
      </w:tr>
      <w:tr>
        <w:trPr>
          <w:trHeight w:val="27"/>
        </w:trPr>
        <w:tc>
          <w:tcPr>
            <w:tcW w:w="12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(6,278)</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20,484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24,928</w:t>
            </w: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120,760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144,763</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236,313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250,899</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424" w:right="320" w:hanging="424"/>
        <w:spacing w:after="0" w:line="27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of $1,450 and $2,526 for the three months ended March 31, 2020 and 2019, respectively and of $1,239 and $634 for the six months ended March 31, 2020 and 2019, respectively.</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is no tax (expense) benefit for the three and six months ended March 31, 2019.</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0" w:right="439" w:bottom="1440" w:gutter="0" w:footer="0" w:header="0"/>
        </w:sectPr>
      </w:pPr>
    </w:p>
    <w:bookmarkStart w:id="5" w:name="page6"/>
    <w:bookmarkEnd w:id="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7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Amdocs</w:t>
            </w: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9"/>
            <w:vMerge w:val="restart"/>
          </w:tcPr>
          <w:p>
            <w:pPr>
              <w:ind w:left="10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10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Retained</w:t>
            </w:r>
          </w:p>
        </w:tc>
        <w:tc>
          <w:tcPr>
            <w:tcW w:w="16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Limited</w:t>
            </w:r>
          </w:p>
        </w:tc>
        <w:tc>
          <w:tcPr>
            <w:tcW w:w="8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controlling</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9"/>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ind w:right="60"/>
              <w:spacing w:after="0" w:line="125" w:lineRule="exact"/>
              <w:rPr>
                <w:sz w:val="20"/>
                <w:szCs w:val="20"/>
                <w:color w:val="auto"/>
              </w:rPr>
            </w:pPr>
            <w:r>
              <w:rPr>
                <w:rFonts w:ascii="Arial" w:cs="Arial" w:eastAsia="Arial" w:hAnsi="Arial"/>
                <w:sz w:val="14"/>
                <w:szCs w:val="14"/>
                <w:b w:val="1"/>
                <w:bCs w:val="1"/>
                <w:color w:val="auto"/>
                <w:w w:val="94"/>
              </w:rPr>
              <w:t>Paid-in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60" w:type="dxa"/>
            <w:vAlign w:val="bottom"/>
            <w:gridSpan w:val="4"/>
          </w:tcPr>
          <w:p>
            <w:pPr>
              <w:jc w:val="center"/>
              <w:ind w:right="8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740" w:type="dxa"/>
            <w:vAlign w:val="bottom"/>
            <w:gridSpan w:val="3"/>
          </w:tcPr>
          <w:p>
            <w:pPr>
              <w:jc w:val="center"/>
              <w:ind w:right="220"/>
              <w:spacing w:after="0" w:line="125" w:lineRule="exact"/>
              <w:rPr>
                <w:sz w:val="20"/>
                <w:szCs w:val="20"/>
                <w:color w:val="auto"/>
              </w:rPr>
            </w:pPr>
            <w:r>
              <w:rPr>
                <w:rFonts w:ascii="Arial" w:cs="Arial" w:eastAsia="Arial" w:hAnsi="Arial"/>
                <w:sz w:val="14"/>
                <w:szCs w:val="14"/>
                <w:b w:val="1"/>
                <w:bCs w:val="1"/>
                <w:color w:val="auto"/>
                <w:w w:val="89"/>
              </w:rPr>
              <w:t>interests</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jc w:val="center"/>
              <w:ind w:right="40"/>
              <w:spacing w:after="0" w:line="155" w:lineRule="exact"/>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90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3"/>
                <w:szCs w:val="13"/>
                <w:color w:val="auto"/>
              </w:rPr>
            </w:pPr>
          </w:p>
        </w:tc>
        <w:tc>
          <w:tcPr>
            <w:tcW w:w="54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2019</w:t>
            </w: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134,580</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4,466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$3,719,810</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 (5,272,429)</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gridSpan w:val="2"/>
            <w:shd w:val="clear" w:color="auto" w:fill="CCEEFF"/>
          </w:tcPr>
          <w:p>
            <w:pPr>
              <w:jc w:val="center"/>
              <w:ind w:left="448"/>
              <w:spacing w:after="0" w:line="142" w:lineRule="exact"/>
              <w:rPr>
                <w:sz w:val="20"/>
                <w:szCs w:val="20"/>
                <w:color w:val="auto"/>
              </w:rPr>
            </w:pPr>
            <w:r>
              <w:rPr>
                <w:rFonts w:ascii="Arial" w:cs="Arial" w:eastAsia="Arial" w:hAnsi="Arial"/>
                <w:sz w:val="14"/>
                <w:szCs w:val="14"/>
                <w:color w:val="auto"/>
                <w:w w:val="85"/>
              </w:rPr>
              <w:t>(2,926)</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$5,090,374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3,539,295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left w:val="single" w:sz="8" w:color="CCEEFF"/>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gridSpan w:val="2"/>
            <w:shd w:val="clear" w:color="auto" w:fill="CCEEFF"/>
          </w:tcPr>
          <w:p>
            <w:pPr>
              <w:jc w:val="center"/>
              <w:ind w:left="128"/>
              <w:spacing w:after="0" w:line="142" w:lineRule="exact"/>
              <w:rPr>
                <w:sz w:val="20"/>
                <w:szCs w:val="20"/>
                <w:color w:val="auto"/>
              </w:rPr>
            </w:pPr>
            <w:r>
              <w:rPr>
                <w:rFonts w:ascii="Arial" w:cs="Arial" w:eastAsia="Arial" w:hAnsi="Arial"/>
                <w:sz w:val="14"/>
                <w:szCs w:val="14"/>
                <w:color w:val="auto"/>
                <w:w w:val="93"/>
              </w:rPr>
              <w:t>42,509</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$3,581,804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(2)</w:t>
            </w: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9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127,038</w:t>
            </w:r>
          </w:p>
        </w:tc>
        <w:tc>
          <w:tcPr>
            <w:tcW w:w="160" w:type="dxa"/>
            <w:vAlign w:val="bottom"/>
            <w:tcBorders>
              <w:left w:val="single" w:sz="8" w:color="CCEEFF"/>
            </w:tcBorders>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127,038</w:t>
            </w: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127,038</w:t>
            </w:r>
          </w:p>
        </w:tc>
        <w:tc>
          <w:tcPr>
            <w:tcW w:w="0" w:type="dxa"/>
            <w:vAlign w:val="bottom"/>
          </w:tcPr>
          <w:p>
            <w:pPr>
              <w:spacing w:after="0"/>
              <w:rPr>
                <w:sz w:val="1"/>
                <w:szCs w:val="1"/>
                <w:color w:val="auto"/>
              </w:rPr>
            </w:pPr>
          </w:p>
        </w:tc>
      </w:tr>
      <w:tr>
        <w:trPr>
          <w:trHeight w:val="156"/>
        </w:trPr>
        <w:tc>
          <w:tcPr>
            <w:tcW w:w="328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loss</w:t>
            </w:r>
          </w:p>
        </w:tc>
        <w:tc>
          <w:tcPr>
            <w:tcW w:w="60" w:type="dxa"/>
            <w:vAlign w:val="bottom"/>
          </w:tcPr>
          <w:p>
            <w:pPr>
              <w:spacing w:after="0"/>
              <w:rPr>
                <w:sz w:val="13"/>
                <w:szCs w:val="13"/>
                <w:color w:val="auto"/>
              </w:rPr>
            </w:pPr>
          </w:p>
        </w:tc>
        <w:tc>
          <w:tcPr>
            <w:tcW w:w="6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tcPr>
          <w:p>
            <w:pPr>
              <w:jc w:val="center"/>
              <w:ind w:left="408"/>
              <w:spacing w:after="0" w:line="149" w:lineRule="exact"/>
              <w:rPr>
                <w:sz w:val="20"/>
                <w:szCs w:val="20"/>
                <w:color w:val="auto"/>
              </w:rPr>
            </w:pPr>
            <w:r>
              <w:rPr>
                <w:rFonts w:ascii="Arial" w:cs="Arial" w:eastAsia="Arial" w:hAnsi="Arial"/>
                <w:sz w:val="14"/>
                <w:szCs w:val="14"/>
                <w:color w:val="auto"/>
                <w:w w:val="94"/>
              </w:rPr>
              <w:t>(6,278)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(6,278)</w:t>
            </w:r>
          </w:p>
        </w:tc>
        <w:tc>
          <w:tcPr>
            <w:tcW w:w="120" w:type="dxa"/>
            <w:vAlign w:val="bottom"/>
          </w:tcPr>
          <w:p>
            <w:pPr>
              <w:spacing w:after="0"/>
              <w:rPr>
                <w:sz w:val="13"/>
                <w:szCs w:val="13"/>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(6,278)</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Comprehensive income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left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120,760</w:t>
            </w: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left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120,760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720" w:type="dxa"/>
            <w:vAlign w:val="bottom"/>
            <w:gridSpan w:val="5"/>
          </w:tcPr>
          <w:p>
            <w:pPr>
              <w:ind w:left="360"/>
              <w:spacing w:after="0" w:line="149" w:lineRule="exact"/>
              <w:rPr>
                <w:sz w:val="20"/>
                <w:szCs w:val="20"/>
                <w:color w:val="auto"/>
              </w:rPr>
            </w:pPr>
            <w:r>
              <w:rPr>
                <w:rFonts w:ascii="Arial" w:cs="Arial" w:eastAsia="Arial" w:hAnsi="Arial"/>
                <w:sz w:val="14"/>
                <w:szCs w:val="14"/>
                <w:color w:val="auto"/>
              </w:rPr>
              <w:t>541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760" w:type="dxa"/>
            <w:vAlign w:val="bottom"/>
            <w:gridSpan w:val="4"/>
          </w:tcPr>
          <w:p>
            <w:pPr>
              <w:jc w:val="center"/>
              <w:ind w:left="208"/>
              <w:spacing w:after="0" w:line="149" w:lineRule="exact"/>
              <w:rPr>
                <w:sz w:val="20"/>
                <w:szCs w:val="20"/>
                <w:color w:val="auto"/>
              </w:rPr>
            </w:pPr>
            <w:r>
              <w:rPr>
                <w:rFonts w:ascii="Arial" w:cs="Arial" w:eastAsia="Arial" w:hAnsi="Arial"/>
                <w:sz w:val="14"/>
                <w:szCs w:val="14"/>
                <w:color w:val="auto"/>
                <w:w w:val="93"/>
              </w:rPr>
              <w:t>29,240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29,248</w:t>
            </w:r>
          </w:p>
        </w:tc>
        <w:tc>
          <w:tcPr>
            <w:tcW w:w="12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29,248</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72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(120,028)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(120,028)</w:t>
            </w: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(120,028)</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w w:val="97"/>
              </w:rPr>
              <w:t>Cash dividends declared ($0.3275 per ordinary share)</w:t>
            </w:r>
          </w:p>
        </w:tc>
        <w:tc>
          <w:tcPr>
            <w:tcW w:w="60" w:type="dxa"/>
            <w:vAlign w:val="bottom"/>
          </w:tcPr>
          <w:p>
            <w:pPr>
              <w:spacing w:after="0"/>
              <w:rPr>
                <w:sz w:val="12"/>
                <w:szCs w:val="12"/>
                <w:color w:val="auto"/>
              </w:rPr>
            </w:pPr>
          </w:p>
        </w:tc>
        <w:tc>
          <w:tcPr>
            <w:tcW w:w="6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900" w:type="dxa"/>
            <w:vAlign w:val="bottom"/>
            <w:gridSpan w:val="5"/>
          </w:tcPr>
          <w:p>
            <w:pPr>
              <w:jc w:val="center"/>
              <w:ind w:left="168"/>
              <w:spacing w:after="0" w:line="149" w:lineRule="exact"/>
              <w:rPr>
                <w:sz w:val="20"/>
                <w:szCs w:val="20"/>
                <w:color w:val="auto"/>
              </w:rPr>
            </w:pPr>
            <w:r>
              <w:rPr>
                <w:rFonts w:ascii="Arial" w:cs="Arial" w:eastAsia="Arial" w:hAnsi="Arial"/>
                <w:sz w:val="14"/>
                <w:szCs w:val="14"/>
                <w:color w:val="auto"/>
                <w:w w:val="95"/>
              </w:rPr>
              <w:t>(43,723)</w:t>
            </w:r>
          </w:p>
        </w:tc>
        <w:tc>
          <w:tcPr>
            <w:tcW w:w="16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(43,723)</w:t>
            </w:r>
          </w:p>
        </w:tc>
        <w:tc>
          <w:tcPr>
            <w:tcW w:w="12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(43,723)</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720" w:type="dxa"/>
            <w:vAlign w:val="bottom"/>
            <w:gridSpan w:val="5"/>
            <w:shd w:val="clear" w:color="auto" w:fill="CCEEFF"/>
          </w:tcPr>
          <w:p>
            <w:pPr>
              <w:ind w:left="360"/>
              <w:spacing w:after="0" w:line="149" w:lineRule="exact"/>
              <w:rPr>
                <w:sz w:val="20"/>
                <w:szCs w:val="20"/>
                <w:color w:val="auto"/>
              </w:rPr>
            </w:pPr>
            <w:r>
              <w:rPr>
                <w:rFonts w:ascii="Arial" w:cs="Arial" w:eastAsia="Arial" w:hAnsi="Arial"/>
                <w:sz w:val="14"/>
                <w:szCs w:val="14"/>
                <w:color w:val="auto"/>
              </w:rPr>
              <w:t>241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Equity-based compensation expense related to</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280" w:type="dxa"/>
            <w:vAlign w:val="bottom"/>
          </w:tcPr>
          <w:p>
            <w:pPr>
              <w:ind w:left="140"/>
              <w:spacing w:after="0"/>
              <w:rPr>
                <w:sz w:val="20"/>
                <w:szCs w:val="20"/>
                <w:color w:val="auto"/>
              </w:rPr>
            </w:pPr>
            <w:r>
              <w:rPr>
                <w:rFonts w:ascii="Arial" w:cs="Arial" w:eastAsia="Arial" w:hAnsi="Arial"/>
                <w:sz w:val="14"/>
                <w:szCs w:val="14"/>
                <w:color w:val="auto"/>
              </w:rPr>
              <w:t>employees</w:t>
            </w:r>
          </w:p>
        </w:tc>
        <w:tc>
          <w:tcPr>
            <w:tcW w:w="60" w:type="dxa"/>
            <w:vAlign w:val="bottom"/>
          </w:tcPr>
          <w:p>
            <w:pPr>
              <w:spacing w:after="0"/>
              <w:rPr>
                <w:sz w:val="15"/>
                <w:szCs w:val="15"/>
                <w:color w:val="auto"/>
              </w:rPr>
            </w:pPr>
          </w:p>
        </w:tc>
        <w:tc>
          <w:tcPr>
            <w:tcW w:w="5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w w:val="93"/>
              </w:rPr>
              <w:t>10,748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left="5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10,748</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March 31, 2020</w:t>
            </w:r>
          </w:p>
        </w:tc>
        <w:tc>
          <w:tcPr>
            <w:tcW w:w="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133,500</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4,477</w:t>
            </w:r>
          </w:p>
        </w:tc>
        <w:tc>
          <w:tcPr>
            <w:tcW w:w="8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center"/>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3,759,798</w:t>
            </w:r>
          </w:p>
        </w:tc>
        <w:tc>
          <w:tcPr>
            <w:tcW w:w="94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(5,392,457)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94"/>
              </w:rPr>
              <w:t>(9,204)</w:t>
            </w:r>
          </w:p>
        </w:tc>
        <w:tc>
          <w:tcPr>
            <w:tcW w:w="9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5,173,689</w:t>
            </w:r>
          </w:p>
        </w:tc>
        <w:tc>
          <w:tcPr>
            <w:tcW w:w="160" w:type="dxa"/>
            <w:vAlign w:val="bottom"/>
            <w:tcBorders>
              <w:lef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3,536,303</w:t>
            </w:r>
          </w:p>
        </w:tc>
        <w:tc>
          <w:tcPr>
            <w:tcW w:w="120" w:type="dxa"/>
            <w:vAlign w:val="bottom"/>
            <w:tcBorders>
              <w:left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42,509</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3,578,812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4"/>
                <w:szCs w:val="24"/>
                <w:color w:val="auto"/>
              </w:rPr>
            </w:pPr>
          </w:p>
        </w:tc>
        <w:tc>
          <w:tcPr>
            <w:tcW w:w="7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Amdocs</w:t>
            </w: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Ordinary Shares</w:t>
            </w:r>
          </w:p>
        </w:tc>
        <w:tc>
          <w:tcPr>
            <w:tcW w:w="7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2"/>
                <w:szCs w:val="12"/>
                <w:color w:val="auto"/>
              </w:rPr>
            </w:pPr>
          </w:p>
        </w:tc>
        <w:tc>
          <w:tcPr>
            <w:tcW w:w="9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Limited</w:t>
            </w:r>
          </w:p>
        </w:tc>
        <w:tc>
          <w:tcPr>
            <w:tcW w:w="8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9"/>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ind w:left="40"/>
              <w:spacing w:after="0" w:line="12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100" w:type="dxa"/>
            <w:vAlign w:val="bottom"/>
            <w:gridSpan w:val="5"/>
          </w:tcPr>
          <w:p>
            <w:pPr>
              <w:jc w:val="center"/>
              <w:ind w:right="140"/>
              <w:spacing w:after="0" w:line="125" w:lineRule="exact"/>
              <w:rPr>
                <w:sz w:val="20"/>
                <w:szCs w:val="20"/>
                <w:color w:val="auto"/>
              </w:rPr>
            </w:pPr>
            <w:r>
              <w:rPr>
                <w:rFonts w:ascii="Arial" w:cs="Arial" w:eastAsia="Arial" w:hAnsi="Arial"/>
                <w:sz w:val="14"/>
                <w:szCs w:val="14"/>
                <w:b w:val="1"/>
                <w:bCs w:val="1"/>
                <w:color w:val="auto"/>
                <w:w w:val="92"/>
              </w:rPr>
              <w:t>(Loss) Income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60" w:type="dxa"/>
            <w:vAlign w:val="bottom"/>
            <w:gridSpan w:val="4"/>
          </w:tcPr>
          <w:p>
            <w:pPr>
              <w:jc w:val="center"/>
              <w:ind w:right="20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860" w:type="dxa"/>
            <w:vAlign w:val="bottom"/>
            <w:gridSpan w:val="4"/>
          </w:tcPr>
          <w:p>
            <w:pPr>
              <w:jc w:val="center"/>
              <w:ind w:right="200"/>
              <w:spacing w:after="0" w:line="125" w:lineRule="exact"/>
              <w:rPr>
                <w:sz w:val="20"/>
                <w:szCs w:val="20"/>
                <w:color w:val="auto"/>
              </w:rPr>
            </w:pPr>
            <w:r>
              <w:rPr>
                <w:rFonts w:ascii="Arial" w:cs="Arial" w:eastAsia="Arial" w:hAnsi="Arial"/>
                <w:sz w:val="14"/>
                <w:szCs w:val="14"/>
                <w:b w:val="1"/>
                <w:bCs w:val="1"/>
                <w:color w:val="auto"/>
                <w:w w:val="85"/>
              </w:rPr>
              <w:t>interests</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720" w:type="dxa"/>
            <w:vAlign w:val="bottom"/>
            <w:tcBorders>
              <w:top w:val="single" w:sz="8" w:color="auto"/>
            </w:tcBorders>
            <w:gridSpan w:val="5"/>
          </w:tcPr>
          <w:p>
            <w:pPr>
              <w:jc w:val="right"/>
              <w:ind w:right="240"/>
              <w:spacing w:after="0" w:line="155" w:lineRule="exact"/>
              <w:rPr>
                <w:sz w:val="20"/>
                <w:szCs w:val="20"/>
                <w:color w:val="auto"/>
              </w:rPr>
            </w:pPr>
            <w:r>
              <w:rPr>
                <w:rFonts w:ascii="Arial" w:cs="Arial" w:eastAsia="Arial" w:hAnsi="Arial"/>
                <w:sz w:val="14"/>
                <w:szCs w:val="14"/>
                <w:b w:val="1"/>
                <w:bCs w:val="1"/>
                <w:color w:val="auto"/>
                <w:w w:val="98"/>
              </w:rPr>
              <w:t>Shares</w:t>
            </w:r>
          </w:p>
        </w:tc>
        <w:tc>
          <w:tcPr>
            <w:tcW w:w="5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center"/>
              <w:ind w:right="48"/>
              <w:spacing w:after="0" w:line="155" w:lineRule="exact"/>
              <w:rPr>
                <w:sz w:val="20"/>
                <w:szCs w:val="20"/>
                <w:color w:val="auto"/>
              </w:rPr>
            </w:pPr>
            <w:r>
              <w:rPr>
                <w:rFonts w:ascii="Arial" w:cs="Arial" w:eastAsia="Arial" w:hAnsi="Arial"/>
                <w:sz w:val="14"/>
                <w:szCs w:val="14"/>
                <w:b w:val="1"/>
                <w:bCs w:val="1"/>
                <w:color w:val="auto"/>
                <w:w w:val="93"/>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jc w:val="right"/>
              <w:ind w:right="24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90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3"/>
                <w:szCs w:val="13"/>
                <w:color w:val="auto"/>
              </w:rPr>
            </w:pPr>
          </w:p>
        </w:tc>
        <w:tc>
          <w:tcPr>
            <w:tcW w:w="540" w:type="dxa"/>
            <w:vAlign w:val="bottom"/>
          </w:tcPr>
          <w:p>
            <w:pPr>
              <w:jc w:val="center"/>
              <w:ind w:right="48"/>
              <w:spacing w:after="0" w:line="155" w:lineRule="exact"/>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2018</w:t>
            </w: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139,012</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4,441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$3,608,139</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(4,883,534)</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(28,287)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$4,751,272</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left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3,452,031</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47,129</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$3,499,160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(2)</w:t>
            </w: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124,279</w:t>
            </w:r>
          </w:p>
        </w:tc>
        <w:tc>
          <w:tcPr>
            <w:tcW w:w="1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124,279</w:t>
            </w:r>
          </w:p>
        </w:tc>
        <w:tc>
          <w:tcPr>
            <w:tcW w:w="1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124,279</w:t>
            </w:r>
          </w:p>
        </w:tc>
        <w:tc>
          <w:tcPr>
            <w:tcW w:w="0" w:type="dxa"/>
            <w:vAlign w:val="bottom"/>
          </w:tcPr>
          <w:p>
            <w:pPr>
              <w:spacing w:after="0"/>
              <w:rPr>
                <w:sz w:val="1"/>
                <w:szCs w:val="1"/>
                <w:color w:val="auto"/>
              </w:rPr>
            </w:pPr>
          </w:p>
        </w:tc>
      </w:tr>
      <w:tr>
        <w:trPr>
          <w:trHeight w:val="148"/>
        </w:trPr>
        <w:tc>
          <w:tcPr>
            <w:tcW w:w="328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60" w:type="dxa"/>
            <w:vAlign w:val="bottom"/>
          </w:tcPr>
          <w:p>
            <w:pPr>
              <w:spacing w:after="0"/>
              <w:rPr>
                <w:sz w:val="12"/>
                <w:szCs w:val="12"/>
                <w:color w:val="auto"/>
              </w:rPr>
            </w:pPr>
          </w:p>
        </w:tc>
        <w:tc>
          <w:tcPr>
            <w:tcW w:w="660" w:type="dxa"/>
            <w:vAlign w:val="bottom"/>
            <w:gridSpan w:val="4"/>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3"/>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20,484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left="6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20,484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20,484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Comprehensive income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144,763</w:t>
            </w:r>
          </w:p>
        </w:tc>
        <w:tc>
          <w:tcPr>
            <w:tcW w:w="1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144,763</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3,138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left="6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3,140</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5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(2,146)</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(120,032)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(120,032)</w:t>
            </w:r>
          </w:p>
        </w:tc>
        <w:tc>
          <w:tcPr>
            <w:tcW w:w="1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(120,032)</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w w:val="99"/>
              </w:rPr>
              <w:t>Cash dividends declared ($0.285 per ordinary share)</w:t>
            </w:r>
          </w:p>
        </w:tc>
        <w:tc>
          <w:tcPr>
            <w:tcW w:w="60" w:type="dxa"/>
            <w:vAlign w:val="bottom"/>
          </w:tcPr>
          <w:p>
            <w:pPr>
              <w:spacing w:after="0"/>
              <w:rPr>
                <w:sz w:val="12"/>
                <w:szCs w:val="12"/>
                <w:color w:val="auto"/>
              </w:rPr>
            </w:pPr>
          </w:p>
        </w:tc>
        <w:tc>
          <w:tcPr>
            <w:tcW w:w="660" w:type="dxa"/>
            <w:vAlign w:val="bottom"/>
            <w:gridSpan w:val="4"/>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3"/>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(39,084)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(39,084)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(39,084)</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4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w w:val="94"/>
              </w:rPr>
              <w:t>177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Equity-based compensation expense related to</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40"/>
              <w:spacing w:after="0"/>
              <w:rPr>
                <w:sz w:val="20"/>
                <w:szCs w:val="20"/>
                <w:color w:val="auto"/>
              </w:rPr>
            </w:pPr>
            <w:r>
              <w:rPr>
                <w:rFonts w:ascii="Arial" w:cs="Arial" w:eastAsia="Arial" w:hAnsi="Arial"/>
                <w:sz w:val="14"/>
                <w:szCs w:val="14"/>
                <w:color w:val="auto"/>
              </w:rPr>
              <w:t>employees</w:t>
            </w:r>
          </w:p>
        </w:tc>
        <w:tc>
          <w:tcPr>
            <w:tcW w:w="60" w:type="dxa"/>
            <w:vAlign w:val="bottom"/>
          </w:tcPr>
          <w:p>
            <w:pPr>
              <w:spacing w:after="0"/>
              <w:rPr>
                <w:sz w:val="14"/>
                <w:szCs w:val="14"/>
                <w:color w:val="auto"/>
              </w:rPr>
            </w:pPr>
          </w:p>
        </w:tc>
        <w:tc>
          <w:tcPr>
            <w:tcW w:w="660" w:type="dxa"/>
            <w:vAlign w:val="bottom"/>
            <w:gridSpan w:val="4"/>
          </w:tcPr>
          <w:p>
            <w:pPr>
              <w:ind w:lef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9,614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center"/>
              <w:ind w:left="32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9,614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center"/>
              <w:ind w:left="8"/>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9,614</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Noncontrolling interests</w:t>
            </w: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Borders>
              <w:left w:val="single" w:sz="8" w:color="CCEEFF"/>
            </w:tcBorders>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0"/>
              </w:rPr>
              <w:t>(4,776)</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(4,776)</w:t>
            </w:r>
          </w:p>
        </w:tc>
        <w:tc>
          <w:tcPr>
            <w:tcW w:w="0" w:type="dxa"/>
            <w:vAlign w:val="bottom"/>
          </w:tcPr>
          <w:p>
            <w:pPr>
              <w:spacing w:after="0"/>
              <w:rPr>
                <w:sz w:val="1"/>
                <w:szCs w:val="1"/>
                <w:color w:val="auto"/>
              </w:rPr>
            </w:pPr>
          </w:p>
        </w:tc>
      </w:tr>
      <w:tr>
        <w:trPr>
          <w:trHeight w:val="155"/>
        </w:trPr>
        <w:tc>
          <w:tcPr>
            <w:tcW w:w="32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March 31, 2019</w:t>
            </w: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8"/>
              </w:rPr>
              <w:t>137,131</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4,445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3,620,891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88"/>
              </w:rPr>
              <w:t>$ (5,003,566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(7,803)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4,836,467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3,450,434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42,353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3,492,787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300" w:hanging="424"/>
        <w:spacing w:after="0" w:line="290" w:lineRule="auto"/>
        <w:tabs>
          <w:tab w:leader="none" w:pos="424" w:val="left"/>
        </w:tabs>
        <w:numPr>
          <w:ilvl w:val="0"/>
          <w:numId w:val="2"/>
        </w:numPr>
        <w:rPr>
          <w:rFonts w:ascii="Arial" w:cs="Arial" w:eastAsia="Arial" w:hAnsi="Arial"/>
          <w:sz w:val="13"/>
          <w:szCs w:val="13"/>
          <w:color w:val="auto"/>
        </w:rPr>
      </w:pPr>
      <w:r>
        <w:rPr>
          <w:rFonts w:ascii="Arial" w:cs="Arial" w:eastAsia="Arial" w:hAnsi="Arial"/>
          <w:sz w:val="13"/>
          <w:szCs w:val="13"/>
          <w:color w:val="auto"/>
        </w:rPr>
        <w:t>As of March 31, 2020 and 2019, accumulated other comprehensive (loss) is comprised of unrealized (loss) on derivatives, net of tax, of $(2,712) and $(2,870), unrealized (loss) on short-term interest-bearing investments, net of tax, of $0 and $(402) and unrealized (loss) on defined benefit plan, net of tax, of $(6,492) and $(4,531).</w:t>
      </w:r>
    </w:p>
    <w:p>
      <w:pPr>
        <w:spacing w:after="0" w:line="57" w:lineRule="exact"/>
        <w:rPr>
          <w:rFonts w:ascii="Arial" w:cs="Arial" w:eastAsia="Arial" w:hAnsi="Arial"/>
          <w:sz w:val="13"/>
          <w:szCs w:val="13"/>
          <w:color w:val="auto"/>
        </w:rPr>
      </w:pPr>
    </w:p>
    <w:p>
      <w:pPr>
        <w:ind w:left="424" w:right="800" w:hanging="424"/>
        <w:spacing w:after="0" w:line="253" w:lineRule="auto"/>
        <w:tabs>
          <w:tab w:leader="none" w:pos="424" w:val="left"/>
        </w:tabs>
        <w:numPr>
          <w:ilvl w:val="0"/>
          <w:numId w:val="2"/>
        </w:numPr>
        <w:rPr>
          <w:rFonts w:ascii="Arial" w:cs="Arial" w:eastAsia="Arial" w:hAnsi="Arial"/>
          <w:sz w:val="14"/>
          <w:szCs w:val="14"/>
          <w:color w:val="auto"/>
        </w:rPr>
      </w:pPr>
      <w:r>
        <w:rPr>
          <w:rFonts w:ascii="Arial" w:cs="Arial" w:eastAsia="Arial" w:hAnsi="Arial"/>
          <w:sz w:val="14"/>
          <w:szCs w:val="14"/>
          <w:color w:val="auto"/>
        </w:rPr>
        <w:t>During the three and six months ended March 31, 2020, and 2019, all of the Company’s net income is attributable to Amdocs Limited as the net income attributable to the Non-controlling interests is negligible</w:t>
      </w:r>
    </w:p>
    <w:p>
      <w:pPr>
        <w:spacing w:after="0" w:line="79" w:lineRule="exact"/>
        <w:rPr>
          <w:rFonts w:ascii="Arial" w:cs="Arial" w:eastAsia="Arial" w:hAnsi="Arial"/>
          <w:sz w:val="14"/>
          <w:szCs w:val="14"/>
          <w:color w:val="auto"/>
        </w:rPr>
      </w:pPr>
    </w:p>
    <w:p>
      <w:pPr>
        <w:ind w:left="424" w:right="400" w:hanging="424"/>
        <w:spacing w:after="0" w:line="253" w:lineRule="auto"/>
        <w:tabs>
          <w:tab w:leader="none" w:pos="424"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Cumulative effect adjustments as of October 1, 2018 include an increase of $14,294 to retained earnings due to the impact of adoptions of ASU No. 2014-09 (ASC 606) and decrease of $3,860 to retained earnings due to adoption of ASU No. 2016-16.</w:t>
      </w:r>
    </w:p>
    <w:p>
      <w:pPr>
        <w:spacing w:after="0" w:line="1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7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Amdocs</w:t>
            </w: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36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Ordinary Shares</w:t>
            </w:r>
          </w:p>
        </w:tc>
        <w:tc>
          <w:tcPr>
            <w:tcW w:w="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Treasury</w:t>
            </w:r>
          </w:p>
        </w:tc>
        <w:tc>
          <w:tcPr>
            <w:tcW w:w="11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00" w:type="dxa"/>
            <w:vAlign w:val="bottom"/>
          </w:tcPr>
          <w:p>
            <w:pPr>
              <w:spacing w:after="0"/>
              <w:rPr>
                <w:sz w:val="12"/>
                <w:szCs w:val="12"/>
                <w:color w:val="auto"/>
              </w:rPr>
            </w:pP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Retained</w:t>
            </w:r>
          </w:p>
        </w:tc>
        <w:tc>
          <w:tcPr>
            <w:tcW w:w="16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Limited</w:t>
            </w:r>
          </w:p>
        </w:tc>
        <w:tc>
          <w:tcPr>
            <w:tcW w:w="8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1360" w:type="dxa"/>
            <w:vAlign w:val="bottom"/>
            <w:gridSpan w:val="7"/>
            <w:vMerge w:val="continue"/>
          </w:tcPr>
          <w:p>
            <w:pPr>
              <w:spacing w:after="0"/>
              <w:rPr>
                <w:sz w:val="12"/>
                <w:szCs w:val="12"/>
                <w:color w:val="auto"/>
              </w:rPr>
            </w:pPr>
          </w:p>
        </w:tc>
        <w:tc>
          <w:tcPr>
            <w:tcW w:w="700" w:type="dxa"/>
            <w:vAlign w:val="bottom"/>
            <w:gridSpan w:val="3"/>
          </w:tcPr>
          <w:p>
            <w:pPr>
              <w:jc w:val="center"/>
              <w:ind w:right="60"/>
              <w:spacing w:after="0" w:line="125"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60" w:type="dxa"/>
            <w:vAlign w:val="bottom"/>
            <w:gridSpan w:val="4"/>
          </w:tcPr>
          <w:p>
            <w:pPr>
              <w:jc w:val="center"/>
              <w:ind w:right="8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740" w:type="dxa"/>
            <w:vAlign w:val="bottom"/>
            <w:gridSpan w:val="3"/>
          </w:tcPr>
          <w:p>
            <w:pPr>
              <w:jc w:val="center"/>
              <w:ind w:right="220"/>
              <w:spacing w:after="0" w:line="125" w:lineRule="exact"/>
              <w:rPr>
                <w:sz w:val="20"/>
                <w:szCs w:val="20"/>
                <w:color w:val="auto"/>
              </w:rPr>
            </w:pPr>
            <w:r>
              <w:rPr>
                <w:rFonts w:ascii="Arial" w:cs="Arial" w:eastAsia="Arial" w:hAnsi="Arial"/>
                <w:sz w:val="14"/>
                <w:szCs w:val="14"/>
                <w:b w:val="1"/>
                <w:bCs w:val="1"/>
                <w:color w:val="auto"/>
                <w:w w:val="89"/>
              </w:rPr>
              <w:t>interests</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40" w:type="dxa"/>
            <w:vAlign w:val="bottom"/>
          </w:tcPr>
          <w:p>
            <w:pPr>
              <w:spacing w:after="0"/>
              <w:rPr>
                <w:sz w:val="13"/>
                <w:szCs w:val="13"/>
                <w:color w:val="auto"/>
              </w:rPr>
            </w:pPr>
          </w:p>
        </w:tc>
        <w:tc>
          <w:tcPr>
            <w:tcW w:w="66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3"/>
                <w:szCs w:val="13"/>
                <w:color w:val="auto"/>
              </w:rPr>
            </w:pPr>
          </w:p>
        </w:tc>
        <w:tc>
          <w:tcPr>
            <w:tcW w:w="700" w:type="dxa"/>
            <w:vAlign w:val="bottom"/>
            <w:gridSpan w:val="3"/>
          </w:tcPr>
          <w:p>
            <w:pPr>
              <w:jc w:val="center"/>
              <w:ind w:right="4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840" w:type="dxa"/>
            <w:vAlign w:val="bottom"/>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90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3"/>
                <w:szCs w:val="13"/>
                <w:color w:val="auto"/>
              </w:rPr>
            </w:pPr>
          </w:p>
        </w:tc>
        <w:tc>
          <w:tcPr>
            <w:tcW w:w="5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2019</w:t>
            </w: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134,773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4,452</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$3,667,662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 (5,182,409)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left w:val="single" w:sz="8" w:color="CCEEFF"/>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gridSpan w:val="2"/>
            <w:shd w:val="clear" w:color="auto" w:fill="CCEEFF"/>
          </w:tcPr>
          <w:p>
            <w:pPr>
              <w:jc w:val="center"/>
              <w:ind w:left="448"/>
              <w:spacing w:after="0" w:line="142" w:lineRule="exact"/>
              <w:rPr>
                <w:sz w:val="20"/>
                <w:szCs w:val="20"/>
                <w:color w:val="auto"/>
              </w:rPr>
            </w:pPr>
            <w:r>
              <w:rPr>
                <w:rFonts w:ascii="Arial" w:cs="Arial" w:eastAsia="Arial" w:hAnsi="Arial"/>
                <w:sz w:val="14"/>
                <w:szCs w:val="14"/>
                <w:color w:val="auto"/>
                <w:w w:val="85"/>
              </w:rPr>
              <w:t>(2,547)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$5,012,799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3,499,957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shd w:val="clear" w:color="auto" w:fill="CCEEFF"/>
          </w:tcPr>
          <w:p>
            <w:pPr>
              <w:jc w:val="center"/>
              <w:ind w:left="128"/>
              <w:spacing w:after="0" w:line="142" w:lineRule="exact"/>
              <w:rPr>
                <w:sz w:val="20"/>
                <w:szCs w:val="20"/>
                <w:color w:val="auto"/>
              </w:rPr>
            </w:pPr>
            <w:r>
              <w:rPr>
                <w:rFonts w:ascii="Arial" w:cs="Arial" w:eastAsia="Arial" w:hAnsi="Arial"/>
                <w:sz w:val="14"/>
                <w:szCs w:val="14"/>
                <w:color w:val="auto"/>
                <w:w w:val="93"/>
              </w:rPr>
              <w:t>42,509</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$3,542,466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(2)</w:t>
            </w:r>
          </w:p>
        </w:tc>
        <w:tc>
          <w:tcPr>
            <w:tcW w:w="66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3"/>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90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242,970</w:t>
            </w:r>
          </w:p>
        </w:tc>
        <w:tc>
          <w:tcPr>
            <w:tcW w:w="160" w:type="dxa"/>
            <w:vAlign w:val="bottom"/>
            <w:tcBorders>
              <w:left w:val="single" w:sz="8" w:color="CCEEFF"/>
            </w:tcBorders>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242,970</w:t>
            </w: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242,970</w:t>
            </w:r>
          </w:p>
        </w:tc>
        <w:tc>
          <w:tcPr>
            <w:tcW w:w="0" w:type="dxa"/>
            <w:vAlign w:val="bottom"/>
          </w:tcPr>
          <w:p>
            <w:pPr>
              <w:spacing w:after="0"/>
              <w:rPr>
                <w:sz w:val="1"/>
                <w:szCs w:val="1"/>
                <w:color w:val="auto"/>
              </w:rPr>
            </w:pPr>
          </w:p>
        </w:tc>
      </w:tr>
      <w:tr>
        <w:trPr>
          <w:trHeight w:val="156"/>
        </w:trPr>
        <w:tc>
          <w:tcPr>
            <w:tcW w:w="334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loss</w:t>
            </w:r>
          </w:p>
        </w:tc>
        <w:tc>
          <w:tcPr>
            <w:tcW w:w="66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gridSpan w:val="3"/>
          </w:tcPr>
          <w:p>
            <w:pPr>
              <w:jc w:val="center"/>
              <w:ind w:left="408"/>
              <w:spacing w:after="0" w:line="149" w:lineRule="exact"/>
              <w:rPr>
                <w:sz w:val="20"/>
                <w:szCs w:val="20"/>
                <w:color w:val="auto"/>
              </w:rPr>
            </w:pPr>
            <w:r>
              <w:rPr>
                <w:rFonts w:ascii="Arial" w:cs="Arial" w:eastAsia="Arial" w:hAnsi="Arial"/>
                <w:sz w:val="14"/>
                <w:szCs w:val="14"/>
                <w:color w:val="auto"/>
                <w:w w:val="94"/>
              </w:rPr>
              <w:t>(6,657)</w:t>
            </w:r>
          </w:p>
        </w:tc>
        <w:tc>
          <w:tcPr>
            <w:tcW w:w="100" w:type="dxa"/>
            <w:vAlign w:val="bottom"/>
          </w:tcPr>
          <w:p>
            <w:pPr>
              <w:spacing w:after="0"/>
              <w:rPr>
                <w:sz w:val="13"/>
                <w:szCs w:val="13"/>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(6,657)</w:t>
            </w:r>
          </w:p>
        </w:tc>
        <w:tc>
          <w:tcPr>
            <w:tcW w:w="120" w:type="dxa"/>
            <w:vAlign w:val="bottom"/>
          </w:tcPr>
          <w:p>
            <w:pPr>
              <w:spacing w:after="0"/>
              <w:rPr>
                <w:sz w:val="13"/>
                <w:szCs w:val="13"/>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(6,657)</w:t>
            </w:r>
          </w:p>
        </w:tc>
        <w:tc>
          <w:tcPr>
            <w:tcW w:w="0" w:type="dxa"/>
            <w:vAlign w:val="bottom"/>
          </w:tcPr>
          <w:p>
            <w:pPr>
              <w:spacing w:after="0"/>
              <w:rPr>
                <w:sz w:val="1"/>
                <w:szCs w:val="1"/>
                <w:color w:val="auto"/>
              </w:rPr>
            </w:pPr>
          </w:p>
        </w:tc>
      </w:tr>
      <w:tr>
        <w:trPr>
          <w:trHeight w:val="148"/>
        </w:trPr>
        <w:tc>
          <w:tcPr>
            <w:tcW w:w="334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left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236,313</w:t>
            </w: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left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236,313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1,344</w:t>
            </w:r>
          </w:p>
        </w:tc>
        <w:tc>
          <w:tcPr>
            <w:tcW w:w="140" w:type="dxa"/>
            <w:vAlign w:val="bottom"/>
          </w:tcPr>
          <w:p>
            <w:pPr>
              <w:spacing w:after="0"/>
              <w:rPr>
                <w:sz w:val="12"/>
                <w:szCs w:val="12"/>
                <w:color w:val="auto"/>
              </w:rPr>
            </w:pPr>
          </w:p>
        </w:tc>
        <w:tc>
          <w:tcPr>
            <w:tcW w:w="5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700" w:type="dxa"/>
            <w:vAlign w:val="bottom"/>
            <w:gridSpan w:val="3"/>
          </w:tcPr>
          <w:p>
            <w:pPr>
              <w:jc w:val="center"/>
              <w:ind w:left="148"/>
              <w:spacing w:after="0" w:line="149" w:lineRule="exact"/>
              <w:rPr>
                <w:sz w:val="20"/>
                <w:szCs w:val="20"/>
                <w:color w:val="auto"/>
              </w:rPr>
            </w:pPr>
            <w:r>
              <w:rPr>
                <w:rFonts w:ascii="Arial" w:cs="Arial" w:eastAsia="Arial" w:hAnsi="Arial"/>
                <w:sz w:val="14"/>
                <w:szCs w:val="14"/>
                <w:color w:val="auto"/>
                <w:w w:val="93"/>
              </w:rPr>
              <w:t>70,627</w:t>
            </w:r>
          </w:p>
        </w:tc>
        <w:tc>
          <w:tcPr>
            <w:tcW w:w="10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3"/>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70,645</w:t>
            </w:r>
          </w:p>
        </w:tc>
        <w:tc>
          <w:tcPr>
            <w:tcW w:w="12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70,645</w:t>
            </w:r>
          </w:p>
        </w:tc>
        <w:tc>
          <w:tcPr>
            <w:tcW w:w="0" w:type="dxa"/>
            <w:vAlign w:val="bottom"/>
          </w:tcPr>
          <w:p>
            <w:pPr>
              <w:spacing w:after="0"/>
              <w:rPr>
                <w:sz w:val="1"/>
                <w:szCs w:val="1"/>
                <w:color w:val="auto"/>
              </w:rPr>
            </w:pPr>
          </w:p>
        </w:tc>
      </w:tr>
      <w:tr>
        <w:trPr>
          <w:trHeight w:val="148"/>
        </w:trPr>
        <w:tc>
          <w:tcPr>
            <w:tcW w:w="33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(3,171)</w:t>
            </w:r>
          </w:p>
        </w:tc>
        <w:tc>
          <w:tcPr>
            <w:tcW w:w="140" w:type="dxa"/>
            <w:vAlign w:val="bottom"/>
            <w:tcBorders>
              <w:lef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(210,048)</w:t>
            </w:r>
          </w:p>
        </w:tc>
        <w:tc>
          <w:tcPr>
            <w:tcW w:w="12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3"/>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(210,048)</w:t>
            </w: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(210,048)</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w w:val="98"/>
              </w:rPr>
              <w:t>Cash dividends declared ($0.6125 per ordinary share)</w:t>
            </w:r>
          </w:p>
        </w:tc>
        <w:tc>
          <w:tcPr>
            <w:tcW w:w="66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3"/>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900" w:type="dxa"/>
            <w:vAlign w:val="bottom"/>
            <w:gridSpan w:val="4"/>
          </w:tcPr>
          <w:p>
            <w:pPr>
              <w:jc w:val="center"/>
              <w:ind w:left="168"/>
              <w:spacing w:after="0" w:line="149" w:lineRule="exact"/>
              <w:rPr>
                <w:sz w:val="20"/>
                <w:szCs w:val="20"/>
                <w:color w:val="auto"/>
              </w:rPr>
            </w:pPr>
            <w:r>
              <w:rPr>
                <w:rFonts w:ascii="Arial" w:cs="Arial" w:eastAsia="Arial" w:hAnsi="Arial"/>
                <w:sz w:val="14"/>
                <w:szCs w:val="14"/>
                <w:color w:val="auto"/>
                <w:w w:val="95"/>
              </w:rPr>
              <w:t>(82,080)</w:t>
            </w:r>
          </w:p>
        </w:tc>
        <w:tc>
          <w:tcPr>
            <w:tcW w:w="16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(82,080)</w:t>
            </w:r>
          </w:p>
        </w:tc>
        <w:tc>
          <w:tcPr>
            <w:tcW w:w="12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(82,080)</w:t>
            </w:r>
          </w:p>
        </w:tc>
        <w:tc>
          <w:tcPr>
            <w:tcW w:w="0" w:type="dxa"/>
            <w:vAlign w:val="bottom"/>
          </w:tcPr>
          <w:p>
            <w:pPr>
              <w:spacing w:after="0"/>
              <w:rPr>
                <w:sz w:val="1"/>
                <w:szCs w:val="1"/>
                <w:color w:val="auto"/>
              </w:rPr>
            </w:pPr>
          </w:p>
        </w:tc>
      </w:tr>
      <w:tr>
        <w:trPr>
          <w:trHeight w:val="149"/>
        </w:trPr>
        <w:tc>
          <w:tcPr>
            <w:tcW w:w="33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66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554</w:t>
            </w:r>
          </w:p>
        </w:tc>
        <w:tc>
          <w:tcPr>
            <w:tcW w:w="140" w:type="dxa"/>
            <w:vAlign w:val="bottom"/>
            <w:tcBorders>
              <w:lef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70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3"/>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0"/>
        </w:trPr>
        <w:tc>
          <w:tcPr>
            <w:tcW w:w="3340" w:type="dxa"/>
            <w:vAlign w:val="bottom"/>
          </w:tcPr>
          <w:p>
            <w:pPr>
              <w:spacing w:after="0" w:line="130" w:lineRule="exact"/>
              <w:rPr>
                <w:sz w:val="20"/>
                <w:szCs w:val="20"/>
                <w:color w:val="auto"/>
              </w:rPr>
            </w:pPr>
            <w:r>
              <w:rPr>
                <w:rFonts w:ascii="Arial" w:cs="Arial" w:eastAsia="Arial" w:hAnsi="Arial"/>
                <w:sz w:val="14"/>
                <w:szCs w:val="14"/>
                <w:color w:val="auto"/>
              </w:rPr>
              <w:t>Equity-based compensation expense related to</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340" w:type="dxa"/>
            <w:vAlign w:val="bottom"/>
          </w:tcPr>
          <w:p>
            <w:pPr>
              <w:ind w:left="140"/>
              <w:spacing w:after="0"/>
              <w:rPr>
                <w:sz w:val="20"/>
                <w:szCs w:val="20"/>
                <w:color w:val="auto"/>
              </w:rPr>
            </w:pPr>
            <w:r>
              <w:rPr>
                <w:rFonts w:ascii="Arial" w:cs="Arial" w:eastAsia="Arial" w:hAnsi="Arial"/>
                <w:sz w:val="14"/>
                <w:szCs w:val="14"/>
                <w:color w:val="auto"/>
              </w:rPr>
              <w:t>employees</w:t>
            </w:r>
          </w:p>
        </w:tc>
        <w:tc>
          <w:tcPr>
            <w:tcW w:w="5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w w:val="93"/>
              </w:rPr>
              <w:t>21,509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left="5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21,509</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March 31, 2020</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133,500</w:t>
            </w:r>
          </w:p>
        </w:tc>
        <w:tc>
          <w:tcPr>
            <w:tcW w:w="14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4,477</w:t>
            </w:r>
          </w:p>
        </w:tc>
        <w:tc>
          <w:tcPr>
            <w:tcW w:w="14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3,759,798</w:t>
            </w:r>
          </w:p>
        </w:tc>
        <w:tc>
          <w:tcPr>
            <w:tcW w:w="9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(5,392,457)</w:t>
            </w:r>
          </w:p>
        </w:tc>
        <w:tc>
          <w:tcPr>
            <w:tcW w:w="1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94"/>
              </w:rPr>
              <w:t>(9,204)</w:t>
            </w:r>
          </w:p>
        </w:tc>
        <w:tc>
          <w:tcPr>
            <w:tcW w:w="90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5,173,689</w:t>
            </w:r>
          </w:p>
        </w:tc>
        <w:tc>
          <w:tcPr>
            <w:tcW w:w="160" w:type="dxa"/>
            <w:vAlign w:val="bottom"/>
            <w:tcBorders>
              <w:lef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3,536,303</w:t>
            </w:r>
          </w:p>
        </w:tc>
        <w:tc>
          <w:tcPr>
            <w:tcW w:w="120" w:type="dxa"/>
            <w:vAlign w:val="bottom"/>
            <w:tcBorders>
              <w:lef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42,509</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3,578,812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4"/>
                <w:szCs w:val="24"/>
                <w:color w:val="auto"/>
              </w:rPr>
            </w:pPr>
          </w:p>
        </w:tc>
        <w:tc>
          <w:tcPr>
            <w:tcW w:w="7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Amdocs</w:t>
            </w: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36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Ordinary Shares</w:t>
            </w:r>
          </w:p>
        </w:tc>
        <w:tc>
          <w:tcPr>
            <w:tcW w:w="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2"/>
                <w:szCs w:val="12"/>
                <w:color w:val="auto"/>
              </w:rPr>
            </w:pPr>
          </w:p>
        </w:tc>
        <w:tc>
          <w:tcPr>
            <w:tcW w:w="9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Limited</w:t>
            </w:r>
          </w:p>
        </w:tc>
        <w:tc>
          <w:tcPr>
            <w:tcW w:w="8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1360" w:type="dxa"/>
            <w:vAlign w:val="bottom"/>
            <w:gridSpan w:val="7"/>
            <w:vMerge w:val="continue"/>
          </w:tcPr>
          <w:p>
            <w:pPr>
              <w:spacing w:after="0"/>
              <w:rPr>
                <w:sz w:val="12"/>
                <w:szCs w:val="12"/>
                <w:color w:val="auto"/>
              </w:rPr>
            </w:pPr>
          </w:p>
        </w:tc>
        <w:tc>
          <w:tcPr>
            <w:tcW w:w="700" w:type="dxa"/>
            <w:vAlign w:val="bottom"/>
            <w:gridSpan w:val="3"/>
          </w:tcPr>
          <w:p>
            <w:pPr>
              <w:ind w:left="40"/>
              <w:spacing w:after="0" w:line="12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100" w:type="dxa"/>
            <w:vAlign w:val="bottom"/>
            <w:gridSpan w:val="4"/>
          </w:tcPr>
          <w:p>
            <w:pPr>
              <w:ind w:left="40"/>
              <w:spacing w:after="0" w:line="125" w:lineRule="exact"/>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60" w:type="dxa"/>
            <w:vAlign w:val="bottom"/>
            <w:gridSpan w:val="4"/>
          </w:tcPr>
          <w:p>
            <w:pPr>
              <w:jc w:val="center"/>
              <w:ind w:right="20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860" w:type="dxa"/>
            <w:vAlign w:val="bottom"/>
            <w:gridSpan w:val="4"/>
          </w:tcPr>
          <w:p>
            <w:pPr>
              <w:jc w:val="center"/>
              <w:ind w:right="200"/>
              <w:spacing w:after="0" w:line="125" w:lineRule="exact"/>
              <w:rPr>
                <w:sz w:val="20"/>
                <w:szCs w:val="20"/>
                <w:color w:val="auto"/>
              </w:rPr>
            </w:pPr>
            <w:r>
              <w:rPr>
                <w:rFonts w:ascii="Arial" w:cs="Arial" w:eastAsia="Arial" w:hAnsi="Arial"/>
                <w:sz w:val="14"/>
                <w:szCs w:val="14"/>
                <w:b w:val="1"/>
                <w:bCs w:val="1"/>
                <w:color w:val="auto"/>
                <w:w w:val="85"/>
              </w:rPr>
              <w:t>interests</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66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gridSpan w:val="2"/>
          </w:tcPr>
          <w:p>
            <w:pPr>
              <w:spacing w:after="0"/>
              <w:rPr>
                <w:sz w:val="13"/>
                <w:szCs w:val="13"/>
                <w:color w:val="auto"/>
              </w:rPr>
            </w:pPr>
          </w:p>
        </w:tc>
        <w:tc>
          <w:tcPr>
            <w:tcW w:w="70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84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3"/>
                <w:szCs w:val="13"/>
                <w:color w:val="auto"/>
              </w:rPr>
            </w:pPr>
          </w:p>
        </w:tc>
        <w:tc>
          <w:tcPr>
            <w:tcW w:w="84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w w:val="90"/>
              </w:rPr>
              <w:t>Earnings</w:t>
            </w:r>
          </w:p>
        </w:tc>
        <w:tc>
          <w:tcPr>
            <w:tcW w:w="160" w:type="dxa"/>
            <w:vAlign w:val="bottom"/>
          </w:tcPr>
          <w:p>
            <w:pPr>
              <w:spacing w:after="0"/>
              <w:rPr>
                <w:sz w:val="13"/>
                <w:szCs w:val="13"/>
                <w:color w:val="auto"/>
              </w:rPr>
            </w:pPr>
          </w:p>
        </w:tc>
        <w:tc>
          <w:tcPr>
            <w:tcW w:w="90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3"/>
                <w:szCs w:val="13"/>
                <w:color w:val="auto"/>
              </w:rPr>
            </w:pPr>
          </w:p>
        </w:tc>
        <w:tc>
          <w:tcPr>
            <w:tcW w:w="540" w:type="dxa"/>
            <w:vAlign w:val="bottom"/>
          </w:tcPr>
          <w:p>
            <w:pPr>
              <w:jc w:val="center"/>
              <w:ind w:right="48"/>
              <w:spacing w:after="0" w:line="155" w:lineRule="exact"/>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2018</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140,177</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4,436</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$3,587,625</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 (4,784,352)</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lef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(32,731)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$4,673,901</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left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3,448,879</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43,163</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$3,492,042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Cumulative effect adjustment (3)</w:t>
            </w:r>
          </w:p>
        </w:tc>
        <w:tc>
          <w:tcPr>
            <w:tcW w:w="66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10,434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10,434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10,434</w:t>
            </w:r>
          </w:p>
        </w:tc>
        <w:tc>
          <w:tcPr>
            <w:tcW w:w="0" w:type="dxa"/>
            <w:vAlign w:val="bottom"/>
          </w:tcPr>
          <w:p>
            <w:pPr>
              <w:spacing w:after="0"/>
              <w:rPr>
                <w:sz w:val="1"/>
                <w:szCs w:val="1"/>
                <w:color w:val="auto"/>
              </w:rPr>
            </w:pPr>
          </w:p>
        </w:tc>
      </w:tr>
      <w:tr>
        <w:trPr>
          <w:trHeight w:val="149"/>
        </w:trPr>
        <w:tc>
          <w:tcPr>
            <w:tcW w:w="33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ind w:left="280"/>
              <w:spacing w:after="0" w:line="149" w:lineRule="exact"/>
              <w:rPr>
                <w:sz w:val="20"/>
                <w:szCs w:val="20"/>
                <w:color w:val="auto"/>
              </w:rPr>
            </w:pPr>
            <w:r>
              <w:rPr>
                <w:rFonts w:ascii="Arial" w:cs="Arial" w:eastAsia="Arial" w:hAnsi="Arial"/>
                <w:sz w:val="14"/>
                <w:szCs w:val="14"/>
                <w:color w:val="auto"/>
              </w:rPr>
              <w:t>Net income (2)</w:t>
            </w:r>
          </w:p>
        </w:tc>
        <w:tc>
          <w:tcPr>
            <w:tcW w:w="66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225,971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225,971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225,971</w:t>
            </w:r>
          </w:p>
        </w:tc>
        <w:tc>
          <w:tcPr>
            <w:tcW w:w="0" w:type="dxa"/>
            <w:vAlign w:val="bottom"/>
          </w:tcPr>
          <w:p>
            <w:pPr>
              <w:spacing w:after="0"/>
              <w:rPr>
                <w:sz w:val="1"/>
                <w:szCs w:val="1"/>
                <w:color w:val="auto"/>
              </w:rPr>
            </w:pPr>
          </w:p>
        </w:tc>
      </w:tr>
      <w:tr>
        <w:trPr>
          <w:trHeight w:val="148"/>
        </w:trPr>
        <w:tc>
          <w:tcPr>
            <w:tcW w:w="334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6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24,928</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3"/>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24,928</w:t>
            </w:r>
          </w:p>
        </w:tc>
        <w:tc>
          <w:tcPr>
            <w:tcW w:w="1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24,928</w:t>
            </w:r>
          </w:p>
        </w:tc>
        <w:tc>
          <w:tcPr>
            <w:tcW w:w="0" w:type="dxa"/>
            <w:vAlign w:val="bottom"/>
          </w:tcPr>
          <w:p>
            <w:pPr>
              <w:spacing w:after="0"/>
              <w:rPr>
                <w:sz w:val="1"/>
                <w:szCs w:val="1"/>
                <w:color w:val="auto"/>
              </w:rPr>
            </w:pPr>
          </w:p>
        </w:tc>
      </w:tr>
      <w:tr>
        <w:trPr>
          <w:trHeight w:val="156"/>
        </w:trPr>
        <w:tc>
          <w:tcPr>
            <w:tcW w:w="3340" w:type="dxa"/>
            <w:vAlign w:val="bottom"/>
          </w:tcPr>
          <w:p>
            <w:pPr>
              <w:ind w:left="280"/>
              <w:spacing w:after="0" w:line="155" w:lineRule="exact"/>
              <w:rPr>
                <w:sz w:val="20"/>
                <w:szCs w:val="20"/>
                <w:color w:val="auto"/>
              </w:rPr>
            </w:pPr>
            <w:r>
              <w:rPr>
                <w:rFonts w:ascii="Arial" w:cs="Arial" w:eastAsia="Arial" w:hAnsi="Arial"/>
                <w:sz w:val="14"/>
                <w:szCs w:val="14"/>
                <w:color w:val="auto"/>
              </w:rPr>
              <w:t>Comprehensive income</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250,899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center"/>
              <w:ind w:left="208"/>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gridSpan w:val="2"/>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250,899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270</w:t>
            </w:r>
          </w:p>
        </w:tc>
        <w:tc>
          <w:tcPr>
            <w:tcW w:w="14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11,535</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3"/>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3"/>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11,539</w:t>
            </w:r>
          </w:p>
        </w:tc>
        <w:tc>
          <w:tcPr>
            <w:tcW w:w="1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11,539</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(219,214)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0" w:type="dxa"/>
            <w:vAlign w:val="bottom"/>
            <w:gridSpan w:val="3"/>
          </w:tcPr>
          <w:p>
            <w:pPr>
              <w:jc w:val="center"/>
              <w:ind w:left="6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(219,214)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(219,214)</w:t>
            </w:r>
          </w:p>
        </w:tc>
        <w:tc>
          <w:tcPr>
            <w:tcW w:w="0" w:type="dxa"/>
            <w:vAlign w:val="bottom"/>
          </w:tcPr>
          <w:p>
            <w:pPr>
              <w:spacing w:after="0"/>
              <w:rPr>
                <w:sz w:val="1"/>
                <w:szCs w:val="1"/>
                <w:color w:val="auto"/>
              </w:rPr>
            </w:pPr>
          </w:p>
        </w:tc>
      </w:tr>
      <w:tr>
        <w:trPr>
          <w:trHeight w:val="148"/>
        </w:trPr>
        <w:tc>
          <w:tcPr>
            <w:tcW w:w="33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($0.535 per ordinary share)</w:t>
            </w:r>
          </w:p>
        </w:tc>
        <w:tc>
          <w:tcPr>
            <w:tcW w:w="6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3"/>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(73,839)</w:t>
            </w:r>
          </w:p>
        </w:tc>
        <w:tc>
          <w:tcPr>
            <w:tcW w:w="1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(73,839)</w:t>
            </w:r>
          </w:p>
        </w:tc>
        <w:tc>
          <w:tcPr>
            <w:tcW w:w="1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(73,839)</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410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700" w:type="dxa"/>
            <w:vAlign w:val="bottom"/>
            <w:gridSpan w:val="3"/>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0" w:type="dxa"/>
            <w:vAlign w:val="bottom"/>
            <w:gridSpan w:val="3"/>
          </w:tcPr>
          <w:p>
            <w:pPr>
              <w:jc w:val="center"/>
              <w:ind w:left="6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0"/>
        </w:trPr>
        <w:tc>
          <w:tcPr>
            <w:tcW w:w="334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 expense related to</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employees</w:t>
            </w:r>
          </w:p>
        </w:tc>
        <w:tc>
          <w:tcPr>
            <w:tcW w:w="66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21,731</w:t>
            </w: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980" w:type="dxa"/>
            <w:vAlign w:val="bottom"/>
            <w:gridSpan w:val="3"/>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3"/>
            <w:shd w:val="clear" w:color="auto" w:fill="CCEEFF"/>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Borders>
              <w:left w:val="single" w:sz="8" w:color="CCEEFF"/>
            </w:tcBorders>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21,731</w:t>
            </w:r>
          </w:p>
        </w:tc>
        <w:tc>
          <w:tcPr>
            <w:tcW w:w="1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40" w:type="dxa"/>
            <w:vAlign w:val="bottom"/>
            <w:gridSpan w:val="3"/>
            <w:shd w:val="clear" w:color="auto" w:fill="CCEEFF"/>
          </w:tcPr>
          <w:p>
            <w:pPr>
              <w:jc w:val="center"/>
              <w:ind w:left="8"/>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21,731</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Changes in Noncontrolling interests</w:t>
            </w: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2"/>
                <w:szCs w:val="12"/>
                <w:color w:val="auto"/>
              </w:rPr>
            </w:pPr>
          </w:p>
        </w:tc>
        <w:tc>
          <w:tcPr>
            <w:tcW w:w="60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left="468"/>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(810)</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27"/>
        </w:trPr>
        <w:tc>
          <w:tcPr>
            <w:tcW w:w="33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3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March 31, 2019</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137,131</w:t>
            </w:r>
          </w:p>
        </w:tc>
        <w:tc>
          <w:tcPr>
            <w:tcW w:w="14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4,445</w:t>
            </w: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3,620,891</w:t>
            </w:r>
          </w:p>
        </w:tc>
        <w:tc>
          <w:tcPr>
            <w:tcW w:w="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 (5,003,566)</w:t>
            </w:r>
          </w:p>
        </w:tc>
        <w:tc>
          <w:tcPr>
            <w:tcW w:w="1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(7,803)</w:t>
            </w: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4,836,467</w:t>
            </w:r>
          </w:p>
        </w:tc>
        <w:tc>
          <w:tcPr>
            <w:tcW w:w="1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3,450,434</w:t>
            </w:r>
          </w:p>
        </w:tc>
        <w:tc>
          <w:tcPr>
            <w:tcW w:w="1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42,353</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3,492,787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Six months ended</w:t>
      </w:r>
    </w:p>
    <w:p>
      <w:pPr>
        <w:jc w:val="center"/>
        <w:ind w:left="90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242,970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225,971</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98,107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101,853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21,731</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9,150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14,806</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(22,637)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Lease assets and liabilities, net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(11,947)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(84,922)</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17,616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(17,502)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266,776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278,279</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(104,705)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(57,928)</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50,609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(3,273)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(107,978)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(15,252)</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350,000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(210,048)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(219,214)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Payments of dividends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(76,770)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(69,801)</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Investment by noncontrolling interests, net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132,172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(282,615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290,970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(19,588)</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471,632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418,783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762,602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399,195</w:t>
            </w:r>
          </w:p>
        </w:tc>
        <w:tc>
          <w:tcPr>
            <w:tcW w:w="0" w:type="dxa"/>
            <w:vAlign w:val="bottom"/>
          </w:tcPr>
          <w:p>
            <w:pPr>
              <w:spacing w:after="0"/>
              <w:rPr>
                <w:sz w:val="1"/>
                <w:szCs w:val="1"/>
                <w:color w:val="auto"/>
              </w:rPr>
            </w:pPr>
          </w:p>
        </w:tc>
      </w:tr>
      <w:tr>
        <w:trPr>
          <w:trHeight w:val="20"/>
        </w:trPr>
        <w:tc>
          <w:tcPr>
            <w:tcW w:w="9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Income taxes, net of refunds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26,744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47,827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424" w:right="200" w:hanging="424"/>
        <w:spacing w:after="0" w:line="255"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$82 and $63 for the six months ended March 31, 2020 and 2019, respectively, and proceeds of $9,676 relating to the refund of betterment levy for the six months ended March 31, 2019 ($4,776 of which was a refund to the noncontrolling interests).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“Interest” include payments of interest to financial institution, tax authorities and other.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0" w:right="4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amdocsONE cloud-native portfolio.</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187" w:lineRule="exact"/>
        <w:rPr>
          <w:sz w:val="20"/>
          <w:szCs w:val="20"/>
          <w:color w:val="auto"/>
        </w:rPr>
      </w:pPr>
    </w:p>
    <w:p>
      <w:pPr>
        <w:ind w:right="1280" w:firstLine="440"/>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and are denominated in U.S. dollars.</w:t>
      </w:r>
    </w:p>
    <w:p>
      <w:pPr>
        <w:spacing w:after="0" w:line="17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2019, set forth in the Company’s Annual Report on Form 20-F filed on December 16, 2019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March 2020, the Financial Accounting Standards Board, or FASB, issued Accounting Standard Update, or ASU No.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 Facilitation of the Effects of Reference Rate Reform on Financial Reporting”</w:t>
      </w:r>
      <w:r>
        <w:rPr>
          <w:rFonts w:ascii="Arial" w:cs="Arial" w:eastAsia="Arial" w:hAnsi="Arial"/>
          <w:sz w:val="17"/>
          <w:szCs w:val="17"/>
          <w:color w:val="auto"/>
        </w:rPr>
        <w:t>. The ASU provides temporary optional expedients and exceptions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certain contract modifications, hedge relationships and other transactions that reference London Inter-bank Offered Rate (“LIBOR”) or other reference rates expected to be discontinued due to the reference rate reform. This ASU is effective as of March 12, 2020 through December 31, 2022. The Company is currently evaluating the impact of adoption of this ASU on its consolidated financial statements.</w:t>
      </w:r>
    </w:p>
    <w:p>
      <w:pPr>
        <w:spacing w:after="0" w:line="176"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In December 2019, the FASB issued Accounting Standard Update, or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The ASU simplifies the accounting for income taxes by eliminating certain exceptions to the guidance in ASC 740 related to the approach for intra period tax allocation, the methodology for calculating income taxes in an interim period and the recognition of deferred tax liabilities for outside basis differences. This ASU will be effective for the Company on October 1, 2021, and early adoption is permitted. The Company currently expects that adoption of this ASU will not have a material impact on its consolidated financial statements.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In November 2018, the FASB, issued ASU No. 2018-18</w:t>
      </w:r>
      <w:r>
        <w:rPr>
          <w:rFonts w:ascii="Arial" w:cs="Arial" w:eastAsia="Arial" w:hAnsi="Arial"/>
          <w:sz w:val="17"/>
          <w:szCs w:val="17"/>
          <w:i w:val="1"/>
          <w:iCs w:val="1"/>
          <w:color w:val="auto"/>
        </w:rPr>
        <w:t>, “Collaborative Arrangements</w:t>
      </w:r>
      <w:r>
        <w:rPr>
          <w:rFonts w:ascii="Arial" w:cs="Arial" w:eastAsia="Arial" w:hAnsi="Arial"/>
          <w:sz w:val="17"/>
          <w:szCs w:val="17"/>
          <w:color w:val="auto"/>
        </w:rPr>
        <w:t>”. The ASU clarifies the interaction between collaborative arrangements and the new revenue standards. This ASU will be effective for the Company on October 1, 2020, and early adoption is permitted. The Company currently expects that adoption of this ASU will not have a material impact on its consolidated financial statements.</w:t>
      </w:r>
    </w:p>
    <w:p>
      <w:pPr>
        <w:spacing w:after="0" w:line="16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 “Customer’s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The ASU amends the definition of hosting arrangement and requires a customer in a hosting arrangement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 service contract to capitalize certain implementation costs as if the arrangement was an internal-use software project. This ASU will be effective for the Company on October 1, 2020, and early adoption is permitted. The Company currently expects that adoption of this ASU will not have a material impact on its consolidated financial statements.</w:t>
      </w:r>
    </w:p>
    <w:p>
      <w:pPr>
        <w:spacing w:after="0" w:line="188"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In August 2018, the FASB issued ASU No. 2018-13</w:t>
      </w:r>
      <w:r>
        <w:rPr>
          <w:rFonts w:ascii="Arial" w:cs="Arial" w:eastAsia="Arial" w:hAnsi="Arial"/>
          <w:sz w:val="18"/>
          <w:szCs w:val="18"/>
          <w:i w:val="1"/>
          <w:iCs w:val="1"/>
          <w:color w:val="auto"/>
        </w:rPr>
        <w:t>, “Fair Value Measurement”.</w:t>
      </w:r>
      <w:r>
        <w:rPr>
          <w:rFonts w:ascii="Arial" w:cs="Arial" w:eastAsia="Arial" w:hAnsi="Arial"/>
          <w:sz w:val="18"/>
          <w:szCs w:val="18"/>
          <w:color w:val="auto"/>
        </w:rPr>
        <w:t xml:space="preserve"> The ASU eliminates, adds and modifies certain disclosure requirements for fair value measurements. This ASU will be effective for the Company on October 1, 2020, and early adoption is permitted with specific limitations. The Company currently expects that adoption of this ASU may result in changes to its financial statements disclosure but will not have a material impact on its consolidated financial statements.</w:t>
      </w:r>
    </w:p>
    <w:p>
      <w:pPr>
        <w:spacing w:after="0" w:line="187"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In August 2018, the FASB issued ASU No. 2018-14, “</w:t>
      </w:r>
      <w:r>
        <w:rPr>
          <w:rFonts w:ascii="Arial" w:cs="Arial" w:eastAsia="Arial" w:hAnsi="Arial"/>
          <w:sz w:val="18"/>
          <w:szCs w:val="18"/>
          <w:i w:val="1"/>
          <w:iCs w:val="1"/>
          <w:color w:val="auto"/>
        </w:rPr>
        <w:t>Changes to the Disclosure Requirements for Defined Benefit Plans”</w:t>
      </w:r>
      <w:r>
        <w:rPr>
          <w:rFonts w:ascii="Arial" w:cs="Arial" w:eastAsia="Arial" w:hAnsi="Arial"/>
          <w:sz w:val="18"/>
          <w:szCs w:val="18"/>
          <w:color w:val="auto"/>
        </w:rPr>
        <w:t>. The ASU makes minor changes to the disclosure requirement for employers that sponsor defined pension and/or other post retirement benefit plans. This ASU will be effective for the Company on October 1, 2020, and early adoption is permitted. The Company expects that the adoption of this ASU will not have a material impact on its consolidated financial statements.</w:t>
      </w:r>
    </w:p>
    <w:p>
      <w:pPr>
        <w:spacing w:after="0" w:line="18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In August 2017, the FASB issued ASU No.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The ASU amends existing guidance to simplify the application of hedge accounting in certain situations and allows companies to better align their hedge accounting with their risk management activities. This ASU will be effective for the Company on October 1, 2020, and earlier adoption by one year is permitted. The Company currently expects that adoption of this ASU will not have a material impact on its consolidated financial statements.</w:t>
      </w:r>
    </w:p>
    <w:p>
      <w:pPr>
        <w:spacing w:after="0" w:line="171"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The ASU which introduces an impairment model that is based on expected losses rather than incurred losses and will apply to financial assets subject to credit losses and measured at amortized cost, and certain off-balance sheet credit exposures. This ASU will be effective for the Company on October 1, 2020, and earlier adoption by one year is permitted. The Company is currently evaluating the impact of adoption of this ASU on its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0" w:right="4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In February 2016, the FASB issued ASU No. 2016-02, “Leases”. The ASU increases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As of October 1, 2019, the Company adopted this ASU using the modified retrospective transition approach. Prior period amounts were not adjusted. The Company elected the package of practical expedients which does not require reassessment of prior conclusions related to identifying leases, lease classification or initial direct costs. The Company also elected the practical expedient not to separate non-lease components from lease components and instead to account for each separate lease component and the non-lease components associated with that lease component as a single lease component for its real estate and vehicle leases. The adoption of this ASU did not have a material impact on its consolidated statement of income and on its consolidated statement of cash flow.</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impact of adopting this ASU on its Consolidated Balance Sheets was as follows:</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3"/>
              </w:rPr>
              <w:t>Balance as of</w:t>
            </w:r>
          </w:p>
        </w:tc>
        <w:tc>
          <w:tcPr>
            <w:tcW w:w="1860" w:type="dxa"/>
            <w:vAlign w:val="bottom"/>
            <w:gridSpan w:val="4"/>
          </w:tcPr>
          <w:p>
            <w:pPr>
              <w:ind w:left="300"/>
              <w:spacing w:after="0"/>
              <w:rPr>
                <w:sz w:val="20"/>
                <w:szCs w:val="20"/>
                <w:color w:val="auto"/>
              </w:rPr>
            </w:pPr>
            <w:r>
              <w:rPr>
                <w:rFonts w:ascii="Arial" w:cs="Arial" w:eastAsia="Arial" w:hAnsi="Arial"/>
                <w:sz w:val="14"/>
                <w:szCs w:val="14"/>
                <w:b w:val="1"/>
                <w:bCs w:val="1"/>
                <w:color w:val="auto"/>
              </w:rPr>
              <w:t>Adjustments due to</w:t>
            </w:r>
          </w:p>
        </w:tc>
        <w:tc>
          <w:tcPr>
            <w:tcW w:w="30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Balance as of</w:t>
            </w:r>
          </w:p>
        </w:tc>
      </w:tr>
      <w:tr>
        <w:trPr>
          <w:trHeight w:val="171"/>
        </w:trPr>
        <w:tc>
          <w:tcPr>
            <w:tcW w:w="1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6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 2019</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ASC 842</w:t>
            </w:r>
          </w:p>
        </w:tc>
        <w:tc>
          <w:tcPr>
            <w:tcW w:w="1380" w:type="dxa"/>
            <w:vAlign w:val="bottom"/>
            <w:gridSpan w:val="4"/>
          </w:tcPr>
          <w:p>
            <w:pPr>
              <w:ind w:left="280"/>
              <w:spacing w:after="0"/>
              <w:rPr>
                <w:sz w:val="20"/>
                <w:szCs w:val="20"/>
                <w:color w:val="auto"/>
              </w:rPr>
            </w:pPr>
            <w:r>
              <w:rPr>
                <w:rFonts w:ascii="Arial" w:cs="Arial" w:eastAsia="Arial" w:hAnsi="Arial"/>
                <w:sz w:val="14"/>
                <w:szCs w:val="14"/>
                <w:b w:val="1"/>
                <w:bCs w:val="1"/>
                <w:color w:val="auto"/>
              </w:rPr>
              <w:t>October 1, 2019</w:t>
            </w:r>
          </w:p>
        </w:tc>
      </w:tr>
      <w:tr>
        <w:trPr>
          <w:trHeight w:val="176"/>
        </w:trPr>
        <w:tc>
          <w:tcPr>
            <w:tcW w:w="11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Balance Sheet:</w:t>
            </w:r>
          </w:p>
        </w:tc>
        <w:tc>
          <w:tcPr>
            <w:tcW w:w="29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216,084</w:t>
            </w:r>
          </w:p>
        </w:tc>
        <w:tc>
          <w:tcPr>
            <w:tcW w:w="34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(6,697)</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209,387</w:t>
            </w:r>
          </w:p>
        </w:tc>
        <w:tc>
          <w:tcPr>
            <w:tcW w:w="12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281,785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281,785</w:t>
            </w:r>
          </w:p>
        </w:tc>
        <w:tc>
          <w:tcPr>
            <w:tcW w:w="12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Other noncurrent assets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423,941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(2,755)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421,186</w:t>
            </w:r>
          </w:p>
        </w:tc>
        <w:tc>
          <w:tcPr>
            <w:tcW w:w="12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(647,657)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(644,104)</w:t>
            </w:r>
          </w:p>
        </w:tc>
      </w:tr>
      <w:tr>
        <w:trPr>
          <w:trHeight w:val="216"/>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Lease liabilities (current)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(63,351)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(63,351)</w:t>
            </w:r>
          </w:p>
        </w:tc>
      </w:tr>
      <w:tr>
        <w:trPr>
          <w:trHeight w:val="216"/>
        </w:trPr>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liabilities (non-current)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(221,050)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(221,050)</w:t>
            </w:r>
          </w:p>
        </w:tc>
      </w:tr>
      <w:tr>
        <w:trPr>
          <w:trHeight w:val="230"/>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(334,922)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8,515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(326,407)</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15 to the consolidated financial statements for further details.</w:t>
      </w:r>
    </w:p>
    <w:p>
      <w:pPr>
        <w:spacing w:after="0" w:line="225" w:lineRule="exact"/>
        <w:rPr>
          <w:sz w:val="20"/>
          <w:szCs w:val="20"/>
          <w:color w:val="auto"/>
        </w:rPr>
      </w:pPr>
    </w:p>
    <w:p>
      <w:pPr>
        <w:ind w:right="440" w:firstLine="440"/>
        <w:spacing w:after="0" w:line="259" w:lineRule="auto"/>
        <w:rPr>
          <w:sz w:val="20"/>
          <w:szCs w:val="20"/>
          <w:color w:val="auto"/>
        </w:rPr>
      </w:pPr>
      <w:r>
        <w:rPr>
          <w:rFonts w:ascii="Arial" w:cs="Arial" w:eastAsia="Arial" w:hAnsi="Arial"/>
          <w:sz w:val="18"/>
          <w:szCs w:val="18"/>
          <w:color w:val="auto"/>
        </w:rPr>
        <w:t>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The ASU aligns the measurement and classification for share-based payments to nonemployees with the guidance for share-based payments to employees, with certain exceptions. The Company prospectively adopted this ASU effective October 1, 2019. As of the date of the adoption there was no impact on the Company’s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11" w:name="page12"/>
    <w:bookmarkEnd w:id="1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9" w:lineRule="exact"/>
        <w:rPr>
          <w:sz w:val="20"/>
          <w:szCs w:val="20"/>
          <w:color w:val="auto"/>
        </w:rPr>
      </w:pPr>
    </w:p>
    <w:p>
      <w:pPr>
        <w:jc w:val="right"/>
        <w:ind w:left="444" w:right="9140" w:hanging="444"/>
        <w:spacing w:after="0" w:line="425" w:lineRule="auto"/>
        <w:tabs>
          <w:tab w:leader="none" w:pos="18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Contract Balances</w:t>
      </w:r>
    </w:p>
    <w:p>
      <w:pPr>
        <w:ind w:left="444"/>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60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82"/>
        </w:trPr>
        <w:tc>
          <w:tcPr>
            <w:tcW w:w="6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Accounts receivable - billed (net of allowances for doubtful accounts of $33,073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and $36,121 as of March 31, 2020 and September 30, 2019, respectively)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755,393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760,797</w:t>
            </w:r>
          </w:p>
        </w:tc>
      </w:tr>
      <w:tr>
        <w:trPr>
          <w:trHeight w:val="324"/>
        </w:trPr>
        <w:tc>
          <w:tcPr>
            <w:tcW w:w="600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190,886</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227,061</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38,610</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16,987</w:t>
            </w:r>
          </w:p>
        </w:tc>
      </w:tr>
      <w:tr>
        <w:trPr>
          <w:trHeight w:val="224"/>
        </w:trPr>
        <w:tc>
          <w:tcPr>
            <w:tcW w:w="6000" w:type="dxa"/>
            <w:vAlign w:val="bottom"/>
          </w:tcPr>
          <w:p>
            <w:pPr>
              <w:spacing w:after="0"/>
              <w:rPr>
                <w:sz w:val="20"/>
                <w:szCs w:val="20"/>
                <w:color w:val="auto"/>
              </w:rPr>
            </w:pPr>
            <w:r>
              <w:rPr>
                <w:rFonts w:ascii="Arial" w:cs="Arial" w:eastAsia="Arial" w:hAnsi="Arial"/>
                <w:sz w:val="18"/>
                <w:szCs w:val="18"/>
                <w:color w:val="auto"/>
              </w:rPr>
              <w:t>Total Accounts receivable - unbilled</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229,496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244,048</w:t>
            </w:r>
          </w:p>
        </w:tc>
        <w:tc>
          <w:tcPr>
            <w:tcW w:w="100" w:type="dxa"/>
            <w:vAlign w:val="bottom"/>
          </w:tcPr>
          <w:p>
            <w:pPr>
              <w:spacing w:after="0"/>
              <w:rPr>
                <w:sz w:val="19"/>
                <w:szCs w:val="19"/>
                <w:color w:val="auto"/>
              </w:rPr>
            </w:pPr>
          </w:p>
        </w:tc>
      </w:tr>
      <w:tr>
        <w:trPr>
          <w:trHeight w:val="107"/>
        </w:trPr>
        <w:tc>
          <w:tcPr>
            <w:tcW w:w="6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(137,468)</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(118,182)</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(22,115)</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(23,785)</w:t>
            </w:r>
          </w:p>
        </w:tc>
      </w:tr>
      <w:tr>
        <w:trPr>
          <w:trHeight w:val="27"/>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(159,583)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(141,967)</w:t>
            </w:r>
          </w:p>
        </w:tc>
      </w:tr>
    </w:tbl>
    <w:p>
      <w:pPr>
        <w:spacing w:after="0" w:line="202"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Revenue recognized during the three and six months ended March 31, 2020, which was included in deferred revenue (current) as of September 30, 2019 was $22,416 and $78,109 respectively.</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Remaining Performance Obligations from Contracts with Customer</w:t>
      </w:r>
    </w:p>
    <w:p>
      <w:pPr>
        <w:spacing w:after="0" w:line="121" w:lineRule="exact"/>
        <w:rPr>
          <w:sz w:val="20"/>
          <w:szCs w:val="20"/>
          <w:color w:val="auto"/>
        </w:rPr>
      </w:pPr>
    </w:p>
    <w:p>
      <w:pPr>
        <w:ind w:left="4" w:right="300" w:firstLine="440"/>
        <w:spacing w:after="0" w:line="301" w:lineRule="auto"/>
        <w:rPr>
          <w:sz w:val="20"/>
          <w:szCs w:val="20"/>
          <w:color w:val="auto"/>
        </w:rPr>
      </w:pPr>
      <w:r>
        <w:rPr>
          <w:rFonts w:ascii="Arial" w:cs="Arial" w:eastAsia="Arial" w:hAnsi="Arial"/>
          <w:sz w:val="16"/>
          <w:szCs w:val="16"/>
          <w:color w:val="auto"/>
        </w:rPr>
        <w:t>As of March 31, 2020, the aggregate amount of the transaction price allocated to remaining performance obligations that are unsatisfied or partially unsatisfied was approximately $5.2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6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tables provide details of revenue by nature of activities and by geography:</w:t>
      </w:r>
    </w:p>
    <w:p>
      <w:pPr>
        <w:spacing w:after="0" w:line="333"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Revenue by nature of activities</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1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8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arrangement</w:t>
            </w:r>
          </w:p>
        </w:tc>
        <w:tc>
          <w:tcPr>
            <w:tcW w:w="2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6"/>
              </w:rPr>
              <w:t>604,035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559,484</w:t>
            </w: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$ 1,183,704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$ 1,084,953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443,898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460,173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906,186</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946,759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1,047,933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1,019,657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$ 2,089,890</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$ 2,031,712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0" w:type="dxa"/>
            <w:vAlign w:val="bottom"/>
            <w:vMerge w:val="restart"/>
          </w:tcPr>
          <w:p>
            <w:pPr>
              <w:jc w:val="right"/>
              <w:ind w:right="35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691,252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$1,353,359</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$1,294,599</w:t>
            </w:r>
          </w:p>
        </w:tc>
        <w:tc>
          <w:tcPr>
            <w:tcW w:w="4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148,341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151,039</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303,003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297,169</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208,340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234,460</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433,528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439,944</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1,047,933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1,019,657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2,089,890</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2,031,712</w:t>
            </w:r>
          </w:p>
        </w:tc>
        <w:tc>
          <w:tcPr>
            <w:tcW w:w="4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jc w:val="both"/>
        <w:ind w:right="260" w:firstLine="440"/>
        <w:spacing w:after="0" w:line="301"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980" w:right="1000"/>
        <w:spacing w:after="0" w:line="279" w:lineRule="auto"/>
        <w:rPr>
          <w:sz w:val="20"/>
          <w:szCs w:val="20"/>
          <w:color w:val="auto"/>
        </w:rPr>
      </w:pPr>
      <w:r>
        <w:rPr>
          <w:rFonts w:ascii="Arial" w:cs="Arial" w:eastAsia="Arial" w:hAnsi="Arial"/>
          <w:sz w:val="17"/>
          <w:szCs w:val="17"/>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Level 3: Unobservable inputs that are supported by little or no market activity that is significant to the fair value of the assets or liabilities.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March 31,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2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March 31, 2020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9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94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8"/>
              </w:rPr>
              <w:t>Level 3</w:t>
            </w:r>
          </w:p>
        </w:tc>
        <w:tc>
          <w:tcPr>
            <w:tcW w:w="7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Money market funds</w:t>
            </w:r>
          </w:p>
        </w:tc>
        <w:tc>
          <w:tcPr>
            <w:tcW w:w="24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348,676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348,676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3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348,676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348,676</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Equity Investment</w:t>
            </w:r>
          </w:p>
        </w:tc>
        <w:tc>
          <w:tcPr>
            <w:tcW w:w="2420" w:type="dxa"/>
            <w:vAlign w:val="bottom"/>
          </w:tcPr>
          <w:p>
            <w:pPr>
              <w:spacing w:after="0"/>
              <w:rPr>
                <w:sz w:val="19"/>
                <w:szCs w:val="19"/>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22,185</w:t>
            </w:r>
          </w:p>
        </w:tc>
        <w:tc>
          <w:tcPr>
            <w:tcW w:w="3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4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(22,585)</w:t>
            </w:r>
          </w:p>
        </w:tc>
        <w:tc>
          <w:tcPr>
            <w:tcW w:w="3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348,676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349,941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20" w:type="dxa"/>
            <w:vAlign w:val="bottom"/>
            <w:vMerge w:val="restart"/>
          </w:tcPr>
          <w:p>
            <w:pPr>
              <w:jc w:val="right"/>
              <w:ind w:right="970"/>
              <w:spacing w:after="0"/>
              <w:rPr>
                <w:sz w:val="20"/>
                <w:szCs w:val="20"/>
                <w:color w:val="auto"/>
              </w:rPr>
            </w:pPr>
            <w:r>
              <w:rPr>
                <w:rFonts w:ascii="Arial" w:cs="Arial" w:eastAsia="Arial" w:hAnsi="Arial"/>
                <w:sz w:val="18"/>
                <w:szCs w:val="18"/>
                <w:color w:val="auto"/>
              </w:rPr>
              <w:t>13</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70" w:right="51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5"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As of September 30, 2019</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8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8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2"/>
              </w:rPr>
              <w:t>Level 3</w:t>
            </w:r>
          </w:p>
        </w:tc>
        <w:tc>
          <w:tcPr>
            <w:tcW w:w="6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Money market funds</w:t>
            </w:r>
          </w:p>
        </w:tc>
        <w:tc>
          <w:tcPr>
            <w:tcW w:w="276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69,370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$ 69,370</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0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69,370</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Equity Investment</w:t>
            </w:r>
          </w:p>
        </w:tc>
        <w:tc>
          <w:tcPr>
            <w:tcW w:w="200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18,008</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7,890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7,890</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(29,805)</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(29,805)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69,370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(11,797)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$ 65,463</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The Company’s derivative instruments are classified as Level 2 as they represent foreign currency forward and option contracts valued primarily based on observable inputs including forward rates and yield curves. Level 3 liabilities relate to certain acquisition-related liabilities, which were generally valued using a Monte-Carlo simulation model. These liabilities were included in both accrued expenses and other current liabilities and other noncurrent liabilities as of March 31, 2020 and September 30, 2019. The decrease in Level 3 liabilities is mainly a result of net decrease in expense recorded in the consolidated statements of income and payment of certain acquisition-related liabilities during the six months ended March 31, 2020. Level 3 assets relate to an equity investment, which was valued based on price changes in orderly transactions for similar investments of the same issuer.</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left="4" w:right="280" w:firstLine="440"/>
        <w:spacing w:after="0" w:line="263" w:lineRule="auto"/>
        <w:rPr>
          <w:sz w:val="20"/>
          <w:szCs w:val="20"/>
          <w:color w:val="auto"/>
        </w:rPr>
      </w:pPr>
      <w:r>
        <w:rPr>
          <w:rFonts w:ascii="Arial" w:cs="Arial" w:eastAsia="Arial" w:hAnsi="Arial"/>
          <w:sz w:val="18"/>
          <w:szCs w:val="18"/>
          <w:color w:val="auto"/>
        </w:rPr>
        <w:t>The carrying amounts of the Company’s cash and cash equivalents, accounts receivable, accounts payable, accrued expenses and other current liabilities, accrued personnel costs and short-term financing arrangement approximate their fair value because of the relatively short maturity of these items.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 Available-For-Sale Securities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As of March 31, 2020</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7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348,676</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348,676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Total(1)</w:t>
            </w:r>
          </w:p>
        </w:tc>
        <w:tc>
          <w:tcPr>
            <w:tcW w:w="140" w:type="dxa"/>
            <w:vAlign w:val="bottom"/>
          </w:tcPr>
          <w:p>
            <w:pPr>
              <w:spacing w:after="0"/>
              <w:rPr>
                <w:sz w:val="19"/>
                <w:szCs w:val="19"/>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348,676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348,676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w w:val="99"/>
              </w:rPr>
              <w:t>As of September 30, 2019</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8"/>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10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0"/>
                <w:szCs w:val="10"/>
                <w:color w:val="auto"/>
              </w:rPr>
            </w:pPr>
          </w:p>
        </w:tc>
        <w:tc>
          <w:tcPr>
            <w:tcW w:w="68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Gross</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$ 69,370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69,370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Total(1)</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$ 69,370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69,370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4" w:right="480" w:hanging="424"/>
        <w:spacing w:after="0" w:line="342"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Available-for-sale securities with maturities of 90 days or less from the date of acquisition were included in cash and cash equivalents on the Company’s balance sheet. As of March 31, 2020, and September 30, 2019, all the securities were classified as cash and cash equivalents.</w:t>
      </w:r>
    </w:p>
    <w:p>
      <w:pPr>
        <w:spacing w:after="0" w:line="124" w:lineRule="exact"/>
        <w:rPr>
          <w:sz w:val="20"/>
          <w:szCs w:val="20"/>
          <w:color w:val="auto"/>
        </w:rPr>
      </w:pPr>
    </w:p>
    <w:p>
      <w:pPr>
        <w:ind w:left="4" w:right="240" w:firstLine="440"/>
        <w:spacing w:after="0" w:line="311" w:lineRule="auto"/>
        <w:rPr>
          <w:sz w:val="20"/>
          <w:szCs w:val="20"/>
          <w:color w:val="auto"/>
        </w:rPr>
      </w:pPr>
      <w:r>
        <w:rPr>
          <w:rFonts w:ascii="Arial" w:cs="Arial" w:eastAsia="Arial" w:hAnsi="Arial"/>
          <w:sz w:val="16"/>
          <w:szCs w:val="16"/>
          <w:color w:val="auto"/>
        </w:rPr>
        <w:t>The Company assessed whether unrealized losses for the investments in its portfolio were other-than-temporary. Based on this assessment, the Company did not recognize any credit losses in the three and six months ended March 31, 2020 and 2019. Realized gains and losses on available-for-sale securities were included in earnings and are derived using the first-in-first-out (FIFO) method for determining the cost of securities.</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0" w:right="439" w:bottom="1440" w:gutter="0" w:footer="0" w:header="0"/>
        </w:sectPr>
      </w:pPr>
    </w:p>
    <w:bookmarkStart w:id="14" w:name="page15"/>
    <w:bookmarkEnd w:id="1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left="4" w:right="280" w:firstLine="330"/>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4" w:firstLine="330"/>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$19,702 as of March 31, 2020. The Company has limited its credit risk by entering into derivative transactions exclusively with investment-grade rated financial institutions and monitors the creditworthiness of these financial institutions on an ongoing basis.</w:t>
      </w:r>
    </w:p>
    <w:p>
      <w:pPr>
        <w:spacing w:after="0" w:line="166" w:lineRule="exact"/>
        <w:rPr>
          <w:sz w:val="20"/>
          <w:szCs w:val="20"/>
          <w:color w:val="auto"/>
        </w:rPr>
      </w:pPr>
    </w:p>
    <w:p>
      <w:pPr>
        <w:ind w:left="4" w:right="620" w:firstLine="330"/>
        <w:spacing w:after="0" w:line="277" w:lineRule="auto"/>
        <w:rPr>
          <w:sz w:val="20"/>
          <w:szCs w:val="20"/>
          <w:color w:val="auto"/>
        </w:rPr>
      </w:pPr>
      <w:r>
        <w:rPr>
          <w:rFonts w:ascii="Arial" w:cs="Arial" w:eastAsia="Arial" w:hAnsi="Arial"/>
          <w:sz w:val="18"/>
          <w:szCs w:val="18"/>
          <w:color w:val="auto"/>
        </w:rPr>
        <w:t>The Company classifies cash flows from its derivative transactions as cash flows from operating activities in the consolidated statements of cash flow.</w:t>
      </w:r>
    </w:p>
    <w:p>
      <w:pPr>
        <w:spacing w:after="0" w:line="170" w:lineRule="exact"/>
        <w:rPr>
          <w:sz w:val="20"/>
          <w:szCs w:val="20"/>
          <w:color w:val="auto"/>
        </w:rPr>
      </w:pPr>
    </w:p>
    <w:p>
      <w:pPr>
        <w:ind w:left="4" w:right="120" w:firstLine="330"/>
        <w:spacing w:after="0" w:line="263"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March 31, 2020. Notional values are in U.S. dollars and are translated and calculated based on forward rates as of March 31, 2020 for forward contracts, and based on spot rates as of March 31, 2020 for options.</w:t>
      </w:r>
    </w:p>
    <w:p>
      <w:pPr>
        <w:spacing w:after="0" w:line="202"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1,389,499</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160" w:hanging="224"/>
        <w:spacing w:after="0" w:line="277"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0" w:right="4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5 to the consolidated financial statements. The fair value of the open foreign exchange contracts recorded as an asset or a liability by the Company on its consolidated balance sheets as of March 31, 2020 and September 30, 2019, is as follows:</w:t>
      </w:r>
    </w:p>
    <w:p>
      <w:pPr>
        <w:spacing w:after="0" w:line="202"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16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4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6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15,343</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9,344</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(13,057)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(2,977)</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w:t>
            </w:r>
          </w:p>
        </w:tc>
      </w:tr>
      <w:tr>
        <w:trPr>
          <w:trHeight w:val="223"/>
        </w:trPr>
        <w:tc>
          <w:tcPr>
            <w:tcW w:w="6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19"/>
                <w:szCs w:val="19"/>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12,894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5,086</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(10,442)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(2,076)</w:t>
            </w:r>
          </w:p>
        </w:tc>
      </w:tr>
      <w:tr>
        <w:trPr>
          <w:trHeight w:val="230"/>
        </w:trPr>
        <w:tc>
          <w:tcPr>
            <w:tcW w:w="6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20"/>
                <w:szCs w:val="20"/>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7,890</w:t>
            </w:r>
          </w:p>
        </w:tc>
      </w:tr>
      <w:tr>
        <w:trPr>
          <w:trHeight w:val="20"/>
        </w:trPr>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right="20" w:firstLine="330"/>
        <w:spacing w:after="0" w:line="296"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March 31, 2020 is scheduled to mature within the next 12 months.</w:t>
      </w:r>
    </w:p>
    <w:p>
      <w:pPr>
        <w:spacing w:after="0" w:line="161" w:lineRule="exact"/>
        <w:rPr>
          <w:sz w:val="20"/>
          <w:szCs w:val="20"/>
          <w:color w:val="auto"/>
        </w:rPr>
      </w:pPr>
    </w:p>
    <w:p>
      <w:pPr>
        <w:jc w:val="both"/>
        <w:ind w:right="60" w:firstLine="330"/>
        <w:spacing w:after="0" w:line="287"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w:t>
      </w:r>
    </w:p>
    <w:p>
      <w:pPr>
        <w:spacing w:after="0" w:line="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effect of the Company’s cash flow hedging instruments in the consolidated statements of income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2020 and 2019, respectively, which partially offsets the foreign currency impact from the underlying exposures, is summarized as follows:</w:t>
      </w:r>
    </w:p>
    <w:p>
      <w:pPr>
        <w:spacing w:after="0" w:line="24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0"/>
              </w:rPr>
              <w:t>Gains (Losses) Reclassified from</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40" w:type="dxa"/>
            <w:vAlign w:val="bottom"/>
            <w:gridSpan w:val="14"/>
          </w:tcPr>
          <w:p>
            <w:pPr>
              <w:jc w:val="right"/>
              <w:ind w:right="521"/>
              <w:spacing w:after="0" w:line="149" w:lineRule="exact"/>
              <w:rPr>
                <w:sz w:val="20"/>
                <w:szCs w:val="20"/>
                <w:color w:val="auto"/>
              </w:rPr>
            </w:pPr>
            <w:r>
              <w:rPr>
                <w:rFonts w:ascii="Arial" w:cs="Arial" w:eastAsia="Arial" w:hAnsi="Arial"/>
                <w:sz w:val="14"/>
                <w:szCs w:val="14"/>
                <w:b w:val="1"/>
                <w:bCs w:val="1"/>
                <w:color w:val="auto"/>
              </w:rPr>
              <w:t>Other Comprehensive (Loss) Income (Effective Portion)</w:t>
            </w:r>
          </w:p>
        </w:tc>
      </w:tr>
      <w:tr>
        <w:trPr>
          <w:trHeight w:val="17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2"/>
              </w:rPr>
              <w:t>Three months ended March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141"/>
              <w:spacing w:after="0"/>
              <w:rPr>
                <w:sz w:val="20"/>
                <w:szCs w:val="20"/>
                <w:color w:val="auto"/>
              </w:rPr>
            </w:pPr>
            <w:r>
              <w:rPr>
                <w:rFonts w:ascii="Arial" w:cs="Arial" w:eastAsia="Arial" w:hAnsi="Arial"/>
                <w:sz w:val="14"/>
                <w:szCs w:val="14"/>
                <w:b w:val="1"/>
                <w:bCs w:val="1"/>
                <w:color w:val="auto"/>
                <w:w w:val="92"/>
              </w:rPr>
              <w:t>Six months ended March 31,</w:t>
            </w:r>
          </w:p>
        </w:tc>
      </w:tr>
      <w:tr>
        <w:trPr>
          <w:trHeight w:val="142"/>
        </w:trPr>
        <w:tc>
          <w:tcPr>
            <w:tcW w:w="5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106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1,627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(8,823)</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(2,078)</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firstLine="330"/>
        <w:spacing w:after="0" w:line="277" w:lineRule="auto"/>
        <w:rPr>
          <w:sz w:val="20"/>
          <w:szCs w:val="20"/>
          <w:color w:val="auto"/>
        </w:rPr>
      </w:pPr>
      <w:r>
        <w:rPr>
          <w:rFonts w:ascii="Arial" w:cs="Arial" w:eastAsia="Arial" w:hAnsi="Arial"/>
          <w:sz w:val="18"/>
          <w:szCs w:val="18"/>
          <w:color w:val="auto"/>
        </w:rPr>
        <w:t>The activity related to the changes in net unrealized gains on cash flow hedges recorded in accumulated other comprehensive loss, net of tax, is as follows:</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6"/>
          </w:tcPr>
          <w:p>
            <w:pPr>
              <w:jc w:val="right"/>
              <w:ind w:right="261"/>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6"/>
          </w:tcPr>
          <w:p>
            <w:pPr>
              <w:jc w:val="right"/>
              <w:ind w:right="501"/>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 on cash flow hedges, net of tax, beginning of period</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$ 3,945</w:t>
            </w:r>
          </w:p>
        </w:tc>
        <w:tc>
          <w:tcPr>
            <w:tcW w:w="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(26,608)</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12,265</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(gains) losses into earnings, net of tax</w:t>
            </w: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8"/>
              </w:rPr>
              <w:t>11,473</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Net unrealized losses on cash flow hedges, net of tax, end of period</w:t>
            </w:r>
          </w:p>
        </w:tc>
        <w:tc>
          <w:tcPr>
            <w:tcW w:w="20" w:type="dxa"/>
            <w:vAlign w:val="bottom"/>
          </w:tcPr>
          <w:p>
            <w:pPr>
              <w:spacing w:after="0"/>
              <w:rPr>
                <w:sz w:val="19"/>
                <w:szCs w:val="19"/>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(2,712</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330"/>
        <w:spacing w:after="0" w:line="277" w:lineRule="auto"/>
        <w:rPr>
          <w:sz w:val="20"/>
          <w:szCs w:val="20"/>
          <w:color w:val="auto"/>
        </w:rPr>
      </w:pPr>
      <w:r>
        <w:rPr>
          <w:rFonts w:ascii="Arial" w:cs="Arial" w:eastAsia="Arial" w:hAnsi="Arial"/>
          <w:sz w:val="18"/>
          <w:szCs w:val="18"/>
          <w:color w:val="auto"/>
        </w:rPr>
        <w:t>Net (losses) gains from cash flow hedges recognized in other comprehensive (loss) income were $(2,480) and $11,221, or $(4,413) and $12,265 net of taxes, during the six months ended March 31, 2020 and 2019, respectively.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Of the net unrealized loss related to derivatives designated as cash flow hedges and recorded in accumulated other comprehensive loss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2020, a net gain of $423 will be reclassified into earnings within the next 12 months and will partially offset the foreign currency impact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exposures. The amount ultimately realized in earnings will likely differ due to future changes in foreign exchange rates.</w:t>
      </w:r>
    </w:p>
    <w:p>
      <w:pPr>
        <w:spacing w:after="0" w:line="211" w:lineRule="exact"/>
        <w:rPr>
          <w:sz w:val="20"/>
          <w:szCs w:val="20"/>
          <w:color w:val="auto"/>
        </w:rPr>
      </w:pPr>
    </w:p>
    <w:p>
      <w:pPr>
        <w:ind w:right="40" w:firstLine="330"/>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six months ended March 31, 2020 and 2019, was not material.</w:t>
      </w:r>
    </w:p>
    <w:p>
      <w:pPr>
        <w:spacing w:after="0" w:line="170" w:lineRule="exact"/>
        <w:rPr>
          <w:sz w:val="20"/>
          <w:szCs w:val="20"/>
          <w:color w:val="auto"/>
        </w:rPr>
      </w:pPr>
    </w:p>
    <w:p>
      <w:pPr>
        <w:jc w:val="both"/>
        <w:ind w:right="80" w:firstLine="330"/>
        <w:spacing w:after="0" w:line="263"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140" w:firstLine="330"/>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right="540" w:firstLine="330"/>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17" w:name="page18"/>
    <w:bookmarkEnd w:id="17"/>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six months ended March 31, 2020 and 2019, respectively, which partially offsets the foreign currency impact from the underlying exposure, is summarized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18"/>
          </w:tcPr>
          <w:p>
            <w:pPr>
              <w:ind w:left="60"/>
              <w:spacing w:after="0"/>
              <w:rPr>
                <w:sz w:val="20"/>
                <w:szCs w:val="20"/>
                <w:color w:val="auto"/>
              </w:rPr>
            </w:pPr>
            <w:r>
              <w:rPr>
                <w:rFonts w:ascii="Arial" w:cs="Arial" w:eastAsia="Arial" w:hAnsi="Arial"/>
                <w:sz w:val="14"/>
                <w:szCs w:val="14"/>
                <w:b w:val="1"/>
                <w:bCs w:val="1"/>
                <w:color w:val="auto"/>
              </w:rPr>
              <w:t>Gains (Losses) Recognized in 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11"/>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4"/>
                <w:szCs w:val="14"/>
                <w:color w:val="auto"/>
              </w:rPr>
            </w:pPr>
          </w:p>
        </w:tc>
        <w:tc>
          <w:tcPr>
            <w:tcW w:w="2000" w:type="dxa"/>
            <w:vAlign w:val="bottom"/>
            <w:gridSpan w:val="13"/>
          </w:tcPr>
          <w:p>
            <w:pPr>
              <w:jc w:val="right"/>
              <w:ind w:right="180"/>
              <w:spacing w:after="0"/>
              <w:rPr>
                <w:sz w:val="20"/>
                <w:szCs w:val="20"/>
                <w:color w:val="auto"/>
              </w:rPr>
            </w:pPr>
            <w:r>
              <w:rPr>
                <w:rFonts w:ascii="Arial" w:cs="Arial" w:eastAsia="Arial" w:hAnsi="Arial"/>
                <w:sz w:val="14"/>
                <w:szCs w:val="14"/>
                <w:b w:val="1"/>
                <w:bCs w:val="1"/>
                <w:color w:val="auto"/>
                <w:w w:val="95"/>
              </w:rPr>
              <w:t>Six months ended March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5"/>
          </w:tcPr>
          <w:p>
            <w:pPr>
              <w:jc w:val="right"/>
              <w:ind w:right="1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4"/>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48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(5,403)</w:t>
            </w: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1,809</w:t>
            </w:r>
          </w:p>
        </w:tc>
        <w:tc>
          <w:tcPr>
            <w:tcW w:w="8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w w:val="91"/>
              </w:rPr>
              <w:t>(4,279)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91"/>
              </w:rPr>
              <w:t>(1,223)</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other expense, net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2,671</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68"/>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2,934</w:t>
            </w: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91"/>
              </w:rPr>
              <w:t>(2,461)</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80" w:type="dxa"/>
            <w:vAlign w:val="bottom"/>
            <w:gridSpan w:val="3"/>
          </w:tcPr>
          <w:p>
            <w:pPr>
              <w:ind w:left="440"/>
              <w:spacing w:after="0"/>
              <w:rPr>
                <w:sz w:val="20"/>
                <w:szCs w:val="20"/>
                <w:color w:val="auto"/>
              </w:rPr>
            </w:pPr>
            <w:r>
              <w:rPr>
                <w:rFonts w:ascii="Arial" w:cs="Arial" w:eastAsia="Arial" w:hAnsi="Arial"/>
                <w:sz w:val="18"/>
                <w:szCs w:val="18"/>
                <w:color w:val="auto"/>
                <w:w w:val="97"/>
              </w:rPr>
              <w:t>Accrued expenses and other current liabilities consist of the following:</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6"/>
          </w:tcPr>
          <w:p>
            <w:pPr>
              <w:ind w:left="40"/>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0"/>
              </w:rPr>
              <w:t>$239,736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259,661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8"/>
          </w:tcPr>
          <w:p>
            <w:pPr>
              <w:jc w:val="right"/>
              <w:ind w:right="80"/>
              <w:spacing w:after="0"/>
              <w:rPr>
                <w:sz w:val="20"/>
                <w:szCs w:val="20"/>
                <w:color w:val="auto"/>
              </w:rPr>
            </w:pPr>
            <w:r>
              <w:rPr>
                <w:rFonts w:ascii="Arial" w:cs="Arial" w:eastAsia="Arial" w:hAnsi="Arial"/>
                <w:sz w:val="18"/>
                <w:szCs w:val="18"/>
                <w:color w:val="auto"/>
              </w:rPr>
              <w:t>124,434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140,701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4"/>
              </w:rPr>
              <w:t>30,064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28,335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8"/>
                <w:szCs w:val="18"/>
                <w:color w:val="auto"/>
                <w:w w:val="94"/>
              </w:rPr>
              <w:t>43,723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38,413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4"/>
              </w:rPr>
              <w:t>23,499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5,053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183,141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175,494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644,597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647,657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80" w:type="dxa"/>
            <w:vAlign w:val="bottom"/>
            <w:gridSpan w:val="3"/>
          </w:tcPr>
          <w:p>
            <w:pPr>
              <w:ind w:left="440"/>
              <w:spacing w:after="0"/>
              <w:rPr>
                <w:sz w:val="20"/>
                <w:szCs w:val="20"/>
                <w:color w:val="auto"/>
              </w:rPr>
            </w:pPr>
            <w:r>
              <w:rPr>
                <w:rFonts w:ascii="Arial" w:cs="Arial" w:eastAsia="Arial" w:hAnsi="Arial"/>
                <w:sz w:val="18"/>
                <w:szCs w:val="18"/>
                <w:color w:val="auto"/>
                <w:w w:val="99"/>
              </w:rPr>
              <w:t>The provision for income taxes for the following periods consisted of:</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2"/>
              </w:rPr>
              <w:t>Three months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2"/>
              </w:rPr>
              <w:t>Six months</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5"/>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5"/>
          </w:tcPr>
          <w:p>
            <w:pPr>
              <w:jc w:val="center"/>
              <w:ind w:left="293"/>
              <w:spacing w:after="0" w:line="142"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$24,593</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5"/>
            <w:shd w:val="clear" w:color="auto" w:fill="CCEEFF"/>
          </w:tcPr>
          <w:p>
            <w:pPr>
              <w:jc w:val="center"/>
              <w:spacing w:after="0"/>
              <w:rPr>
                <w:sz w:val="20"/>
                <w:szCs w:val="20"/>
                <w:color w:val="auto"/>
              </w:rPr>
            </w:pPr>
            <w:r>
              <w:rPr>
                <w:rFonts w:ascii="Arial" w:cs="Arial" w:eastAsia="Arial" w:hAnsi="Arial"/>
                <w:sz w:val="18"/>
                <w:szCs w:val="18"/>
                <w:color w:val="auto"/>
                <w:w w:val="89"/>
              </w:rPr>
              <w:t>$15,130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$45,527</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52,562</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2,791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rPr>
              <w:t>8,900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9,150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27,384</w:t>
            </w:r>
          </w:p>
        </w:tc>
        <w:tc>
          <w:tcPr>
            <w:tcW w:w="40" w:type="dxa"/>
            <w:vAlign w:val="bottom"/>
            <w:shd w:val="clear" w:color="auto" w:fill="CCEEFF"/>
          </w:tcPr>
          <w:p>
            <w:pPr>
              <w:spacing w:after="0"/>
              <w:rPr>
                <w:sz w:val="18"/>
                <w:szCs w:val="18"/>
                <w:color w:val="auto"/>
              </w:rPr>
            </w:pPr>
          </w:p>
        </w:tc>
        <w:tc>
          <w:tcPr>
            <w:tcW w:w="940" w:type="dxa"/>
            <w:vAlign w:val="bottom"/>
            <w:gridSpan w:val="7"/>
            <w:shd w:val="clear" w:color="auto" w:fill="CCEEFF"/>
          </w:tcPr>
          <w:p>
            <w:pPr>
              <w:jc w:val="center"/>
              <w:ind w:left="153"/>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24,030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54,677</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56,957</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ind w:left="54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440" w:top="270" w:right="61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9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7"/>
              </w:rPr>
              <w:t>Three months ended</w:t>
            </w:r>
          </w:p>
        </w:tc>
        <w:tc>
          <w:tcPr>
            <w:tcW w:w="15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40" w:type="dxa"/>
            <w:vAlign w:val="bottom"/>
            <w:gridSpan w:val="3"/>
          </w:tcPr>
          <w:p>
            <w:pPr>
              <w:ind w:left="400"/>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2019</w:t>
            </w:r>
          </w:p>
        </w:tc>
        <w:tc>
          <w:tcPr>
            <w:tcW w:w="4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Foreign taxes (1)</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16.2</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18.4</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330"/>
        <w:spacing w:after="0" w:line="277" w:lineRule="auto"/>
        <w:rPr>
          <w:sz w:val="20"/>
          <w:szCs w:val="20"/>
          <w:color w:val="auto"/>
        </w:rPr>
      </w:pPr>
      <w:r>
        <w:rPr>
          <w:rFonts w:ascii="Arial" w:cs="Arial" w:eastAsia="Arial" w:hAnsi="Arial"/>
          <w:sz w:val="18"/>
          <w:szCs w:val="18"/>
          <w:color w:val="auto"/>
        </w:rPr>
        <w:t>As a Guernsey company subject to a corporate tax rate of zero percent, the Company’s overall effective tax rate is attributable to foreign taxes. 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Foreign taxes:</w:t>
      </w:r>
    </w:p>
    <w:p>
      <w:pPr>
        <w:spacing w:after="0" w:line="225" w:lineRule="exact"/>
        <w:rPr>
          <w:sz w:val="20"/>
          <w:szCs w:val="20"/>
          <w:color w:val="auto"/>
        </w:rPr>
      </w:pPr>
    </w:p>
    <w:p>
      <w:pPr>
        <w:ind w:firstLine="330"/>
        <w:spacing w:after="0" w:line="259" w:lineRule="auto"/>
        <w:rPr>
          <w:sz w:val="20"/>
          <w:szCs w:val="20"/>
          <w:color w:val="auto"/>
        </w:rPr>
      </w:pPr>
      <w:r>
        <w:rPr>
          <w:rFonts w:ascii="Arial" w:cs="Arial" w:eastAsia="Arial" w:hAnsi="Arial"/>
          <w:sz w:val="18"/>
          <w:szCs w:val="18"/>
          <w:color w:val="auto"/>
        </w:rPr>
        <w:t>On March 27, 2020, the U.S. government enacted the Coronavirus Aid, Relief, and Economic Security Act (“CARES Act”) to provide certain relief as a result of the COVID-19 outbreak. Some of the key income tax-related provisions of the CARES Act include, modification the usage of net operating losses, interest deductions and payroll benefits. Furthermore, other governments have and may continue to offer support to companies who operate in those countries.</w:t>
      </w:r>
    </w:p>
    <w:p>
      <w:pPr>
        <w:spacing w:after="0" w:line="187" w:lineRule="exact"/>
        <w:rPr>
          <w:sz w:val="20"/>
          <w:szCs w:val="20"/>
          <w:color w:val="auto"/>
        </w:rPr>
      </w:pPr>
    </w:p>
    <w:p>
      <w:pPr>
        <w:ind w:right="460" w:firstLine="330"/>
        <w:spacing w:after="0" w:line="277" w:lineRule="auto"/>
        <w:rPr>
          <w:sz w:val="20"/>
          <w:szCs w:val="20"/>
          <w:color w:val="auto"/>
        </w:rPr>
      </w:pPr>
      <w:r>
        <w:rPr>
          <w:rFonts w:ascii="Arial" w:cs="Arial" w:eastAsia="Arial" w:hAnsi="Arial"/>
          <w:sz w:val="18"/>
          <w:szCs w:val="18"/>
          <w:color w:val="auto"/>
        </w:rPr>
        <w:t>Foreign taxes in the six months ended March 31, 2020 included a tax benefit of $4,769 resulting from tax enactments related to COVID-19 in certain jurisdictions.</w:t>
      </w:r>
    </w:p>
    <w:p>
      <w:pPr>
        <w:spacing w:after="0" w:line="170" w:lineRule="exact"/>
        <w:rPr>
          <w:sz w:val="20"/>
          <w:szCs w:val="20"/>
          <w:color w:val="auto"/>
        </w:rPr>
      </w:pPr>
    </w:p>
    <w:p>
      <w:pPr>
        <w:ind w:right="100" w:firstLine="330"/>
        <w:spacing w:after="0" w:line="286" w:lineRule="auto"/>
        <w:rPr>
          <w:sz w:val="20"/>
          <w:szCs w:val="20"/>
          <w:color w:val="auto"/>
        </w:rPr>
      </w:pPr>
      <w:r>
        <w:rPr>
          <w:rFonts w:ascii="Arial" w:cs="Arial" w:eastAsia="Arial" w:hAnsi="Arial"/>
          <w:sz w:val="17"/>
          <w:szCs w:val="17"/>
          <w:color w:val="auto"/>
        </w:rPr>
        <w:t>Foreign taxes in the six months ended March 31, 2020 also included a benefit of $10,689 relating to release of gross unrecognized tax benefits due to settlements with tax authorities and expiration of the periods set forth in statutes of limitations in certain jurisdictions (the majority of which was offset by decrease in tax assets). As a result, a net benefit of $1,417 was included within income tax expense for the period.</w:t>
      </w:r>
    </w:p>
    <w:p>
      <w:pPr>
        <w:spacing w:after="0" w:line="165" w:lineRule="exact"/>
        <w:rPr>
          <w:sz w:val="20"/>
          <w:szCs w:val="20"/>
          <w:color w:val="auto"/>
        </w:rPr>
      </w:pPr>
    </w:p>
    <w:p>
      <w:pPr>
        <w:ind w:right="760" w:firstLine="330"/>
        <w:spacing w:after="0" w:line="277" w:lineRule="auto"/>
        <w:rPr>
          <w:sz w:val="20"/>
          <w:szCs w:val="20"/>
          <w:color w:val="auto"/>
        </w:rPr>
      </w:pPr>
      <w:r>
        <w:rPr>
          <w:rFonts w:ascii="Arial" w:cs="Arial" w:eastAsia="Arial" w:hAnsi="Arial"/>
          <w:sz w:val="18"/>
          <w:szCs w:val="18"/>
          <w:color w:val="auto"/>
        </w:rPr>
        <w:t>Foreign taxes in the six months ended March 31, 2019 included a tax expense of $4,137 resulting from an internal restructuring in certain jurisdictions in which the Company operates.</w:t>
      </w:r>
    </w:p>
    <w:p>
      <w:pPr>
        <w:spacing w:after="0" w:line="170" w:lineRule="exact"/>
        <w:rPr>
          <w:sz w:val="20"/>
          <w:szCs w:val="20"/>
          <w:color w:val="auto"/>
        </w:rPr>
      </w:pPr>
    </w:p>
    <w:p>
      <w:pPr>
        <w:jc w:val="both"/>
        <w:ind w:right="160" w:firstLine="330"/>
        <w:spacing w:after="0" w:line="311" w:lineRule="auto"/>
        <w:rPr>
          <w:sz w:val="20"/>
          <w:szCs w:val="20"/>
          <w:color w:val="auto"/>
        </w:rPr>
      </w:pPr>
      <w:r>
        <w:rPr>
          <w:rFonts w:ascii="Arial" w:cs="Arial" w:eastAsia="Arial" w:hAnsi="Arial"/>
          <w:sz w:val="16"/>
          <w:szCs w:val="16"/>
          <w:color w:val="auto"/>
        </w:rPr>
        <w:t>Foreign taxes in the six months ended March 31, 2019 also included $40,859 relating to release of a provision for gross unrecognized tax benefits due to conclusions of tax audits and expiration of the periods set forth in statutes of limitations in certain jurisdictions, the vast majority of which was offset by income tax payments and an increase in Tax Payables. Accordingly, a net benefit of $3,488, was recorded in income tax expense.</w:t>
      </w:r>
    </w:p>
    <w:p>
      <w:pPr>
        <w:spacing w:after="0" w:line="149" w:lineRule="exact"/>
        <w:rPr>
          <w:sz w:val="20"/>
          <w:szCs w:val="20"/>
          <w:color w:val="auto"/>
        </w:rPr>
      </w:pPr>
    </w:p>
    <w:p>
      <w:pPr>
        <w:ind w:right="300" w:firstLine="330"/>
        <w:spacing w:after="0" w:line="342" w:lineRule="auto"/>
        <w:rPr>
          <w:sz w:val="20"/>
          <w:szCs w:val="20"/>
          <w:color w:val="auto"/>
        </w:rPr>
      </w:pPr>
      <w:r>
        <w:rPr>
          <w:rFonts w:ascii="Arial" w:cs="Arial" w:eastAsia="Arial" w:hAnsi="Arial"/>
          <w:sz w:val="16"/>
          <w:szCs w:val="16"/>
          <w:color w:val="auto"/>
        </w:rPr>
        <w:t>As of March 31, 2020, deferred tax assets of $85,431, derived primarily from tax credits, net capital and operating loss carry forwards related to some of the Company’s subsidiaries, were offset by valuation allowances due to the uncertainty of realizing tax benefit for such credits and losses.</w:t>
      </w:r>
    </w:p>
    <w:p>
      <w:pPr>
        <w:spacing w:after="0" w:line="124" w:lineRule="exact"/>
        <w:rPr>
          <w:sz w:val="20"/>
          <w:szCs w:val="20"/>
          <w:color w:val="auto"/>
        </w:rPr>
      </w:pPr>
    </w:p>
    <w:p>
      <w:pPr>
        <w:ind w:right="60" w:firstLine="330"/>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$166,437 as of March 31, 2020, all of which would affect the effective tax rate if realized.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March 31, 2020, the Company had accrued $31,112 in income taxes payable for interest and penalties relating to unrecognized tax benefits.</w:t>
      </w:r>
    </w:p>
    <w:p>
      <w:pPr>
        <w:spacing w:after="0" w:line="248" w:lineRule="exact"/>
        <w:rPr>
          <w:sz w:val="20"/>
          <w:szCs w:val="20"/>
          <w:color w:val="auto"/>
        </w:rPr>
      </w:pPr>
    </w:p>
    <w:p>
      <w:pPr>
        <w:jc w:val="both"/>
        <w:ind w:right="440" w:firstLine="330"/>
        <w:spacing w:after="0" w:line="263"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7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127,038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124,279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242,970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225,971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Less-net income and dividends attributable to participating restricted shares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23"/>
        </w:trPr>
        <w:tc>
          <w:tcPr>
            <w:tcW w:w="6340" w:type="dxa"/>
            <w:vAlign w:val="bottom"/>
          </w:tcPr>
          <w:p>
            <w:pPr>
              <w:ind w:left="180"/>
              <w:spacing w:after="0"/>
              <w:rPr>
                <w:sz w:val="20"/>
                <w:szCs w:val="20"/>
                <w:color w:val="auto"/>
              </w:rPr>
            </w:pPr>
            <w:r>
              <w:rPr>
                <w:rFonts w:ascii="Arial" w:cs="Arial" w:eastAsia="Arial" w:hAnsi="Arial"/>
                <w:sz w:val="18"/>
                <w:szCs w:val="18"/>
                <w:color w:val="auto"/>
              </w:rPr>
              <w:t>Numerator for basic earnings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126,080</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123,412</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241,255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224,408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 for 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126,084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123,414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241,262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224,413</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number of shares outstanding – basic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134,288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138,182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134,443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138,918</w:t>
            </w: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Less-weighted average number of participating restricted shares</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(964)</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number of common shares – basic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133,276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137,218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133,494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137,957</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180"/>
              <w:spacing w:after="0"/>
              <w:rPr>
                <w:sz w:val="20"/>
                <w:szCs w:val="20"/>
                <w:color w:val="auto"/>
              </w:rPr>
            </w:pPr>
            <w:r>
              <w:rPr>
                <w:rFonts w:ascii="Arial" w:cs="Arial" w:eastAsia="Arial" w:hAnsi="Arial"/>
                <w:sz w:val="18"/>
                <w:szCs w:val="18"/>
                <w:color w:val="auto"/>
              </w:rPr>
              <w:t>Effect of dilutive stock options granted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number of common shares – diluted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134,047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137,733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134,390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138,651</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180"/>
              <w:spacing w:after="0"/>
              <w:rPr>
                <w:sz w:val="20"/>
                <w:szCs w:val="20"/>
                <w:color w:val="auto"/>
              </w:rPr>
            </w:pPr>
            <w:r>
              <w:rPr>
                <w:rFonts w:ascii="Arial" w:cs="Arial" w:eastAsia="Arial" w:hAnsi="Arial"/>
                <w:sz w:val="18"/>
                <w:szCs w:val="18"/>
                <w:color w:val="auto"/>
              </w:rPr>
              <w:t>Basic 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For the three and six months ended March 31, 2020, 2,488 and 2,211 shares, respectively, on a weighted average basis, were attributable to antidilutive outstanding stock options. For the three and six months ended March 31, 2019, 4,941 and 3,548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From time to time, the Company’s Board of Directors can adopt share repurchase plans authorizing the repurchase of the Company’s outstanding ordinary shares. On November 8, 2017, the Company’s Board of Directors adopted a share repurchase plan for the repurchase of up to an additional $800,000 of the Company’s outstanding ordinary shares with no expiration date. In the six months ended March 31, 2020, the Company repurchased 3,171 ordinary shares at an average price of $66.22 per share (excluding broker and transaction fees). The November 2017 plan permits the Company to purchase its ordinary shares in the open market or through privately negotiated transactions at times and prices that it considers appropriate. As of March 31, 2020, the Company had remaining authority to repurchase up to $29,171 of its outstanding ordinary shares under the November 2017 plan. On November 12, 2019, the Company’s Board of Directors adopted another share repurchase plan authorizing the repurchase of up to an additional $800,000 of the Company’s outstanding ordinary shares which brings the unused authorization as of March 31, 2020 to $829,171. The November 2019 plan authorizations has no expiration date and permits the Company to purchase its ordinary shares in the open market or through privately negotiated transactions at times and prices that it considers appropriate.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0" w:right="49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In December 2011, the Company entered into a $500,000 five-year revolving credit facility with a syndicate of banks. In December 2014, the credit facility was amended and restated to, among other things, extend the maturity date of the facility to December 2019. In December 2017, the credit facility was amended and restated again to, among other things, extend the maturity date of the facility to December 2022. In March 2020, the Company drew an aggregate of $300,000 under the revolving facility. As of March 31, 2020, the Company was in compliance with the financial covenants and had $300,000 outstanding under the revolving credit facility. As a result, $200,000 remains available on the revolving credit facility.</w:t>
      </w:r>
    </w:p>
    <w:p>
      <w:pPr>
        <w:spacing w:after="0" w:line="16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In addition, unassociated with the revolving credit facility discussed above, in the three months ended March 31, 2020, the Company entered into a $50,000 short-term loan and in May, 2020 the Company entered into an additional $100,000 short-term loan.</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As of March 31, 2020, the Company had additional uncommitted lines of credit available for general corporate and other specific purposes and had outstanding letters of credit and bank guarantees from various banks totaling $84,471. These were supported by a combination of the uncommitted lines of credit that the Company maintains with various banks.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to be granted under the Equity Incentive Plan was increased from 62,300 to 67,550. The issuance of such additional shares was registered with the SEC in February 2018. In January 2020, the maximum number of ordinary shares authorized to be granted under the Equity Incentive Plan was increased from 67,550 to 70,550. Awards granted under the Equity Incentive Plan generally vest over a period of three to four years and stock options have a term of ten years. Also, in accordance with the Equity Incentive Plan, options are issued at or above the market price at the time of grant.</w:t>
      </w:r>
    </w:p>
    <w:p>
      <w:pPr>
        <w:spacing w:after="0" w:line="178"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During the six months ended March 31, 2020, the Company granted 622 restricted shares and options to purchase 1,068 ordinary shares. The weighted average fair values associated with these grants were $70.52 per restricted share and $8.80 per option.</w:t>
      </w:r>
    </w:p>
    <w:p>
      <w:pPr>
        <w:spacing w:after="0" w:line="14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Employee equity-based compensation pre-tax expense for the three and six months ended March 31, 2020 and 2019 was as follows:</w:t>
      </w:r>
    </w:p>
    <w:p>
      <w:pPr>
        <w:spacing w:after="0" w:line="24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6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6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6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left="96"/>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$5,330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$ 10,039</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$10,181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723</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584</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1,526</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1,349</w:t>
            </w:r>
          </w:p>
        </w:tc>
        <w:tc>
          <w:tcPr>
            <w:tcW w:w="2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5,332</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3,700</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9,944</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10,201</w:t>
            </w:r>
          </w:p>
        </w:tc>
        <w:tc>
          <w:tcPr>
            <w:tcW w:w="20" w:type="dxa"/>
            <w:vAlign w:val="bottom"/>
            <w:shd w:val="clear" w:color="auto" w:fill="CCEEFF"/>
          </w:tcPr>
          <w:p>
            <w:pPr>
              <w:spacing w:after="0"/>
              <w:rPr>
                <w:sz w:val="18"/>
                <w:szCs w:val="18"/>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9,614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$ 21,509</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21,731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The Company recognizes compensation costs for its equity incentive grants using the graded vesting attribution method. As of March 31, 2020, there was $60,031 of unrecognized compensation expense related to unvested stock options and unvested restricted shares which is expected to be recognized over a weighted average period of approximately one year, based on the vesting periods of the grants.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0" w:right="49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Dividends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Board of Directors declared the following dividends during the six months ended March 31, 2020 and 2019:</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116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Dividends</w:t>
            </w:r>
          </w:p>
        </w:tc>
        <w:tc>
          <w:tcPr>
            <w:tcW w:w="14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760" w:type="dxa"/>
            <w:vAlign w:val="bottom"/>
          </w:tcPr>
          <w:p>
            <w:pPr>
              <w:spacing w:after="0"/>
              <w:rPr>
                <w:sz w:val="14"/>
                <w:szCs w:val="14"/>
                <w:color w:val="auto"/>
              </w:rPr>
            </w:pPr>
          </w:p>
        </w:tc>
        <w:tc>
          <w:tcPr>
            <w:tcW w:w="12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0"/>
              </w:rPr>
              <w:t>Total Amount</w:t>
            </w:r>
          </w:p>
        </w:tc>
        <w:tc>
          <w:tcPr>
            <w:tcW w:w="400" w:type="dxa"/>
            <w:vAlign w:val="bottom"/>
          </w:tcPr>
          <w:p>
            <w:pPr>
              <w:spacing w:after="0"/>
              <w:rPr>
                <w:sz w:val="14"/>
                <w:szCs w:val="14"/>
                <w:color w:val="auto"/>
              </w:rPr>
            </w:pP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20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Ordinary Share</w:t>
            </w:r>
          </w:p>
        </w:tc>
        <w:tc>
          <w:tcPr>
            <w:tcW w:w="14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4, 2020</w:t>
            </w: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0.3275</w:t>
            </w:r>
          </w:p>
        </w:tc>
        <w:tc>
          <w:tcPr>
            <w:tcW w:w="8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March 31, 2020</w:t>
            </w: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43,723</w:t>
            </w: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April 24, 2020</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November 12, 2019</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0.285</w:t>
            </w:r>
          </w:p>
        </w:tc>
        <w:tc>
          <w:tcPr>
            <w:tcW w:w="1420" w:type="dxa"/>
            <w:vAlign w:val="bottom"/>
          </w:tcPr>
          <w:p>
            <w:pPr>
              <w:spacing w:after="0"/>
              <w:rPr>
                <w:sz w:val="20"/>
                <w:szCs w:val="20"/>
                <w:color w:val="auto"/>
              </w:rPr>
            </w:pPr>
            <w:r>
              <w:rPr>
                <w:rFonts w:ascii="Arial" w:cs="Arial" w:eastAsia="Arial" w:hAnsi="Arial"/>
                <w:sz w:val="18"/>
                <w:szCs w:val="18"/>
                <w:color w:val="auto"/>
                <w:w w:val="88"/>
              </w:rPr>
              <w:t>December 31, 2019</w:t>
            </w:r>
          </w:p>
        </w:tc>
        <w:tc>
          <w:tcPr>
            <w:tcW w:w="9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38,357</w:t>
            </w:r>
          </w:p>
        </w:tc>
        <w:tc>
          <w:tcPr>
            <w:tcW w:w="1640" w:type="dxa"/>
            <w:vAlign w:val="bottom"/>
            <w:gridSpan w:val="2"/>
          </w:tcPr>
          <w:p>
            <w:pPr>
              <w:ind w:left="400"/>
              <w:spacing w:after="0"/>
              <w:rPr>
                <w:sz w:val="20"/>
                <w:szCs w:val="20"/>
                <w:color w:val="auto"/>
              </w:rPr>
            </w:pPr>
            <w:r>
              <w:rPr>
                <w:rFonts w:ascii="Arial" w:cs="Arial" w:eastAsia="Arial" w:hAnsi="Arial"/>
                <w:sz w:val="18"/>
                <w:szCs w:val="18"/>
                <w:color w:val="auto"/>
                <w:w w:val="87"/>
              </w:rPr>
              <w:t>January 24, 2020</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5, 2019</w:t>
            </w:r>
          </w:p>
        </w:tc>
        <w:tc>
          <w:tcPr>
            <w:tcW w:w="9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0.285</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March 29, 2019</w:t>
            </w:r>
          </w:p>
        </w:tc>
        <w:tc>
          <w:tcPr>
            <w:tcW w:w="9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39,084</w:t>
            </w:r>
          </w:p>
        </w:tc>
        <w:tc>
          <w:tcPr>
            <w:tcW w:w="1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April 19, 2019</w:t>
            </w: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November 8, 2018</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0.250</w:t>
            </w:r>
          </w:p>
        </w:tc>
        <w:tc>
          <w:tcPr>
            <w:tcW w:w="1420" w:type="dxa"/>
            <w:vAlign w:val="bottom"/>
          </w:tcPr>
          <w:p>
            <w:pPr>
              <w:spacing w:after="0"/>
              <w:rPr>
                <w:sz w:val="20"/>
                <w:szCs w:val="20"/>
                <w:color w:val="auto"/>
              </w:rPr>
            </w:pPr>
            <w:r>
              <w:rPr>
                <w:rFonts w:ascii="Arial" w:cs="Arial" w:eastAsia="Arial" w:hAnsi="Arial"/>
                <w:sz w:val="18"/>
                <w:szCs w:val="18"/>
                <w:color w:val="auto"/>
                <w:w w:val="88"/>
              </w:rPr>
              <w:t>December 31, 2018</w:t>
            </w:r>
          </w:p>
        </w:tc>
        <w:tc>
          <w:tcPr>
            <w:tcW w:w="9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34,755</w:t>
            </w:r>
          </w:p>
        </w:tc>
        <w:tc>
          <w:tcPr>
            <w:tcW w:w="1640" w:type="dxa"/>
            <w:vAlign w:val="bottom"/>
            <w:gridSpan w:val="2"/>
          </w:tcPr>
          <w:p>
            <w:pPr>
              <w:ind w:left="400"/>
              <w:spacing w:after="0"/>
              <w:rPr>
                <w:sz w:val="20"/>
                <w:szCs w:val="20"/>
                <w:color w:val="auto"/>
              </w:rPr>
            </w:pPr>
            <w:r>
              <w:rPr>
                <w:rFonts w:ascii="Arial" w:cs="Arial" w:eastAsia="Arial" w:hAnsi="Arial"/>
                <w:sz w:val="18"/>
                <w:szCs w:val="18"/>
                <w:color w:val="auto"/>
                <w:w w:val="87"/>
              </w:rPr>
              <w:t>January 18, 2019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amounts payable as a result of the February 4, 2020 and February 5, 2019 declarations were included in accrued expenses and other current liabilities as of March 31, 2020 and 2019, respectively.</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On May 7, 2020 the Company’s Board of Directors approved the next quarterly dividend payment of $0.3275 per share and set June 30, 2020 as the record date for determining the shareholders entitled to receive the dividend, which is payable on July 24,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As discussed in Note 3, 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 lessee, substantially all of the Company’s lease obligation is for office real estate. The significant judgments used in determining its lease obligation include whether a contract is or contains a lease and the determination of the discount rate used to calculate the lease liability.</w:t>
      </w:r>
    </w:p>
    <w:p>
      <w:pPr>
        <w:spacing w:after="0" w:line="184"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The Company’s leases may include the option to extend or terminate before the end of the contractual term and are often non-cancelable or cancelable only by the payment of penalties. The lease assets and liabilities include these options in the lease term when it is reasonably certain that they will be exercised. In certain cases, the Company subleases excess office real estate to third-party tenants in immaterial amounts.</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Lease assets and liabilities recognized at the lease commencement date are determined predominantly as the present value of the payments due over the lease term. Unless the implicit rate can be determined, the Company uses its incremental borrowing rate on that date to calculate the present value. The incremental borrowing rate approximates the rate at which the Company could borrow, on a secured basis for a similar term, an amount equal to its lease payments in a similar economic environment.</w:t>
      </w:r>
    </w:p>
    <w:p>
      <w:pPr>
        <w:spacing w:after="0" w:line="18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Effective October 1, 2019, when the Company is the lessee, all leases are recognized as lease liabilities and associated lease assets on the Consolidated Balance Sheet. Lease liabilities represent the Company’s obligation to make payments arising from the lease. Lease assets represent the Company’s right to use an underlying asset for the lease term and may also include advance payments, initial direct costs or lease incentives. Fixed and variable payments that depend upon an index or rate, such as the Consumer Price Index (CPI), are included in the recognition of lease assets and liabilities at the commencement-date rate. Other variable payments, such as common area maintenance, property and other taxes, utilities and insurance that are based on the lessor’s cost, are recognized in the Consolidated Income Statement in the period incurred.</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2020, the Company had no material finance leases. Operating lease expense is recorded on a straight-line basis over the lease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Lease costs were as follows</w:t>
      </w:r>
      <w:r>
        <w:rPr>
          <w:rFonts w:ascii="Arial" w:cs="Arial" w:eastAsia="Arial" w:hAnsi="Arial"/>
          <w:sz w:val="18"/>
          <w:szCs w:val="18"/>
          <w:b w:val="1"/>
          <w:bCs w:val="1"/>
          <w:color w:val="auto"/>
        </w:rPr>
        <w:t>:</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1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1"/>
              </w:rPr>
              <w:t>Three months ended</w:t>
            </w:r>
          </w:p>
        </w:tc>
        <w:tc>
          <w:tcPr>
            <w:tcW w:w="11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Six months ended</w:t>
            </w:r>
          </w:p>
        </w:tc>
      </w:tr>
      <w:tr>
        <w:trPr>
          <w:trHeight w:val="148"/>
        </w:trPr>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50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2020</w:t>
            </w: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net lease cost </w:t>
            </w:r>
            <w:r>
              <w:rPr>
                <w:rFonts w:ascii="Arial" w:cs="Arial" w:eastAsia="Arial" w:hAnsi="Arial"/>
                <w:sz w:val="15"/>
                <w:szCs w:val="15"/>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23,688</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45,102</w:t>
            </w: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Variable lease cost is immaterial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22" w:name="page23"/>
    <w:bookmarkEnd w:id="2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information related to operating lease transactions was as follows:</w:t>
      </w:r>
    </w:p>
    <w:p>
      <w:pPr>
        <w:spacing w:after="0" w:line="23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2"/>
              </w:rPr>
              <w:t>Six months ended</w:t>
            </w:r>
          </w:p>
        </w:tc>
      </w:tr>
      <w:tr>
        <w:trPr>
          <w:trHeight w:val="149"/>
        </w:trPr>
        <w:tc>
          <w:tcPr>
            <w:tcW w:w="6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March 31,</w:t>
            </w:r>
          </w:p>
        </w:tc>
      </w:tr>
      <w:tr>
        <w:trPr>
          <w:trHeight w:val="171"/>
        </w:trPr>
        <w:tc>
          <w:tcPr>
            <w:tcW w:w="6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payments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3"/>
              </w:rPr>
              <w:t>44,724</w:t>
            </w:r>
          </w:p>
        </w:tc>
        <w:tc>
          <w:tcPr>
            <w:tcW w:w="60" w:type="dxa"/>
            <w:vAlign w:val="bottom"/>
            <w:shd w:val="clear" w:color="auto" w:fill="CCEEFF"/>
          </w:tcPr>
          <w:p>
            <w:pPr>
              <w:spacing w:after="0"/>
              <w:rPr>
                <w:sz w:val="18"/>
                <w:szCs w:val="18"/>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Lease assets obtained in exchange for liabilities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w w:val="94"/>
              </w:rPr>
              <w:t>44,490</w:t>
            </w:r>
          </w:p>
        </w:tc>
      </w:tr>
      <w:tr>
        <w:trPr>
          <w:trHeight w:val="354"/>
        </w:trPr>
        <w:tc>
          <w:tcPr>
            <w:tcW w:w="6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As of March 31,</w:t>
            </w:r>
          </w:p>
        </w:tc>
      </w:tr>
      <w:tr>
        <w:trPr>
          <w:trHeight w:val="171"/>
        </w:trPr>
        <w:tc>
          <w:tcPr>
            <w:tcW w:w="63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auto"/>
            </w:tcBorders>
          </w:tcPr>
          <w:p>
            <w:pPr>
              <w:spacing w:after="0"/>
              <w:rPr>
                <w:sz w:val="14"/>
                <w:szCs w:val="14"/>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 Operating leases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8.2 Years</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Weighted average discount rate – Operating leases</w:t>
            </w:r>
          </w:p>
        </w:tc>
        <w:tc>
          <w:tcPr>
            <w:tcW w:w="160" w:type="dxa"/>
            <w:vAlign w:val="bottom"/>
          </w:tcPr>
          <w:p>
            <w:pPr>
              <w:spacing w:after="0"/>
              <w:rPr>
                <w:sz w:val="20"/>
                <w:szCs w:val="20"/>
                <w:color w:val="auto"/>
              </w:rPr>
            </w:pPr>
          </w:p>
        </w:tc>
        <w:tc>
          <w:tcPr>
            <w:tcW w:w="920" w:type="dxa"/>
            <w:vAlign w:val="bottom"/>
          </w:tcPr>
          <w:p>
            <w:pPr>
              <w:jc w:val="right"/>
              <w:ind w:right="159"/>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maturity analysis presents future undiscounted cash outflows for operating leases as of March 31, 2020</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 March 31,</w:t>
            </w: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26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33,374</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2021</w:t>
            </w:r>
          </w:p>
        </w:tc>
        <w:tc>
          <w:tcPr>
            <w:tcW w:w="2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64,809</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55,788</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2023</w:t>
            </w:r>
          </w:p>
        </w:tc>
        <w:tc>
          <w:tcPr>
            <w:tcW w:w="2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34,705</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26,914</w:t>
            </w: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119,714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335,304</w:t>
            </w: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(57,146)</w:t>
            </w: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278,158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Future minimum rental commitments under non-cancelable operating leases as of September 30, 2019, which were accounted for per prior lease accounting (ASC 840), were as follows:</w:t>
      </w:r>
    </w:p>
    <w:p>
      <w:pPr>
        <w:spacing w:after="0" w:line="189"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w w:val="91"/>
              </w:rPr>
              <w:t>For the year ended September 30,</w:t>
            </w:r>
          </w:p>
        </w:tc>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2021</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60,544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2023</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Thereafter</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93,845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331,596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20" w:type="dxa"/>
            <w:vAlign w:val="bottom"/>
            <w:vMerge w:val="restart"/>
          </w:tcPr>
          <w:p>
            <w:pPr>
              <w:jc w:val="right"/>
              <w:ind w:right="2770"/>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440" w:top="270" w:right="639" w:bottom="1440" w:gutter="0" w:footer="0" w:header="0"/>
        </w:sectPr>
      </w:pPr>
    </w:p>
    <w:bookmarkStart w:id="23" w:name="page24"/>
    <w:bookmarkEnd w:id="23"/>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9" w:lineRule="exact"/>
        <w:rPr>
          <w:sz w:val="20"/>
          <w:szCs w:val="20"/>
          <w:color w:val="auto"/>
        </w:rPr>
      </w:pPr>
    </w:p>
    <w:p>
      <w:pPr>
        <w:ind w:left="444" w:right="9200" w:hanging="444"/>
        <w:spacing w:after="0" w:line="425" w:lineRule="auto"/>
        <w:tabs>
          <w:tab w:leader="none" w:pos="273"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ind w:left="4" w:firstLine="440"/>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such defense efforts, including motions alleging constitutional defects, have encountered a dismissive approach by the Ecuadorian Courts, with reasoning that the Company believes is inconsistent with applicable law. The Company is unable to reasonably estimate the ultimate outcome of the above dispute.</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0" w:right="479" w:bottom="1440" w:gutter="0" w:footer="0" w:header="0"/>
        </w:sectPr>
      </w:pPr>
    </w:p>
    <w:bookmarkStart w:id="24" w:name="page25"/>
    <w:bookmarkEnd w:id="2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ind w:right="200" w:firstLine="440"/>
        <w:spacing w:after="0" w:line="287"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9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2019, filed on December 16, 2019 with the U.S. Securities and Exchange Commission and Part II—Item 3—“Risk Factors” of this report.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Amdocs is a leading provider of software and services for more than 350 communications, Pay TV, entertainment and media industry and other service providers in developed countries and emerging markets. Amdocs also has technology and distribution ties to more than 600 content creators to bring premium content to over 1,000 video distributors. Our software and services, which we develop, implement and manage, are designed to meet the business imperatives of our customers and help them modernize, automate and digitize their business in the cloud. These imperatives address service provider needs around consumer experience and monetization; media and digital services; enterprise and connected society; open cloud and 5G networks; new domains and disruptions, and services and hybrid operations.</w:t>
      </w:r>
    </w:p>
    <w:p>
      <w:pPr>
        <w:spacing w:after="0" w:line="17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We believe the demand for our solutions is driven by our clients’ continued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Our open and dynamic amdocsONE portfolio is designed to meet the challenges facing our customers as they transform into digital service providers within the framework of a hybrid IT environment, which requires them to rapidly introduce new cloud-native applications while still operating legacy systems. amdocsONE enables modular expansion as a service provider evolves, ensuring low-cost and reduced-risk implementations, while its microservices-based architecture enables the rapid deployment of complex applications as suites of independently deployable services that can be frequently upgraded via DevOps. Our comprehensive line of services is designed to address every stage of a service provider’s lifecycle. They include consulting services, managed services, digital business operations, quality engineering services, cloud services, integration services and data and intelligence services.</w:t>
      </w:r>
    </w:p>
    <w:p>
      <w:pPr>
        <w:spacing w:after="0" w:line="195"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and media industry. In the six months ended March 31, 2020, customers in North America accounted for 64.8% of our revenue, while customers in Europe and the rest of the world accounted for 14.5% and 20.7%, respectively. We maintain and support development facilities in Brazil, Canada, Cyprus, India, Ireland, Israel, Mexico, the Philippines, the UK and the United States.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0" w:right="43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derive our revenue principally from:</w:t>
      </w:r>
    </w:p>
    <w:p>
      <w:pPr>
        <w:spacing w:after="0" w:line="131" w:lineRule="exact"/>
        <w:rPr>
          <w:sz w:val="20"/>
          <w:szCs w:val="20"/>
          <w:color w:val="auto"/>
        </w:rPr>
      </w:pPr>
    </w:p>
    <w:p>
      <w:pPr>
        <w:ind w:left="960" w:right="2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Our results of operations are affected by general economic conditions and the level of economic activity in the industries and markets that we serve. The current COVID-19 pandemic has increased that level of volatility and uncertainty globally and has created economic disruption. See “Part II —Item 3—Risk Factors” in this report. While the extent of the impact of the COVID-19 pandemic on our business is not currently known, we are currently performing on our obligations to our customers while implementing some modifications, including, among others, travel restrictions, moving almost all of our employees to work from home arrangements and establishing clear guidelines for working on-premise. In addition, as a result of the business disruption caused by the COVID-19 pandemic, we are experiencing a slower pace of pipeline new business conversion which may impact our performance in the second half of the fiscal year. We are actively monitoring the pandemic and managing our business to respond to the impact of the COVID-19. In addition, foreign exchange rates fluctuation may continue to present challenges in future periods should significant increases in volatility in foreign exchange markets occur. Although we try to mitigate the foreign currency exchange rates impact on our results through our hedging policy, we cannot assure that we will be able to effectively limit all of our exposure.</w:t>
      </w:r>
    </w:p>
    <w:p>
      <w:pPr>
        <w:spacing w:after="0" w:line="18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under the five-step methodology required under ASC 606, which requires us to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For our primary revenue categories, related performance obligations, and associated recognition patterns please see Note 4 to our consolidated financial statements.</w:t>
      </w:r>
    </w:p>
    <w:p>
      <w:pPr>
        <w:spacing w:after="0" w:line="170"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$604.0 million and $559.5 million in the three months ended March 31, 2020 and 2019, respectively, and $1.18 billion and $1.08 billion in the six months ended March 31, 2020 and 2019,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40" w:top="274" w:right="5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Results of Operations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following table sets forth for the three and six months ended March 31, 2020 and 2019, certain items in our consolidated statements of income reflected as a percentage of revenue (figures may not sum because of rounding):</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40" w:type="dxa"/>
            <w:vAlign w:val="bottom"/>
            <w:gridSpan w:val="4"/>
          </w:tcPr>
          <w:p>
            <w:pPr>
              <w:jc w:val="center"/>
              <w:ind w:right="310"/>
              <w:spacing w:after="0"/>
              <w:rPr>
                <w:sz w:val="20"/>
                <w:szCs w:val="20"/>
                <w:color w:val="auto"/>
              </w:rPr>
            </w:pPr>
            <w:r>
              <w:rPr>
                <w:rFonts w:ascii="Arial" w:cs="Arial" w:eastAsia="Arial" w:hAnsi="Arial"/>
                <w:sz w:val="14"/>
                <w:szCs w:val="14"/>
                <w:b w:val="1"/>
                <w:bCs w:val="1"/>
                <w:color w:val="auto"/>
                <w:w w:val="92"/>
              </w:rPr>
              <w:t>Three months</w:t>
            </w:r>
          </w:p>
        </w:tc>
        <w:tc>
          <w:tcPr>
            <w:tcW w:w="1340" w:type="dxa"/>
            <w:vAlign w:val="bottom"/>
            <w:gridSpan w:val="4"/>
          </w:tcPr>
          <w:p>
            <w:pPr>
              <w:jc w:val="center"/>
              <w:ind w:right="110"/>
              <w:spacing w:after="0"/>
              <w:rPr>
                <w:sz w:val="20"/>
                <w:szCs w:val="20"/>
                <w:color w:val="auto"/>
              </w:rPr>
            </w:pPr>
            <w:r>
              <w:rPr>
                <w:rFonts w:ascii="Arial" w:cs="Arial" w:eastAsia="Arial" w:hAnsi="Arial"/>
                <w:sz w:val="14"/>
                <w:szCs w:val="14"/>
                <w:b w:val="1"/>
                <w:bCs w:val="1"/>
                <w:color w:val="auto"/>
                <w:w w:val="92"/>
              </w:rPr>
              <w:t>Six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40" w:type="dxa"/>
            <w:vAlign w:val="bottom"/>
            <w:gridSpan w:val="4"/>
          </w:tcPr>
          <w:p>
            <w:pPr>
              <w:jc w:val="center"/>
              <w:ind w:right="310"/>
              <w:spacing w:after="0"/>
              <w:rPr>
                <w:sz w:val="20"/>
                <w:szCs w:val="20"/>
                <w:color w:val="auto"/>
              </w:rPr>
            </w:pPr>
            <w:r>
              <w:rPr>
                <w:rFonts w:ascii="Arial" w:cs="Arial" w:eastAsia="Arial" w:hAnsi="Arial"/>
                <w:sz w:val="14"/>
                <w:szCs w:val="14"/>
                <w:b w:val="1"/>
                <w:bCs w:val="1"/>
                <w:color w:val="auto"/>
                <w:w w:val="95"/>
              </w:rPr>
              <w:t>March 31,</w:t>
            </w:r>
          </w:p>
        </w:tc>
        <w:tc>
          <w:tcPr>
            <w:tcW w:w="1340" w:type="dxa"/>
            <w:vAlign w:val="bottom"/>
            <w:gridSpan w:val="4"/>
          </w:tcPr>
          <w:p>
            <w:pPr>
              <w:jc w:val="center"/>
              <w:ind w:right="11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45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80" w:type="dxa"/>
            <w:vAlign w:val="bottom"/>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348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65.3</w:t>
            </w:r>
          </w:p>
        </w:tc>
        <w:tc>
          <w:tcPr>
            <w:tcW w:w="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64.6</w:t>
            </w:r>
          </w:p>
        </w:tc>
        <w:tc>
          <w:tcPr>
            <w:tcW w:w="7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65.6</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480" w:type="dxa"/>
            <w:vAlign w:val="bottom"/>
            <w:gridSpan w:val="3"/>
          </w:tcPr>
          <w:p>
            <w:pPr>
              <w:jc w:val="right"/>
              <w:ind w:right="299"/>
              <w:spacing w:after="0"/>
              <w:rPr>
                <w:sz w:val="20"/>
                <w:szCs w:val="20"/>
                <w:color w:val="auto"/>
              </w:rPr>
            </w:pPr>
            <w:r>
              <w:rPr>
                <w:rFonts w:ascii="Arial" w:cs="Arial" w:eastAsia="Arial" w:hAnsi="Arial"/>
                <w:sz w:val="18"/>
                <w:szCs w:val="18"/>
                <w:color w:val="auto"/>
              </w:rPr>
              <w:t>6.6</w:t>
            </w:r>
          </w:p>
        </w:tc>
        <w:tc>
          <w:tcPr>
            <w:tcW w:w="780" w:type="dxa"/>
            <w:vAlign w:val="bottom"/>
            <w:gridSpan w:val="2"/>
          </w:tcPr>
          <w:p>
            <w:pPr>
              <w:jc w:val="right"/>
              <w:ind w:right="310"/>
              <w:spacing w:after="0"/>
              <w:rPr>
                <w:sz w:val="20"/>
                <w:szCs w:val="20"/>
                <w:color w:val="auto"/>
              </w:rPr>
            </w:pPr>
            <w:r>
              <w:rPr>
                <w:rFonts w:ascii="Arial" w:cs="Arial" w:eastAsia="Arial" w:hAnsi="Arial"/>
                <w:sz w:val="18"/>
                <w:szCs w:val="18"/>
                <w:color w:val="auto"/>
              </w:rPr>
              <w:t>6.5</w:t>
            </w:r>
          </w:p>
        </w:tc>
        <w:tc>
          <w:tcPr>
            <w:tcW w:w="760" w:type="dxa"/>
            <w:vAlign w:val="bottom"/>
            <w:gridSpan w:val="2"/>
          </w:tcPr>
          <w:p>
            <w:pPr>
              <w:jc w:val="right"/>
              <w:ind w:right="299"/>
              <w:spacing w:after="0"/>
              <w:rPr>
                <w:sz w:val="20"/>
                <w:szCs w:val="20"/>
                <w:color w:val="auto"/>
              </w:rPr>
            </w:pPr>
            <w:r>
              <w:rPr>
                <w:rFonts w:ascii="Arial" w:cs="Arial" w:eastAsia="Arial" w:hAnsi="Arial"/>
                <w:sz w:val="18"/>
                <w:szCs w:val="18"/>
                <w:color w:val="auto"/>
              </w:rPr>
              <w:t>6.5</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48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11.4</w:t>
            </w:r>
          </w:p>
        </w:tc>
        <w:tc>
          <w:tcPr>
            <w:tcW w:w="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11.8</w:t>
            </w:r>
          </w:p>
        </w:tc>
        <w:tc>
          <w:tcPr>
            <w:tcW w:w="7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11.6</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Amortization of purchased intangible assets and other</w:t>
            </w:r>
          </w:p>
        </w:tc>
        <w:tc>
          <w:tcPr>
            <w:tcW w:w="2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780" w:type="dxa"/>
            <w:vAlign w:val="bottom"/>
            <w:gridSpan w:val="2"/>
          </w:tcPr>
          <w:p>
            <w:pPr>
              <w:jc w:val="right"/>
              <w:ind w:right="310"/>
              <w:spacing w:after="0"/>
              <w:rPr>
                <w:sz w:val="20"/>
                <w:szCs w:val="20"/>
                <w:color w:val="auto"/>
              </w:rPr>
            </w:pPr>
            <w:r>
              <w:rPr>
                <w:rFonts w:ascii="Arial" w:cs="Arial" w:eastAsia="Arial" w:hAnsi="Arial"/>
                <w:sz w:val="18"/>
                <w:szCs w:val="18"/>
                <w:color w:val="auto"/>
              </w:rPr>
              <w:t>2.3</w:t>
            </w:r>
          </w:p>
        </w:tc>
        <w:tc>
          <w:tcPr>
            <w:tcW w:w="760" w:type="dxa"/>
            <w:vAlign w:val="bottom"/>
            <w:gridSpan w:val="2"/>
          </w:tcPr>
          <w:p>
            <w:pPr>
              <w:jc w:val="right"/>
              <w:ind w:right="299"/>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85.3</w:t>
            </w:r>
          </w:p>
        </w:tc>
        <w:tc>
          <w:tcPr>
            <w:tcW w:w="7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85.6</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72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40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348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0.2</w:t>
            </w:r>
          </w:p>
        </w:tc>
        <w:tc>
          <w:tcPr>
            <w:tcW w:w="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0.2</w:t>
            </w:r>
          </w:p>
        </w:tc>
        <w:tc>
          <w:tcPr>
            <w:tcW w:w="7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0.1</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72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40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48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2.6</w:t>
            </w:r>
          </w:p>
        </w:tc>
        <w:tc>
          <w:tcPr>
            <w:tcW w:w="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7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2.6</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80" w:type="dxa"/>
            <w:vAlign w:val="bottom"/>
          </w:tcPr>
          <w:p>
            <w:pPr>
              <w:jc w:val="right"/>
              <w:ind w:right="159"/>
              <w:spacing w:after="0"/>
              <w:rPr>
                <w:sz w:val="20"/>
                <w:szCs w:val="20"/>
                <w:color w:val="auto"/>
              </w:rPr>
            </w:pPr>
            <w:r>
              <w:rPr>
                <w:rFonts w:ascii="Arial" w:cs="Arial" w:eastAsia="Arial" w:hAnsi="Arial"/>
                <w:sz w:val="18"/>
                <w:szCs w:val="18"/>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w w:val="87"/>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80" w:type="dxa"/>
            <w:vAlign w:val="bottom"/>
          </w:tcPr>
          <w:p>
            <w:pPr>
              <w:jc w:val="right"/>
              <w:ind w:right="159"/>
              <w:spacing w:after="0"/>
              <w:rPr>
                <w:sz w:val="20"/>
                <w:szCs w:val="20"/>
                <w:color w:val="auto"/>
              </w:rPr>
            </w:pPr>
            <w:r>
              <w:rPr>
                <w:rFonts w:ascii="Arial" w:cs="Arial" w:eastAsia="Arial" w:hAnsi="Arial"/>
                <w:sz w:val="18"/>
                <w:szCs w:val="18"/>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720" w:type="dxa"/>
            <w:vAlign w:val="bottom"/>
            <w:vMerge w:val="restart"/>
          </w:tcPr>
          <w:p>
            <w:pPr>
              <w:jc w:val="right"/>
              <w:ind w:right="1990"/>
              <w:spacing w:after="0"/>
              <w:rPr>
                <w:sz w:val="20"/>
                <w:szCs w:val="20"/>
                <w:color w:val="auto"/>
              </w:rPr>
            </w:pPr>
            <w:r>
              <w:rPr>
                <w:rFonts w:ascii="Arial" w:cs="Arial" w:eastAsia="Arial" w:hAnsi="Arial"/>
                <w:sz w:val="18"/>
                <w:szCs w:val="18"/>
                <w:color w:val="auto"/>
              </w:rPr>
              <w:t>27</w:t>
            </w: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Six Months Ended March 31, 2020 and 2019</w:t>
      </w:r>
    </w:p>
    <w:p>
      <w:pPr>
        <w:spacing w:after="0" w:line="121"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six months ended March 31, 2020 compared to the six months ended March 31, 2019. Following the table is a discussion and analysis of our business and results of operations for such periods.</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160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March 31,</w:t>
            </w:r>
          </w:p>
        </w:tc>
        <w:tc>
          <w:tcPr>
            <w:tcW w:w="16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2,089,890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2,031,712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$ 58,178</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1,370,282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1,321,181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49,101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136,106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135,451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655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242,575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242,323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40,638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49,485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(8,847)</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1,789,601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1,748,440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41,161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300,289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283,272</w:t>
            </w:r>
          </w:p>
        </w:tc>
        <w:tc>
          <w:tcPr>
            <w:tcW w:w="3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17,017</w:t>
            </w:r>
          </w:p>
        </w:tc>
        <w:tc>
          <w:tcPr>
            <w:tcW w:w="3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668.0</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297,647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282,928</w:t>
            </w:r>
          </w:p>
        </w:tc>
        <w:tc>
          <w:tcPr>
            <w:tcW w:w="3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14,719</w:t>
            </w:r>
          </w:p>
        </w:tc>
        <w:tc>
          <w:tcPr>
            <w:tcW w:w="3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56,957</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242,970</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225,971</w:t>
            </w:r>
          </w:p>
        </w:tc>
        <w:tc>
          <w:tcPr>
            <w:tcW w:w="3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$ 16,999</w:t>
            </w:r>
          </w:p>
        </w:tc>
        <w:tc>
          <w:tcPr>
            <w:tcW w:w="30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increased by $58.2 million, or 2.9%, to $2,089.9 million in the six months ended March 31, 2020, from $2,031.7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March 31, 2019. The increase in revenue was attributable to increased managed services including managed transformation activities. Revenue for the six months ended March 31, 2020 increased by 3.4% compared to the six months ended March 31, 2019, excluding approximately 0.5% negative foreign exchange fluctuations impact, and was also positively affected by activities related to acquisitions completed in fiscal year 2019.</w:t>
      </w:r>
    </w:p>
    <w:p>
      <w:pPr>
        <w:spacing w:after="0" w:line="15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In the six months ended March 31, 2020, revenue from customers in North America, Europe and the rest of the world accounted for 64.8%, 14.5% and 20.7%, respectively, of total revenue, compared to 63.7%, 14.6% and 21.7%, respectively, the six months ended March 31, 2019. Revenue from customers in North America increased during the six months ended March 31, 2020, the increase was primarily attributable to higher revenue from managed services activities relating in North America and to activities related to fiscal year 2019 acquisitions. Having said that, we note that in addition to the global uncertainties, including those resulting from the COVID-19 pandemic, the recently completed T-Mobile and Sprint merger remains a source of uncertainty in the North America region.</w:t>
      </w:r>
    </w:p>
    <w:p>
      <w:pPr>
        <w:spacing w:after="0" w:line="19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Revenue from customers in Europe increased during the six months ended March 31, 2020, despite of negative foreign exchange fluctuations, while total revenue increased at a higher rate, which resulted in a slight decrease of revenue from customers in Europe as a percentage of total revenue. The increase in revenue from customers in Europe in absolute amount was primarily attributable to higher revenue from development and modernization activities while we expand our presence in this region.</w:t>
      </w:r>
    </w:p>
    <w:p>
      <w:pPr>
        <w:spacing w:after="0" w:line="187"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Revenue from customers in the rest of the world decreased during the six months ended March 31, 2020. Revenue from customers in the rest of the world in Asia-Pacific increased during the six months ended March 31, 2020, as a result of our expansion and progress of managed transformations activities for customers and was offset by lower revenue from other regions within the rest of the world.</w:t>
      </w:r>
    </w:p>
    <w:p>
      <w:pPr>
        <w:spacing w:after="0" w:line="16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consists primarily of costs associated with providing services to customers, including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costs of third-party products, as well as fee and royalty payments to software suppliers. Cost of revenue increased by $49.1 million, or 3.7%, to $1,370.3 million in the six months ended March 31, 2020, from $1,321.2 million in the six months ended March 31, 2019. The Cost of revenue increase, in the six months ended March 31, 2020, was mainly due to investments required to support ramp-up of new deals and was also commensurate with revenue growth.</w:t>
      </w:r>
    </w:p>
    <w:p>
      <w:pPr>
        <w:spacing w:after="0" w:line="18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$0.7 million, or 0.5%, to $136.1 million in the six months ended March 31, 2020, from $135.5 million in the six months ended March 31, 2019. Research and development expense decreased as a percentage of revenue from 6.7% in the six months ended March 31, 2019, to 6.5% in the six months ended March 31, 2020. We continue to invest in our digital offering as well as our media offering, invest in our network related innovation and in developing cloud native offering. Our research and development efforts are a key element of our strategy and are essential to our success, and we intend to maintain our commitment to research and development. An increase or decrease in our revenue would not necessarily result in a proportional increase or decrease in the levels of our research and development expenditures, which could affect our operating margin.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28" w:name="page29"/>
    <w:bookmarkEnd w:id="28"/>
    <w:p>
      <w:pPr>
        <w:ind w:right="120" w:firstLine="440"/>
        <w:spacing w:after="0" w:line="29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Selling, General and Administrative</w:t>
      </w:r>
      <w:r>
        <w:rPr>
          <w:rFonts w:ascii="Arial" w:cs="Arial" w:eastAsia="Arial" w:hAnsi="Arial"/>
          <w:sz w:val="16"/>
          <w:szCs w:val="16"/>
          <w:color w:val="auto"/>
        </w:rPr>
        <w:t>. Selling, general and administrative expense, which is primarily comprised of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$0.3 million, or 0.1%, to $242.6 million in the six months ended March 31, 2020, from $242.3 million in the six months ended March 31, 2019. Selling, general and administrative expense decreased as a percentage of revenue from 11.9% in the six months ended March 31, 2019, to 11.6% in the six months ended March 31, 2020. Selling, general and administrative expense may fluctuate from time to time, depending upon such factors as changes in our workforce and sales efforts and the results of any operational efficiency programs that we may undertake.</w:t>
      </w:r>
    </w:p>
    <w:p>
      <w:pPr>
        <w:spacing w:after="0" w:line="161"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b w:val="1"/>
          <w:bCs w:val="1"/>
          <w:i w:val="1"/>
          <w:iCs w:val="1"/>
          <w:color w:val="auto"/>
        </w:rPr>
        <w:t>Amortization of Purchased Intangible Assets and Other</w:t>
      </w:r>
      <w:r>
        <w:rPr>
          <w:rFonts w:ascii="Arial" w:cs="Arial" w:eastAsia="Arial" w:hAnsi="Arial"/>
          <w:sz w:val="16"/>
          <w:szCs w:val="16"/>
          <w:color w:val="auto"/>
        </w:rPr>
        <w:t>. Amortization of purchased intangible assets and other in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2020, decreased by $8.8 million, or 17.9% to $40.6 million from $49.5 million in the six months ended March 31, 2019.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 2019.</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$17.0 million, or 6.0%, in the six months ended March 31, 2020, to $300.3 million, or 14.4%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revenue, from $283.3 million, or 13.9% of revenue, in the six months ended March 31, 2019. The increase in operating income was attributable primarily to increase in revenue partially offset by increase in cost of service and to the decrease in amortization of purchased intangible assets and other during the six months ended March 31, 2020. The impact of foreign exchange fluctuations on our operating income in the six months ended March 31, 2020, was immaterial.</w:t>
      </w:r>
    </w:p>
    <w:p>
      <w:pPr>
        <w:spacing w:after="0" w:line="188"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b w:val="1"/>
          <w:bCs w:val="1"/>
          <w:i w:val="1"/>
          <w:iCs w:val="1"/>
          <w:color w:val="auto"/>
        </w:rPr>
        <w:t>Interest and Other Expense, Net</w:t>
      </w:r>
      <w:r>
        <w:rPr>
          <w:rFonts w:ascii="Arial" w:cs="Arial" w:eastAsia="Arial" w:hAnsi="Arial"/>
          <w:sz w:val="16"/>
          <w:szCs w:val="16"/>
          <w:color w:val="auto"/>
        </w:rPr>
        <w:t>. Interest and other expense, net, changed from a net loss of $0.3 million in the six months ended March 31,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net loss of $2.6 million in the six months ended March 31, 2020. The increase in interest and other expense, net, was primarily attributable to the realized gain of a minority equity investment recorded in the six months ended March 31, 2019 partially offset by foreign exchange impacts.</w:t>
      </w:r>
    </w:p>
    <w:p>
      <w:pPr>
        <w:spacing w:after="0" w:line="149"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six months ended March 31, 2020 were $54.7 million on pre-tax income of $297.6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18.4%, compared to 20.1% in the six months ended March 31, 2019. Our effective tax rate may fluctuate between periods as a result of discrete items that may affect a particular period. Please see Note 9 to our consolidated financial statements.</w:t>
      </w:r>
    </w:p>
    <w:p>
      <w:pPr>
        <w:spacing w:after="0" w:line="165"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$17.0 million, or 7.5%, to $243.0 million in the six months ended March 31, 2020, from $226.0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March 31, 2019. The increase in net income was attributable to the increase in operating income coupled with decrease in income taxes partially offset by increase in Interest and Other Expense, net.</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b w:val="1"/>
          <w:bCs w:val="1"/>
          <w:i w:val="1"/>
          <w:iCs w:val="1"/>
          <w:color w:val="auto"/>
        </w:rPr>
        <w:t>Diluted Earnings Per Share</w:t>
      </w:r>
      <w:r>
        <w:rPr>
          <w:rFonts w:ascii="Arial" w:cs="Arial" w:eastAsia="Arial" w:hAnsi="Arial"/>
          <w:sz w:val="18"/>
          <w:szCs w:val="18"/>
          <w:color w:val="auto"/>
        </w:rPr>
        <w:t>. Diluted earnings per share increased by $0.18, or 11.1%, to $1.80 in the six months ended March 31, 2020,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$1.62 in the six months ended March 31, 2019 The increase in diluted earnings per share was primarily attributable to the increase in net income as well as to the decrease in the diluted weighted average number of shares outstanding which resulted from share repurchases. Please see also Note 10 to our consolidated financial statements.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Three Months Ended March 31, 2020 and 2019</w:t>
      </w:r>
    </w:p>
    <w:p>
      <w:pPr>
        <w:spacing w:after="0" w:line="121" w:lineRule="exact"/>
        <w:rPr>
          <w:sz w:val="20"/>
          <w:szCs w:val="20"/>
          <w:color w:val="auto"/>
        </w:rPr>
      </w:pPr>
    </w:p>
    <w:p>
      <w:pPr>
        <w:ind w:right="46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March 31, 2020 compared to the three months ended March 31, 2019. Following the table is a discussion and analysis of our business and results of operations for such periods.</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4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1,047,933</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1,019,657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28,276</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683,970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658,613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25,357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68,795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66,765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2,030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119,108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120,463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(1,355)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19,348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23,641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(4,293)</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869,482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21,739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150,175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6,537</w:t>
            </w:r>
          </w:p>
        </w:tc>
        <w:tc>
          <w:tcPr>
            <w:tcW w:w="3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148,309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6,113</w:t>
            </w:r>
          </w:p>
        </w:tc>
        <w:tc>
          <w:tcPr>
            <w:tcW w:w="3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127,038</w:t>
            </w:r>
          </w:p>
        </w:tc>
        <w:tc>
          <w:tcPr>
            <w:tcW w:w="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124,279</w:t>
            </w:r>
          </w:p>
        </w:tc>
        <w:tc>
          <w:tcPr>
            <w:tcW w:w="1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2,759</w:t>
            </w:r>
          </w:p>
        </w:tc>
        <w:tc>
          <w:tcPr>
            <w:tcW w:w="320" w:type="dxa"/>
            <w:vAlign w:val="bottom"/>
            <w:vMerge w:val="continue"/>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$28.3 million, or 2.8%, to $1,047.9 million in the three months ended March 31, 2020, from $1,019.7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2019. The increase in revenue was attributable to increased managed services including managed transformation activities. Revenue for the three months ended March 31, 2020 increased by 3.7% compared to the three months ended March 31, 2019, excluding approximately 0.9% negative foreign exchange fluctuations impact, and was also positively affected by activities related to acquisitions completed in fiscal year 2019.</w:t>
      </w:r>
    </w:p>
    <w:p>
      <w:pPr>
        <w:spacing w:after="0" w:line="188" w:lineRule="exact"/>
        <w:rPr>
          <w:sz w:val="20"/>
          <w:szCs w:val="20"/>
          <w:color w:val="auto"/>
        </w:rPr>
      </w:pPr>
    </w:p>
    <w:p>
      <w:pPr>
        <w:ind w:right="200" w:firstLine="440"/>
        <w:spacing w:after="0" w:line="273" w:lineRule="auto"/>
        <w:rPr>
          <w:sz w:val="20"/>
          <w:szCs w:val="20"/>
          <w:color w:val="auto"/>
        </w:rPr>
      </w:pPr>
      <w:r>
        <w:rPr>
          <w:rFonts w:ascii="Arial" w:cs="Arial" w:eastAsia="Arial" w:hAnsi="Arial"/>
          <w:sz w:val="17"/>
          <w:szCs w:val="17"/>
          <w:color w:val="auto"/>
        </w:rPr>
        <w:t>In the three months ended March 31, 2020, revenue from customers in North America, Europe and the rest of the world accounted for 66.0%, 14.2% and 19.8%, respectively, of total revenue, compared to 62.2%, 14.8% and 23.0%, respectively, in the three months ended March 31, 2019. Revenue from customers in North America increased during the three months ended March 31, 2020, the increase was primarily attributable to higher revenue from managed services activities in North America and to activities related to fiscal year 2019 acquisitions. Having said that, we note that in addition to the global uncertainties, including those resulting from the COVID-19 pandemic, the recently completed the recently completed T-Mobile and Sprint merger remains a source of uncertainty in the North America region.</w:t>
      </w:r>
    </w:p>
    <w:p>
      <w:pPr>
        <w:spacing w:after="0" w:line="178"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Revenue from customers in Europe remain stable in absolute amount during the three months ended March 31, 2020, despite of negative foreign exchange fluctuations, while total revenue increased at a higher rate, which resulted in a decrease of revenue from customers in Europe as a percentage of total revenue</w:t>
      </w:r>
    </w:p>
    <w:p>
      <w:pPr>
        <w:spacing w:after="0" w:line="18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Revenue from customers in the rest of the world decreased during the three months ended March 31, 2020. Revenue from customers in the rest of the world in Asia-Pacific remained stable during the three months ended March 31, 2020, while revenue from other regions within the rest of the world decreased.</w:t>
      </w:r>
    </w:p>
    <w:p>
      <w:pPr>
        <w:spacing w:after="0" w:line="184"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consists primarily of costs associated with providing services to customers, including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costs of third-party products, as well as fee and royalty payments to software suppliers. Cost of revenue increased by $25.4 million, or 3.9%, to $684.0 million in the three months ended March 31, 2020, from $658.6 million in the three months ended March 31, 2019. The Cost of revenue increase, in the three months ended March 31, 2020, was mainly due to investments required to support ramp-up of new deals and was also commensurate with revenue growth.</w:t>
      </w:r>
    </w:p>
    <w:p>
      <w:pPr>
        <w:spacing w:after="0" w:line="188"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$2.0 million, or 3.0%, to $68.8 million in the three months ended March 31, 2020, from $66.8 million in the three months ended March 31, 2019. Research and development expense slightly increased as a percentage of revenue from 6.5% in the three months ended March 31, 2019, to 6.6% in the three months ended March 31, 2020. We continue to invest in our digital offering as well as our media offering, invest in our network related innovation and in developing cloud native offering. Our research and development efforts are a key element of our strategy and are essential to our success, and we intend to maintain our commitment to research and development. An increase or decrease in our revenue would not necessarily result in a proportional increase or decrease in the levels of our research and development expenditures, which could affect our operating margin.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30" w:name="page31"/>
    <w:bookmarkEnd w:id="30"/>
    <w:p>
      <w:pPr>
        <w:ind w:right="20" w:firstLine="440"/>
        <w:spacing w:after="0" w:line="29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Selling, General and Administrative</w:t>
      </w:r>
      <w:r>
        <w:rPr>
          <w:rFonts w:ascii="Arial" w:cs="Arial" w:eastAsia="Arial" w:hAnsi="Arial"/>
          <w:sz w:val="16"/>
          <w:szCs w:val="16"/>
          <w:color w:val="auto"/>
        </w:rPr>
        <w:t>. Selling, general and administrative expense, which is primarily comprised of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$1.4 million, or 1.1%, to $119.1 million in the three months ended March 31, 2020, from $120.5 million in the three months ended March 31, 2019. Selling, general and administrative expense decreased as a percentage of revenue from 11.8% in the three months ended March 31, 2019, to 11.4% in the three months ended March 31, 2020. Selling, general and administrative expense may fluctuate from time to time, depending upon such factors as changes in our workforce and sales efforts and the results of any operational efficiency programs that we may undertake.</w:t>
      </w:r>
    </w:p>
    <w:p>
      <w:pPr>
        <w:spacing w:after="0" w:line="161"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b w:val="1"/>
          <w:bCs w:val="1"/>
          <w:i w:val="1"/>
          <w:iCs w:val="1"/>
          <w:color w:val="auto"/>
        </w:rPr>
        <w:t>Amortization of Purchased Intangible Assets and Other</w:t>
      </w:r>
      <w:r>
        <w:rPr>
          <w:rFonts w:ascii="Arial" w:cs="Arial" w:eastAsia="Arial" w:hAnsi="Arial"/>
          <w:sz w:val="16"/>
          <w:szCs w:val="16"/>
          <w:color w:val="auto"/>
        </w:rPr>
        <w:t>. Amortization of purchased intangible assets and other in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2020, decreased by $4.3 million, or 18.2% to $19.3 million from $23.6 million in the three months ended March 31, 2019.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 2019.</w:t>
      </w:r>
    </w:p>
    <w:p>
      <w:pPr>
        <w:spacing w:after="0" w:line="15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color w:val="auto"/>
        </w:rPr>
        <w:t>. Operating income increased by $6.5 million, or 4.4%, in the three months ended March 31, 2020, to $156.7 million, or 15.0%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revenue, from $150.2 million, or 14.7% of revenue, in the three months ended March 31, 2019. The increase in operating income was attributable primarily to increase in revenue partially offset by the increase of cost of service and to the decrease in amortization of purchased intangible assets and other during the three months ended March 31, 2020. Positive foreign exchange impacts on our operating expenses were partially offset by the negative foreign exchange impacts on our revenue, resulting in an immaterial positive impact on our operating income.</w:t>
      </w:r>
    </w:p>
    <w:p>
      <w:pPr>
        <w:spacing w:after="0" w:line="17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b w:val="1"/>
          <w:bCs w:val="1"/>
          <w:i w:val="1"/>
          <w:iCs w:val="1"/>
          <w:color w:val="auto"/>
        </w:rPr>
        <w:t>Interest and Other Expense, Net</w:t>
      </w:r>
      <w:r>
        <w:rPr>
          <w:rFonts w:ascii="Arial" w:cs="Arial" w:eastAsia="Arial" w:hAnsi="Arial"/>
          <w:sz w:val="18"/>
          <w:szCs w:val="18"/>
          <w:color w:val="auto"/>
        </w:rPr>
        <w:t>. Interest and other expense, net, changed from a net loss of $1.9 million in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to a net loss of $2.3 million in the three months ended March 31, 2020. The increase in interest and other expense, net, was primarily attributable to foreign exchange impacts.</w:t>
      </w:r>
    </w:p>
    <w:p>
      <w:pPr>
        <w:spacing w:after="0" w:line="184"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March 31, 2020 were $27.4 million on pre-tax income of $154.4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17.7%, compared to 16.2% in the three months ended March 31, 2019. Our effective tax rate may fluctuate between periods as a result of discrete items that may affect a particular period. Please see Note 9 to our consolidated financial statements.</w:t>
      </w:r>
    </w:p>
    <w:p>
      <w:pPr>
        <w:spacing w:after="0" w:line="16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$2.8 million, or 2.2%, to $127.0 million in the three months ended March 31, 2020, from $124.3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2019. The increase in net income during the three months ended March 31, 2020 was primarily attributable to the increase in operating income partially offset by increase in income taxes.</w:t>
      </w:r>
    </w:p>
    <w:p>
      <w:pPr>
        <w:spacing w:after="0" w:line="184" w:lineRule="exact"/>
        <w:rPr>
          <w:sz w:val="20"/>
          <w:szCs w:val="20"/>
          <w:color w:val="auto"/>
        </w:rPr>
      </w:pPr>
    </w:p>
    <w:p>
      <w:pPr>
        <w:jc w:val="both"/>
        <w:ind w:right="140" w:firstLine="440"/>
        <w:spacing w:after="0" w:line="259" w:lineRule="auto"/>
        <w:rPr>
          <w:sz w:val="20"/>
          <w:szCs w:val="20"/>
          <w:color w:val="auto"/>
        </w:rPr>
      </w:pPr>
      <w:r>
        <w:rPr>
          <w:rFonts w:ascii="Arial" w:cs="Arial" w:eastAsia="Arial" w:hAnsi="Arial"/>
          <w:sz w:val="18"/>
          <w:szCs w:val="18"/>
          <w:b w:val="1"/>
          <w:bCs w:val="1"/>
          <w:i w:val="1"/>
          <w:iCs w:val="1"/>
          <w:color w:val="auto"/>
        </w:rPr>
        <w:t>Diluted Earnings Per Share</w:t>
      </w:r>
      <w:r>
        <w:rPr>
          <w:rFonts w:ascii="Arial" w:cs="Arial" w:eastAsia="Arial" w:hAnsi="Arial"/>
          <w:sz w:val="18"/>
          <w:szCs w:val="18"/>
          <w:color w:val="auto"/>
        </w:rPr>
        <w:t>. Diluted earnings per share increased by $0.04, or 4.4%, to $0.94 in the three months ended March 31, 2020,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$0.90 in the three months ended March 31, 2019. The increase in diluted earnings per share was primarily attributable to the increase in net income, as well as to the decrease in the diluted weighted average number of shares outstanding which resulted from share repurchases. Please see also Note 10 to our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i w:val="1"/>
          <w:iCs w:val="1"/>
          <w:color w:val="auto"/>
        </w:rPr>
        <w:t xml:space="preserve">Cash, Cash Equivalents and Short-Term Interest-Bearing Investments. </w:t>
      </w:r>
      <w:r>
        <w:rPr>
          <w:rFonts w:ascii="Arial" w:cs="Arial" w:eastAsia="Arial" w:hAnsi="Arial"/>
          <w:sz w:val="18"/>
          <w:szCs w:val="18"/>
          <w:color w:val="auto"/>
        </w:rPr>
        <w:t>Cash, cash equivalents and short-term interest-bearing investments,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debt, totaled $412.6 million as of March 31, 2020, compared to $471.6 million as of September 30, 2019. The decrease was mainly attributable to $210.0 million repurchase of our ordinary shares, $104.7 million for capital expenditures, net, $76.8 million of cash dividend payment and $1.4 million contingent consideration payment from a business acquisition, partially offset by $266.8 million in positive cash flow from operations and $70.6 million of proceeds from stock option exercises. Net cash provided by operating activities amounted to $266.8 million and $278.3 million in the six months ended March 31, 2020 and 2019, respectively.</w:t>
      </w:r>
    </w:p>
    <w:p>
      <w:pPr>
        <w:spacing w:after="0" w:line="19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Our free cash flow for the six months ended March 31, 2020 was $162.1 million and is calculated as net cash provided by operating activities of $266.8 million for the period less $104.7 million for capital expenditures, net.</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88" w:lineRule="exact"/>
        <w:rPr>
          <w:sz w:val="20"/>
          <w:szCs w:val="20"/>
          <w:color w:val="auto"/>
        </w:rPr>
      </w:pPr>
    </w:p>
    <w:p>
      <w:pPr>
        <w:jc w:val="both"/>
        <w:ind w:right="360" w:firstLine="440"/>
        <w:spacing w:after="0" w:line="311" w:lineRule="auto"/>
        <w:rPr>
          <w:sz w:val="20"/>
          <w:szCs w:val="20"/>
          <w:color w:val="auto"/>
        </w:rPr>
      </w:pPr>
      <w:r>
        <w:rPr>
          <w:rFonts w:ascii="Arial" w:cs="Arial" w:eastAsia="Arial" w:hAnsi="Arial"/>
          <w:sz w:val="16"/>
          <w:szCs w:val="16"/>
          <w:color w:val="auto"/>
        </w:rPr>
        <w:t>Our policy is to retain sufficient cash balances in order to support our growth. We believe that our current cash balances, cash generated from operations, our current lines of credit, loans and our ability to access capital markets will provide sufficient resources to meet our operational needs, fund the construction of the new campus in Israel, fund share repurchases and the payment of cash dividends for at least the fiscal year 2020.</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1" w:name="page32"/>
    <w:bookmarkEnd w:id="31"/>
    <w:p>
      <w:pPr>
        <w:ind w:right="1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interest-bearing investments are classified as available-for-sale securities. Such short-term interest-bearing investments consist primarily of bank deposits and money market funds. We believe we have conservative investment policy guidelines. Our interest-bearing investments are priced by pricing vendors and are classified as Level 1, since these vendors provide a quoted market price in an active market. During the three and six months ended March 31, 2020 and 2019, we did not recognize any credit losses. Please see Notes 5 and 6 to the consolidated financial statements.</w:t>
      </w:r>
    </w:p>
    <w:p>
      <w:pPr>
        <w:spacing w:after="0" w:line="15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i w:val="1"/>
          <w:iCs w:val="1"/>
          <w:color w:val="auto"/>
        </w:rPr>
        <w:t xml:space="preserve">Revolving Credit Facility, Loans, Letters of Credit, Guarantees and Contractual Obligations. </w:t>
      </w:r>
      <w:r>
        <w:rPr>
          <w:rFonts w:ascii="Arial" w:cs="Arial" w:eastAsia="Arial" w:hAnsi="Arial"/>
          <w:sz w:val="17"/>
          <w:szCs w:val="17"/>
          <w:color w:val="auto"/>
        </w:rPr>
        <w:t>In December 2011, we entered into an unsecured</w:t>
      </w:r>
      <w:r>
        <w:rPr>
          <w:rFonts w:ascii="Arial" w:cs="Arial" w:eastAsia="Arial" w:hAnsi="Arial"/>
          <w:sz w:val="17"/>
          <w:szCs w:val="17"/>
          <w:i w:val="1"/>
          <w:iCs w:val="1"/>
          <w:color w:val="auto"/>
        </w:rPr>
        <w:t xml:space="preserve"> </w:t>
      </w:r>
      <w:r>
        <w:rPr>
          <w:rFonts w:ascii="Arial" w:cs="Arial" w:eastAsia="Arial" w:hAnsi="Arial"/>
          <w:sz w:val="17"/>
          <w:szCs w:val="17"/>
          <w:color w:val="auto"/>
        </w:rPr>
        <w:t>$500.0 million five-year revolving credit facility with a syndicate of banks. In December 2014, the credit facility was amended and restated to, among other things, extend the maturity date of the facility to December 2019. In December 2017, the credit facility was amended and restated again to, among other things, extend the maturity date of the facility to December 2022. Given the uncertain magnitude and duration of the COVID-19 economic crisis we took the precaution to increase our cash balance and in March 2020, we drew an aggregate of $300.0 million under our revolving credit facility. As of March 31, 2020, we were in compliance with the financial covenants and had $300.0 million outstanding under the revolving credit facility. As a result, $200.0 million remains available on the revolving credit facility.</w:t>
      </w:r>
    </w:p>
    <w:p>
      <w:pPr>
        <w:spacing w:after="0" w:line="177"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In addition, unassociated with the revolving credit facility discussed above, in the three months ended March 31, 2020, we entered into a $50.0 million short-term loan and in May, 2020 we entered into an additional $100.0 million short-term loan.</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As of March 31, 2020, we had additional uncommitted lines of credit available for general corporate and other specific purposes and had outstanding letters of credit and bank guarantees from various banks totaling $84.5 million. These were supported by a combination of the uncommitted lines of credit that we maintain with various banks.</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We have contractual obligations for our non-cancelable operating leases, purchase obligations, pension funding and unrecognized tax benefits, the total net investment related to the construction of the new campus in Israel, summarized in the disclosure of contractual obligations set forth in our Annual Report on Form 20-F for the fiscal year ended September 30, 2019, filed on December 16, 2019 with the SEC. Since September 30, 2019, there have been no material changes in our aggregate contractual obligations.</w:t>
      </w:r>
    </w:p>
    <w:p>
      <w:pPr>
        <w:spacing w:after="0" w:line="187" w:lineRule="exact"/>
        <w:rPr>
          <w:sz w:val="20"/>
          <w:szCs w:val="20"/>
          <w:color w:val="auto"/>
        </w:rPr>
      </w:pPr>
    </w:p>
    <w:p>
      <w:pPr>
        <w:ind w:right="260" w:firstLine="440"/>
        <w:spacing w:after="0" w:line="291"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Generally, 80% to 90% of our capital expenditures (excluding the investment in our new campus in Israel) consist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purchases of computer equipment, and the remainder is attributable mainly to leasehold improvements. Our capital expenditures were approximately $104.7 million in the six months ended March 31, 2020 and were mainly attributable to investments in our operating facilities and our development centers around the world (including the investment in our new campus in Israel). The total net investment we expect to make in connection with the construction of the new campus is estimated to be up to $350 million over a period of four to five years, starting with fiscal year 2018, out of which approximately $96 million was incurred in fiscal years 2018 by both us and our partner Union at equal portions (i.e. our net investment was approximately $48 million) and $7 million was incurred by us in fiscal year 2019. We expect to incur up to $90 million in fiscal year 2020.</w:t>
      </w:r>
    </w:p>
    <w:p>
      <w:pPr>
        <w:spacing w:after="0" w:line="16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our Board of Directors can adopt share repurchase plans authorizing the repurchase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On November 8, 2017, our Board of Directors adopted a share repurchase plan for the repurchase of up to an additional $800.0 million of our outstanding ordinary shares with no expiration date. In the six months ended March 31, 2020, we repurchased 3.2 million ordinary shares at an average price of $66.22 per share (excluding broker and transaction fees). The November 2017 plan permits us to purchase our ordinary shares in the open market or through privately negotiated transactions at times and prices that we consider appropriate. As of March 31, 2020, we had remaining authority to repurchase up to $29.2 million of our outstanding ordinary shares under the November 2017 plan. On November 12, 2019, our Board of Directors adopted another share repurchase plan authorizing the repurchase of up to an additional $800.0 million of our outstanding ordinary shares with no expiration date which brings the unused authorization as of March 31, 2020 to $829.2 million. The authorizations permit us to purchase our ordinary shares in the open market or through privately negotiated transactions at times and prices that we consider appropriate.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Cash Dividends. </w:t>
      </w:r>
      <w:r>
        <w:rPr>
          <w:rFonts w:ascii="Arial" w:cs="Arial" w:eastAsia="Arial" w:hAnsi="Arial"/>
          <w:sz w:val="18"/>
          <w:szCs w:val="18"/>
          <w:color w:val="auto"/>
        </w:rPr>
        <w:t>Our Board of Directors declared the following dividends during the six months ended March 31, 2020 and 2019:</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10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Declaration Date</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420" w:type="dxa"/>
            <w:vAlign w:val="bottom"/>
          </w:tcPr>
          <w:p>
            <w:pPr>
              <w:spacing w:after="0"/>
              <w:rPr>
                <w:sz w:val="14"/>
                <w:szCs w:val="14"/>
                <w:color w:val="auto"/>
              </w:rPr>
            </w:pPr>
          </w:p>
        </w:tc>
        <w:tc>
          <w:tcPr>
            <w:tcW w:w="2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Amount</w:t>
            </w:r>
          </w:p>
        </w:tc>
        <w:tc>
          <w:tcPr>
            <w:tcW w:w="420" w:type="dxa"/>
            <w:vAlign w:val="bottom"/>
          </w:tcPr>
          <w:p>
            <w:pPr>
              <w:spacing w:after="0"/>
              <w:rPr>
                <w:sz w:val="14"/>
                <w:szCs w:val="14"/>
                <w:color w:val="auto"/>
              </w:rPr>
            </w:pP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42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4, 2020</w:t>
            </w: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0.3275</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2020</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24, 2020</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November 12, 2019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0.285</w:t>
            </w:r>
          </w:p>
        </w:tc>
        <w:tc>
          <w:tcPr>
            <w:tcW w:w="2640" w:type="dxa"/>
            <w:vAlign w:val="bottom"/>
            <w:gridSpan w:val="3"/>
          </w:tcPr>
          <w:p>
            <w:pPr>
              <w:ind w:left="420"/>
              <w:spacing w:after="0"/>
              <w:rPr>
                <w:sz w:val="20"/>
                <w:szCs w:val="20"/>
                <w:color w:val="auto"/>
              </w:rPr>
            </w:pPr>
            <w:r>
              <w:rPr>
                <w:rFonts w:ascii="Arial" w:cs="Arial" w:eastAsia="Arial" w:hAnsi="Arial"/>
                <w:sz w:val="18"/>
                <w:szCs w:val="18"/>
                <w:color w:val="auto"/>
              </w:rPr>
              <w:t>December 31, 2019</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38.4</w:t>
            </w:r>
          </w:p>
        </w:tc>
        <w:tc>
          <w:tcPr>
            <w:tcW w:w="1660" w:type="dxa"/>
            <w:vAlign w:val="bottom"/>
            <w:gridSpan w:val="2"/>
          </w:tcPr>
          <w:p>
            <w:pPr>
              <w:ind w:left="420"/>
              <w:spacing w:after="0"/>
              <w:rPr>
                <w:sz w:val="20"/>
                <w:szCs w:val="20"/>
                <w:color w:val="auto"/>
              </w:rPr>
            </w:pPr>
            <w:r>
              <w:rPr>
                <w:rFonts w:ascii="Arial" w:cs="Arial" w:eastAsia="Arial" w:hAnsi="Arial"/>
                <w:sz w:val="18"/>
                <w:szCs w:val="18"/>
                <w:color w:val="auto"/>
                <w:w w:val="87"/>
              </w:rPr>
              <w:t>January 24, 2020</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5, 2019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0.285</w:t>
            </w:r>
          </w:p>
        </w:tc>
        <w:tc>
          <w:tcPr>
            <w:tcW w:w="2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March 29, 2019</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39.1</w:t>
            </w:r>
          </w:p>
        </w:tc>
        <w:tc>
          <w:tcPr>
            <w:tcW w:w="1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April 19, 2019</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November 8, 2018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0.250</w:t>
            </w:r>
          </w:p>
        </w:tc>
        <w:tc>
          <w:tcPr>
            <w:tcW w:w="2640" w:type="dxa"/>
            <w:vAlign w:val="bottom"/>
            <w:gridSpan w:val="3"/>
          </w:tcPr>
          <w:p>
            <w:pPr>
              <w:ind w:left="420"/>
              <w:spacing w:after="0"/>
              <w:rPr>
                <w:sz w:val="20"/>
                <w:szCs w:val="20"/>
                <w:color w:val="auto"/>
              </w:rPr>
            </w:pPr>
            <w:r>
              <w:rPr>
                <w:rFonts w:ascii="Arial" w:cs="Arial" w:eastAsia="Arial" w:hAnsi="Arial"/>
                <w:sz w:val="18"/>
                <w:szCs w:val="18"/>
                <w:color w:val="auto"/>
              </w:rPr>
              <w:t>December 31, 2018</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34.8</w:t>
            </w:r>
          </w:p>
        </w:tc>
        <w:tc>
          <w:tcPr>
            <w:tcW w:w="1660" w:type="dxa"/>
            <w:vAlign w:val="bottom"/>
            <w:gridSpan w:val="2"/>
          </w:tcPr>
          <w:p>
            <w:pPr>
              <w:ind w:left="420"/>
              <w:spacing w:after="0"/>
              <w:rPr>
                <w:sz w:val="20"/>
                <w:szCs w:val="20"/>
                <w:color w:val="auto"/>
              </w:rPr>
            </w:pPr>
            <w:r>
              <w:rPr>
                <w:rFonts w:ascii="Arial" w:cs="Arial" w:eastAsia="Arial" w:hAnsi="Arial"/>
                <w:sz w:val="18"/>
                <w:szCs w:val="18"/>
                <w:color w:val="auto"/>
                <w:w w:val="87"/>
              </w:rPr>
              <w:t>January 18, 2019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On May 7, 2020, our Board of Directors approved the next quarterly dividend payment of $0.3275 per share and set June 30, 2020 as the record date for determining the shareholders entitled to receive the dividend, which is payable on July 24, 2020.</w:t>
      </w:r>
    </w:p>
    <w:p>
      <w:pPr>
        <w:spacing w:after="0" w:line="170"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During the six months ended March 31, 2020 and 2019,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3" w:name="page34"/>
    <w:bookmarkEnd w:id="3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II OTHER INFORMATION</w:t>
      </w:r>
    </w:p>
    <w:p>
      <w:pPr>
        <w:spacing w:after="0" w:line="13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Changes in Securities, Use of Proceeds and Issuer Purchases of Equity Securities.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March 31, 2020 of equity securities that are registered by us pursuant to Section 12 of the Exchange Act:</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Total Number of</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Shares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4"/>
              </w:rPr>
              <w:t>Total Number of</w:t>
            </w: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5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Average Price</w:t>
            </w:r>
          </w:p>
        </w:tc>
        <w:tc>
          <w:tcPr>
            <w:tcW w:w="16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780" w:type="dxa"/>
            <w:vAlign w:val="bottom"/>
            <w:gridSpan w:val="2"/>
            <w:vMerge w:val="restart"/>
          </w:tcPr>
          <w:p>
            <w:pPr>
              <w:spacing w:after="0"/>
              <w:rPr>
                <w:sz w:val="12"/>
                <w:szCs w:val="12"/>
                <w:color w:val="auto"/>
              </w:rPr>
            </w:pPr>
          </w:p>
        </w:tc>
        <w:tc>
          <w:tcPr>
            <w:tcW w:w="15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Shares</w:t>
            </w:r>
          </w:p>
        </w:tc>
        <w:tc>
          <w:tcPr>
            <w:tcW w:w="1540" w:type="dxa"/>
            <w:vAlign w:val="bottom"/>
            <w:gridSpan w:val="2"/>
            <w:vMerge w:val="continue"/>
          </w:tcPr>
          <w:p>
            <w:pPr>
              <w:spacing w:after="0"/>
              <w:rPr>
                <w:sz w:val="12"/>
                <w:szCs w:val="12"/>
                <w:color w:val="auto"/>
              </w:rPr>
            </w:pPr>
          </w:p>
        </w:tc>
        <w:tc>
          <w:tcPr>
            <w:tcW w:w="16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780" w:type="dxa"/>
            <w:vAlign w:val="bottom"/>
            <w:gridSpan w:val="2"/>
            <w:vMerge w:val="continue"/>
          </w:tcPr>
          <w:p>
            <w:pPr>
              <w:spacing w:after="0"/>
              <w:rPr>
                <w:sz w:val="15"/>
                <w:szCs w:val="15"/>
                <w:color w:val="auto"/>
              </w:rPr>
            </w:pPr>
          </w:p>
        </w:tc>
        <w:tc>
          <w:tcPr>
            <w:tcW w:w="1560" w:type="dxa"/>
            <w:vAlign w:val="bottom"/>
            <w:gridSpan w:val="3"/>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Purchased</w:t>
            </w:r>
          </w:p>
        </w:tc>
        <w:tc>
          <w:tcPr>
            <w:tcW w:w="15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4"/>
              </w:rPr>
              <w:t>Paid per Share</w:t>
            </w:r>
            <w:r>
              <w:rPr>
                <w:rFonts w:ascii="Arial" w:cs="Arial" w:eastAsia="Arial" w:hAnsi="Arial"/>
                <w:sz w:val="12"/>
                <w:szCs w:val="12"/>
                <w:b w:val="1"/>
                <w:bCs w:val="1"/>
                <w:color w:val="auto"/>
                <w:w w:val="94"/>
              </w:rPr>
              <w:t>(1)</w:t>
            </w:r>
          </w:p>
        </w:tc>
        <w:tc>
          <w:tcPr>
            <w:tcW w:w="164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8"/>
              </w:rPr>
              <w:t>or Programs</w:t>
            </w: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2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01/01/20-01/31/20</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358,021</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$73.32</w:t>
            </w:r>
          </w:p>
        </w:tc>
        <w:tc>
          <w:tcPr>
            <w:tcW w:w="4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358,021</w:t>
            </w:r>
          </w:p>
        </w:tc>
        <w:tc>
          <w:tcPr>
            <w:tcW w:w="5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$922,921,938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02/01/20-02/29/20</w:t>
            </w:r>
          </w:p>
        </w:tc>
        <w:tc>
          <w:tcPr>
            <w:tcW w:w="1560" w:type="dxa"/>
            <w:vAlign w:val="bottom"/>
            <w:gridSpan w:val="3"/>
          </w:tcPr>
          <w:p>
            <w:pPr>
              <w:jc w:val="right"/>
              <w:ind w:right="540"/>
              <w:spacing w:after="0"/>
              <w:rPr>
                <w:sz w:val="20"/>
                <w:szCs w:val="20"/>
                <w:color w:val="auto"/>
              </w:rPr>
            </w:pPr>
            <w:r>
              <w:rPr>
                <w:rFonts w:ascii="Arial" w:cs="Arial" w:eastAsia="Arial" w:hAnsi="Arial"/>
                <w:sz w:val="18"/>
                <w:szCs w:val="18"/>
                <w:color w:val="auto"/>
              </w:rPr>
              <w:t>411,341</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$73.02</w:t>
            </w:r>
          </w:p>
        </w:tc>
        <w:tc>
          <w:tcPr>
            <w:tcW w:w="48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411,341</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$892,884,731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03/01/20-03/31/20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1,093,501</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$58.27</w:t>
            </w:r>
          </w:p>
        </w:tc>
        <w:tc>
          <w:tcPr>
            <w:tcW w:w="4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1,093,501</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$829,171,117</w:t>
            </w:r>
          </w:p>
        </w:tc>
        <w:tc>
          <w:tcPr>
            <w:tcW w:w="0" w:type="dxa"/>
            <w:vAlign w:val="bottom"/>
          </w:tcPr>
          <w:p>
            <w:pPr>
              <w:spacing w:after="0"/>
              <w:rPr>
                <w:sz w:val="1"/>
                <w:szCs w:val="1"/>
                <w:color w:val="auto"/>
              </w:rPr>
            </w:pPr>
          </w:p>
        </w:tc>
      </w:tr>
      <w:tr>
        <w:trPr>
          <w:trHeight w:val="223"/>
        </w:trPr>
        <w:tc>
          <w:tcPr>
            <w:tcW w:w="4640" w:type="dxa"/>
            <w:vAlign w:val="bottom"/>
            <w:gridSpan w:val="4"/>
          </w:tcPr>
          <w:p>
            <w:pPr>
              <w:ind w:left="4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1,862,863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$64.42</w:t>
            </w:r>
          </w:p>
        </w:tc>
        <w:tc>
          <w:tcPr>
            <w:tcW w:w="4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1,862,863</w:t>
            </w:r>
          </w:p>
        </w:tc>
        <w:tc>
          <w:tcPr>
            <w:tcW w:w="5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$829,171,117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424" w:right="120" w:hanging="424"/>
        <w:spacing w:after="0" w:line="255"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November 12, 2019, our Board of Directors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we consider appropriate.</w:t>
      </w:r>
    </w:p>
    <w:p>
      <w:pPr>
        <w:spacing w:after="0" w:line="33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Reports on Form 6-K</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furnished or filed the following reports on Form 6-K during the three months ended March 31, 2020:</w:t>
      </w:r>
    </w:p>
    <w:p>
      <w:pPr>
        <w:spacing w:after="0" w:line="131" w:lineRule="exact"/>
        <w:rPr>
          <w:sz w:val="20"/>
          <w:szCs w:val="20"/>
          <w:color w:val="auto"/>
        </w:rPr>
      </w:pPr>
    </w:p>
    <w:p>
      <w:pPr>
        <w:ind w:left="964" w:hanging="532"/>
        <w:spacing w:after="0"/>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6-K dated February 03, 2020</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6-K dated February 05, 2020</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6-K dated February 18, 2020</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For a discussion of our potential risks and uncertainties, see the information set forth under the caption “Risk Factors” in our Annual Report on Form 20-F for fiscal year 2019, filed on December 16, 2019 with the U.S. Securities and Exchange Commission.</w:t>
      </w:r>
    </w:p>
    <w:p>
      <w:pPr>
        <w:spacing w:after="0" w:line="17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b w:val="1"/>
          <w:bCs w:val="1"/>
          <w:i w:val="1"/>
          <w:iCs w:val="1"/>
          <w:color w:val="auto"/>
        </w:rPr>
        <w:t>The global outbreak of the COVID-19 pandemic may negatively impact the global economy in a significant manner for an extended period of time, and also could materially adversely affect our business and operating results.</w:t>
      </w:r>
    </w:p>
    <w:p>
      <w:pPr>
        <w:spacing w:after="0" w:line="170"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On March 11, 2020 the World Health Organization characterized the outbreak as a “pandemic”. This outbreak of COVID-19 has resulted in a widespread health crisis that has and may continue to adversely affect the economies and financial markets worldwide. The COVID-19 pandemic could materially adversely impact our business, results of operations and financial results, depending on numerous evolving factors that we may not be able to accurately predict, including: the duration and severity of the pandemic; governmental, business and individuals’ actions that have been and continue to be taken in response to the pandemic; the impact of COVID-19 on economic activity and actions taken in response; the effect on our clients and client demand for our services and products; our ability to sell and provide our services and products, including as a result of travel restrictions and working directives; the effect of COVID-19 on our employees’ health and their effectiveness; the ability of our clients to pay for our services and products; and any closures of our and our clients’ offices and facilities. Negative economic conditions may cause customers generally to reduce their spending, delay or cancel projects, choose to focus on in-house development efforts or seek to lower their costs by renegotiating or terminating existing agreements. Any of these events could cause or contribute to the risks and uncertainties enumerated in our Annual Report on Form 20-F for fiscal year 2019, and could materially adversely affect our business, financial condition, results of operations and/or stock price.</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0" w:right="459" w:bottom="1440" w:gutter="0" w:footer="0" w:header="0"/>
        </w:sectPr>
      </w:pPr>
    </w:p>
    <w:bookmarkStart w:id="34" w:name="page35"/>
    <w:bookmarkEnd w:id="3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18, 2020</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35</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6"/>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2020-05-18T15:42:33Z</dcterms:created>
  <dcterms:modified xsi:type="dcterms:W3CDTF">2020-05-18T15:42:33Z</dcterms:modified>
</cp:coreProperties>
</file>