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59"/>
        <w:spacing w:after="0"/>
        <w:rPr>
          <w:sz w:val="20"/>
          <w:szCs w:val="20"/>
          <w:color w:val="auto"/>
        </w:rPr>
      </w:pPr>
      <w:r>
        <w:rPr>
          <w:rFonts w:ascii="Courier New" w:cs="Courier New" w:eastAsia="Courier New" w:hAnsi="Courier New"/>
          <w:sz w:val="17"/>
          <w:szCs w:val="17"/>
          <w:color w:val="auto"/>
        </w:rPr>
        <w:t>UNITED STATES</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FORM 6-K</w:t>
      </w:r>
    </w:p>
    <w:p>
      <w:pPr>
        <w:spacing w:after="0" w:line="200" w:lineRule="exact"/>
        <w:rPr>
          <w:sz w:val="24"/>
          <w:szCs w:val="24"/>
          <w:color w:val="auto"/>
        </w:rPr>
      </w:pPr>
    </w:p>
    <w:p>
      <w:pPr>
        <w:ind w:left="2460"/>
        <w:spacing w:after="0"/>
        <w:rPr>
          <w:sz w:val="20"/>
          <w:szCs w:val="20"/>
          <w:color w:val="auto"/>
        </w:rPr>
      </w:pPr>
      <w:r>
        <w:rPr>
          <w:rFonts w:ascii="Courier New" w:cs="Courier New" w:eastAsia="Courier New" w:hAnsi="Courier New"/>
          <w:sz w:val="17"/>
          <w:szCs w:val="17"/>
          <w:color w:val="auto"/>
        </w:rPr>
        <w:t>REPORT OF FOREIGN PRIVATE ISSUER</w:t>
      </w:r>
    </w:p>
    <w:p>
      <w:pPr>
        <w:spacing w:after="0" w:line="4" w:lineRule="exact"/>
        <w:rPr>
          <w:sz w:val="24"/>
          <w:szCs w:val="24"/>
          <w:color w:val="auto"/>
        </w:rPr>
      </w:pPr>
    </w:p>
    <w:p>
      <w:pPr>
        <w:ind w:left="2140"/>
        <w:spacing w:after="0"/>
        <w:rPr>
          <w:sz w:val="20"/>
          <w:szCs w:val="20"/>
          <w:color w:val="auto"/>
        </w:rPr>
      </w:pPr>
      <w:r>
        <w:rPr>
          <w:rFonts w:ascii="Courier New" w:cs="Courier New" w:eastAsia="Courier New" w:hAnsi="Courier New"/>
          <w:sz w:val="17"/>
          <w:szCs w:val="17"/>
          <w:color w:val="auto"/>
        </w:rPr>
        <w:t>PURSUANT TO RULE 13A-16 OR 15D-16 UNDER</w:t>
      </w:r>
    </w:p>
    <w:p>
      <w:pPr>
        <w:spacing w:after="0" w:line="4" w:lineRule="exact"/>
        <w:rPr>
          <w:sz w:val="24"/>
          <w:szCs w:val="24"/>
          <w:color w:val="auto"/>
        </w:rPr>
      </w:pPr>
    </w:p>
    <w:p>
      <w:pPr>
        <w:ind w:left="2360"/>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200" w:lineRule="exact"/>
        <w:rPr>
          <w:sz w:val="24"/>
          <w:szCs w:val="24"/>
          <w:color w:val="auto"/>
        </w:rPr>
      </w:pPr>
    </w:p>
    <w:p>
      <w:pPr>
        <w:ind w:left="2660"/>
        <w:spacing w:after="0"/>
        <w:rPr>
          <w:sz w:val="20"/>
          <w:szCs w:val="20"/>
          <w:color w:val="auto"/>
        </w:rPr>
      </w:pPr>
      <w:r>
        <w:rPr>
          <w:rFonts w:ascii="Courier New" w:cs="Courier New" w:eastAsia="Courier New" w:hAnsi="Courier New"/>
          <w:sz w:val="17"/>
          <w:szCs w:val="17"/>
          <w:color w:val="auto"/>
        </w:rPr>
        <w:t>For the month of January 2006</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Commission File Number 1-14840</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Suite 5, Tower Hill House Le Bordage</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St. Peter Port, Island of Guernsey, GY1 3QT Channel Islands</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Amdocs, Inc.</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1390 Timberlake Manor Parkway, Chesterfield, Missouri 63017</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1" w:lineRule="exact"/>
        <w:rPr>
          <w:sz w:val="24"/>
          <w:szCs w:val="24"/>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Indicate by check mark whether the registrant files or will file annual reports under cover of Form 20-F or Form 40-F.</w:t>
      </w:r>
    </w:p>
    <w:p>
      <w:pPr>
        <w:sectPr>
          <w:pgSz w:w="11900" w:h="16838" w:orient="portrait"/>
          <w:cols w:equalWidth="0" w:num="1">
            <w:col w:w="10219"/>
          </w:cols>
          <w:pgMar w:left="240" w:top="834" w:right="1440" w:bottom="1440" w:gutter="0" w:footer="0" w:header="0"/>
        </w:sectPr>
      </w:pPr>
    </w:p>
    <w:p>
      <w:pPr>
        <w:spacing w:after="0" w:line="198" w:lineRule="exact"/>
        <w:rPr>
          <w:sz w:val="24"/>
          <w:szCs w:val="24"/>
          <w:color w:val="auto"/>
        </w:rPr>
      </w:pPr>
    </w:p>
    <w:p>
      <w:pPr>
        <w:ind w:left="2140"/>
        <w:spacing w:after="0"/>
        <w:rPr>
          <w:sz w:val="20"/>
          <w:szCs w:val="20"/>
          <w:color w:val="auto"/>
        </w:rPr>
      </w:pPr>
      <w:r>
        <w:rPr>
          <w:rFonts w:ascii="Courier New" w:cs="Courier New" w:eastAsia="Courier New" w:hAnsi="Courier New"/>
          <w:sz w:val="17"/>
          <w:szCs w:val="17"/>
          <w:color w:val="auto"/>
        </w:rPr>
        <w:t>FORM 20-F</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X</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FORM 40-F</w:t>
      </w:r>
    </w:p>
    <w:p>
      <w:pPr>
        <w:spacing w:after="0" w:line="4" w:lineRule="exact"/>
        <w:rPr>
          <w:sz w:val="24"/>
          <w:szCs w:val="24"/>
          <w:color w:val="auto"/>
        </w:rPr>
      </w:pPr>
    </w:p>
    <w:p>
      <w:pPr>
        <w:sectPr>
          <w:pgSz w:w="11900" w:h="16838" w:orient="portrait"/>
          <w:cols w:equalWidth="0" w:num="3">
            <w:col w:w="3060" w:space="200"/>
            <w:col w:w="520" w:space="720"/>
            <w:col w:w="5719"/>
          </w:cols>
          <w:pgMar w:left="240" w:top="834"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4"/>
          <w:szCs w:val="24"/>
          <w:color w:val="auto"/>
        </w:rPr>
      </w:pPr>
    </w:p>
    <w:p>
      <w:pPr>
        <w:sectPr>
          <w:pgSz w:w="11900" w:h="16838" w:orient="portrait"/>
          <w:cols w:equalWidth="0" w:num="2">
            <w:col w:w="4800" w:space="720"/>
            <w:col w:w="4699"/>
          </w:cols>
          <w:pgMar w:left="240" w:top="834" w:right="1440" w:bottom="1440" w:gutter="0" w:footer="0" w:header="0"/>
          <w:type w:val="continuous"/>
        </w:sectPr>
      </w:pPr>
    </w:p>
    <w:p>
      <w:pPr>
        <w:spacing w:after="0" w:line="1" w:lineRule="exact"/>
        <w:rPr>
          <w:sz w:val="24"/>
          <w:szCs w:val="24"/>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Indicate by check mark if the registrant is submitting the Form 6-K in paper as permitted by Regulation S-T Rule 101(b)(1):</w:t>
      </w:r>
    </w:p>
    <w:p>
      <w:pPr>
        <w:spacing w:after="0" w:line="1" w:lineRule="exact"/>
        <w:rPr>
          <w:sz w:val="24"/>
          <w:szCs w:val="24"/>
          <w:color w:val="auto"/>
        </w:rPr>
      </w:pPr>
    </w:p>
    <w:p>
      <w:pPr>
        <w:ind w:left="450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4"/>
          <w:szCs w:val="24"/>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Indicate by check mark if the registrant is submitting the Form 6-K in paper as permitted by Regulation S-T Rule 101(b)(7):</w:t>
      </w:r>
    </w:p>
    <w:p>
      <w:pPr>
        <w:spacing w:after="0" w:line="1" w:lineRule="exact"/>
        <w:rPr>
          <w:sz w:val="24"/>
          <w:szCs w:val="24"/>
          <w:color w:val="auto"/>
        </w:rPr>
      </w:pPr>
    </w:p>
    <w:p>
      <w:pPr>
        <w:ind w:left="450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4"/>
          <w:szCs w:val="24"/>
          <w:color w:val="auto"/>
        </w:rPr>
      </w:pPr>
    </w:p>
    <w:p>
      <w:pPr>
        <w:ind w:right="2059"/>
        <w:spacing w:after="0" w:line="266"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834" w:right="1440" w:bottom="1440" w:gutter="0" w:footer="0" w:header="0"/>
          <w:type w:val="continuous"/>
        </w:sectPr>
      </w:pPr>
    </w:p>
    <w:p>
      <w:pPr>
        <w:spacing w:after="0" w:line="182"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5119"/>
        <w:spacing w:after="0"/>
        <w:rPr>
          <w:sz w:val="20"/>
          <w:szCs w:val="20"/>
          <w:color w:val="auto"/>
        </w:rPr>
      </w:pPr>
      <w:r>
        <w:rPr>
          <w:rFonts w:ascii="Courier New" w:cs="Courier New" w:eastAsia="Courier New" w:hAnsi="Courier New"/>
          <w:sz w:val="17"/>
          <w:szCs w:val="17"/>
          <w:color w:val="auto"/>
        </w:rPr>
        <w:t>X</w:t>
      </w:r>
    </w:p>
    <w:p>
      <w:pPr>
        <w:spacing w:after="0" w:line="5" w:lineRule="exact"/>
        <w:rPr>
          <w:sz w:val="24"/>
          <w:szCs w:val="24"/>
          <w:color w:val="auto"/>
        </w:rPr>
      </w:pPr>
    </w:p>
    <w:p>
      <w:pPr>
        <w:jc w:val="center"/>
        <w:ind w:right="511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3060" w:space="100"/>
            <w:col w:w="520" w:space="720"/>
            <w:col w:w="200" w:space="200"/>
            <w:col w:w="5419"/>
          </w:cols>
          <w:pgMar w:left="240" w:top="834" w:right="1440" w:bottom="1440" w:gutter="0" w:footer="0" w:header="0"/>
          <w:type w:val="continuous"/>
        </w:sectPr>
      </w:pPr>
    </w:p>
    <w:bookmarkStart w:id="1" w:name="page2"/>
    <w:bookmarkEnd w:id="1"/>
    <w:p>
      <w:pPr>
        <w:ind w:right="2059" w:firstLine="510"/>
        <w:spacing w:after="0" w:line="244" w:lineRule="auto"/>
        <w:rPr>
          <w:sz w:val="20"/>
          <w:szCs w:val="20"/>
          <w:color w:val="auto"/>
        </w:rPr>
      </w:pPr>
      <w:r>
        <w:rPr>
          <w:rFonts w:ascii="Courier New" w:cs="Courier New" w:eastAsia="Courier New" w:hAnsi="Courier New"/>
          <w:sz w:val="17"/>
          <w:szCs w:val="17"/>
          <w:color w:val="auto"/>
        </w:rPr>
        <w:t>On January 18, 2005, Amdocs Limited ("Amdocs") issued a press release announcing financial results for the quarter ended December 31, 2005. A copy of the press release is furnished as Exhibit 99.1 to this Report of Foreign Private Issuer on Form 6-K.</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219"/>
          </w:cols>
          <w:pgMar w:left="240" w:top="704"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7"/>
          <w:szCs w:val="17"/>
          <w:color w:val="auto"/>
        </w:rPr>
        <w:t>SIGNATURES</w:t>
      </w:r>
    </w:p>
    <w:p>
      <w:pPr>
        <w:spacing w:after="0" w:line="201" w:lineRule="exact"/>
        <w:rPr>
          <w:sz w:val="20"/>
          <w:szCs w:val="20"/>
          <w:color w:val="auto"/>
        </w:rPr>
      </w:pPr>
    </w:p>
    <w:p>
      <w:pPr>
        <w:jc w:val="both"/>
        <w:ind w:right="2859"/>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AMDOCS LIMITED</w:t>
      </w:r>
    </w:p>
    <w:p>
      <w:pPr>
        <w:spacing w:after="0" w:line="396"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/s/ THOMAS G. O'BRIEN</w:t>
      </w:r>
    </w:p>
    <w:p>
      <w:pPr>
        <w:spacing w:after="0" w:line="5"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Thomas G. O'Brien</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Treasurer and Secretary</w:t>
      </w:r>
    </w:p>
    <w:p>
      <w:pPr>
        <w:spacing w:after="0" w:line="5"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Authorized U.S. Representative</w:t>
      </w:r>
    </w:p>
    <w:p>
      <w:pPr>
        <w:spacing w:after="0" w:line="200" w:lineRule="exact"/>
        <w:rPr>
          <w:sz w:val="20"/>
          <w:szCs w:val="20"/>
          <w:color w:val="auto"/>
        </w:rPr>
      </w:pPr>
    </w:p>
    <w:p>
      <w:pPr>
        <w:spacing w:after="0" w:line="206"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Date:</w:t>
        <w:tab/>
        <w:t>January 19, 2006</w:t>
      </w:r>
    </w:p>
    <w:p>
      <w:pPr>
        <w:sectPr>
          <w:pgSz w:w="11900" w:h="16838" w:orient="portrait"/>
          <w:cols w:equalWidth="0" w:num="1">
            <w:col w:w="10219"/>
          </w:cols>
          <w:pgMar w:left="240" w:top="703" w:right="1440" w:bottom="1440" w:gutter="0" w:footer="0" w:header="0"/>
        </w:sectPr>
      </w:pPr>
    </w:p>
    <w:bookmarkStart w:id="3" w:name="page4"/>
    <w:bookmarkEnd w:id="3"/>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04"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99.1</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Limited Press Release dated January 18, 2006.</w:t>
      </w:r>
    </w:p>
    <w:p>
      <w:pPr>
        <w:sectPr>
          <w:pgSz w:w="11900" w:h="16838" w:orient="portrait"/>
          <w:cols w:equalWidth="0" w:num="2">
            <w:col w:w="2040" w:space="720"/>
            <w:col w:w="7459"/>
          </w:cols>
          <w:pgMar w:left="240" w:top="704" w:right="1440" w:bottom="1440" w:gutter="0" w:footer="0" w:header="0"/>
          <w:type w:val="continuous"/>
        </w:sectPr>
      </w:pPr>
    </w:p>
    <w:bookmarkStart w:id="4" w:name="page5"/>
    <w:bookmarkEnd w:id="4"/>
    <w:p>
      <w:pPr>
        <w:ind w:left="6940"/>
        <w:spacing w:after="0"/>
        <w:rPr>
          <w:sz w:val="20"/>
          <w:szCs w:val="20"/>
          <w:color w:val="auto"/>
        </w:rPr>
      </w:pPr>
      <w:r>
        <w:rPr>
          <w:rFonts w:ascii="Courier New" w:cs="Courier New" w:eastAsia="Courier New" w:hAnsi="Courier New"/>
          <w:sz w:val="17"/>
          <w:szCs w:val="17"/>
          <w:color w:val="auto"/>
        </w:rPr>
        <w:t>Exhibit 99.1</w:t>
      </w:r>
    </w:p>
    <w:p>
      <w:pPr>
        <w:spacing w:after="0" w:line="396" w:lineRule="exact"/>
        <w:rPr>
          <w:sz w:val="20"/>
          <w:szCs w:val="20"/>
          <w:color w:val="auto"/>
        </w:rPr>
      </w:pPr>
    </w:p>
    <w:p>
      <w:pPr>
        <w:ind w:left="620"/>
        <w:spacing w:after="0"/>
        <w:tabs>
          <w:tab w:leader="none" w:pos="1720" w:val="left"/>
          <w:tab w:leader="none" w:pos="6820" w:val="left"/>
        </w:tabs>
        <w:rPr>
          <w:sz w:val="20"/>
          <w:szCs w:val="20"/>
          <w:color w:val="auto"/>
        </w:rPr>
      </w:pPr>
      <w:r>
        <w:rPr>
          <w:rFonts w:ascii="Courier New" w:cs="Courier New" w:eastAsia="Courier New" w:hAnsi="Courier New"/>
          <w:sz w:val="17"/>
          <w:szCs w:val="17"/>
          <w:color w:val="auto"/>
        </w:rPr>
        <w:t>P R E S S</w:t>
        <w:tab/>
        <w:t>R E L E A S E</w:t>
      </w:r>
      <w:r>
        <w:rPr>
          <w:sz w:val="20"/>
          <w:szCs w:val="20"/>
          <w:color w:val="auto"/>
        </w:rPr>
        <w:tab/>
      </w:r>
      <w:r>
        <w:rPr>
          <w:rFonts w:ascii="Courier New" w:cs="Courier New" w:eastAsia="Courier New" w:hAnsi="Courier New"/>
          <w:sz w:val="17"/>
          <w:szCs w:val="17"/>
          <w:color w:val="auto"/>
        </w:rPr>
        <w:t>amdocs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Amdocs Limited Reports Record Revenue of $587 Million for First Quarter</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of Fiscal 2006</w:t>
      </w:r>
    </w:p>
    <w:p>
      <w:pPr>
        <w:spacing w:after="0" w:line="200"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24% Growth in Diluted Earnings Per Share Before Certain Items to $0.42; Diluted</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GAAP EPS of $0.36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 highlights: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o First quarter revenue grew 25% to $587 million</w:t>
      </w:r>
    </w:p>
    <w:p>
      <w:pPr>
        <w:spacing w:after="0" w:line="201" w:lineRule="exact"/>
        <w:rPr>
          <w:sz w:val="20"/>
          <w:szCs w:val="20"/>
          <w:color w:val="auto"/>
        </w:rPr>
      </w:pPr>
    </w:p>
    <w:p>
      <w:pPr>
        <w:jc w:val="both"/>
        <w:ind w:left="720" w:right="2159" w:hanging="203"/>
        <w:spacing w:after="0" w:line="243" w:lineRule="auto"/>
        <w:rPr>
          <w:sz w:val="20"/>
          <w:szCs w:val="20"/>
          <w:color w:val="auto"/>
        </w:rPr>
      </w:pPr>
      <w:r>
        <w:rPr>
          <w:rFonts w:ascii="Courier New" w:cs="Courier New" w:eastAsia="Courier New" w:hAnsi="Courier New"/>
          <w:sz w:val="17"/>
          <w:szCs w:val="17"/>
          <w:color w:val="auto"/>
        </w:rPr>
        <w:t>o 24% increase in first quarter diluted EPS, excluding acquisition-related costs and equity-based compensation expense, net of related tax effects, to $0.42; Exceeds guidance of $0.40</w:t>
      </w:r>
    </w:p>
    <w:p>
      <w:pPr>
        <w:spacing w:after="0" w:line="19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o Diluted GAAP EPS of $0.36</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o Free cash flow of $69 million for the quarter</w:t>
      </w:r>
    </w:p>
    <w:p>
      <w:pPr>
        <w:spacing w:after="0" w:line="201" w:lineRule="exact"/>
        <w:rPr>
          <w:sz w:val="20"/>
          <w:szCs w:val="20"/>
          <w:color w:val="auto"/>
        </w:rPr>
      </w:pPr>
    </w:p>
    <w:p>
      <w:pPr>
        <w:ind w:left="720" w:right="2559" w:hanging="203"/>
        <w:spacing w:after="0" w:line="243" w:lineRule="auto"/>
        <w:rPr>
          <w:sz w:val="20"/>
          <w:szCs w:val="20"/>
          <w:color w:val="auto"/>
        </w:rPr>
      </w:pPr>
      <w:r>
        <w:rPr>
          <w:rFonts w:ascii="Courier New" w:cs="Courier New" w:eastAsia="Courier New" w:hAnsi="Courier New"/>
          <w:sz w:val="17"/>
          <w:szCs w:val="17"/>
          <w:color w:val="auto"/>
        </w:rPr>
        <w:t>o After the quarter, Sprint Nextel selected Amdocs to provide a single platform to support its more than 46 million wireless subscribers</w:t>
      </w:r>
    </w:p>
    <w:p>
      <w:pPr>
        <w:spacing w:after="0" w:line="199" w:lineRule="exact"/>
        <w:rPr>
          <w:sz w:val="20"/>
          <w:szCs w:val="20"/>
          <w:color w:val="auto"/>
        </w:rPr>
      </w:pPr>
    </w:p>
    <w:p>
      <w:pPr>
        <w:ind w:left="720" w:right="2159" w:hanging="203"/>
        <w:spacing w:after="0" w:line="244" w:lineRule="auto"/>
        <w:rPr>
          <w:sz w:val="20"/>
          <w:szCs w:val="20"/>
          <w:color w:val="auto"/>
        </w:rPr>
      </w:pPr>
      <w:r>
        <w:rPr>
          <w:rFonts w:ascii="Courier New" w:cs="Courier New" w:eastAsia="Courier New" w:hAnsi="Courier New"/>
          <w:sz w:val="17"/>
          <w:szCs w:val="17"/>
          <w:color w:val="auto"/>
        </w:rPr>
        <w:t>o Second quarter fiscal 2006 guidance: Expected revenue of approximately $600 million and diluted EPS of $0.42, excluding acquisition-related costs, net of related tax effects, and approximately $0.04-$0.05 per share of equity-based compensation expense. Diluted GAAP EPS is expected to be approximately $0.35-$0.36</w:t>
      </w:r>
    </w:p>
    <w:p>
      <w:pPr>
        <w:spacing w:after="0" w:line="198" w:lineRule="exact"/>
        <w:rPr>
          <w:sz w:val="20"/>
          <w:szCs w:val="20"/>
          <w:color w:val="auto"/>
        </w:rPr>
      </w:pPr>
    </w:p>
    <w:p>
      <w:pPr>
        <w:ind w:left="720" w:right="2159" w:hanging="203"/>
        <w:spacing w:after="0" w:line="244" w:lineRule="auto"/>
        <w:rPr>
          <w:sz w:val="20"/>
          <w:szCs w:val="20"/>
          <w:color w:val="auto"/>
        </w:rPr>
      </w:pPr>
      <w:r>
        <w:rPr>
          <w:rFonts w:ascii="Courier New" w:cs="Courier New" w:eastAsia="Courier New" w:hAnsi="Courier New"/>
          <w:sz w:val="17"/>
          <w:szCs w:val="17"/>
          <w:color w:val="auto"/>
        </w:rPr>
        <w:t>o Updated fiscal 2006 guidance: Expected revenue of approximately $2.42-$2.47 billion and diluted EPS of $1.68-$1.72, excluding acquisition-related costs, net of related tax effects, and approximately $0.16-$0.19 per share of equity-based compensation expense. Diluted GAAP EPS is expected to be approximately $1.40-$1.47</w:t>
      </w:r>
    </w:p>
    <w:p>
      <w:pPr>
        <w:spacing w:after="0" w:line="394"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St. Louis, MO - January 18, 2006 - Amdocs Limited (NYSE: DOX) today reported that for the first quarter ended December 31, 2005, revenue was $587.0 million, an increase of 25.0% from last year's first quarter. Excluding acquisition-related costs and equity-based</w:t>
      </w:r>
    </w:p>
    <w:p>
      <w:pPr>
        <w:sectPr>
          <w:pgSz w:w="11900" w:h="16838" w:orient="portrait"/>
          <w:cols w:equalWidth="0" w:num="1">
            <w:col w:w="10219"/>
          </w:cols>
          <w:pgMar w:left="240" w:top="533" w:right="1440" w:bottom="1440" w:gutter="0" w:footer="0" w:header="0"/>
        </w:sectPr>
      </w:pPr>
    </w:p>
    <w:bookmarkStart w:id="5" w:name="page6"/>
    <w:bookmarkEnd w:id="5"/>
    <w:p>
      <w:pPr>
        <w:ind w:right="2059"/>
        <w:spacing w:after="0" w:line="244" w:lineRule="auto"/>
        <w:rPr>
          <w:sz w:val="20"/>
          <w:szCs w:val="20"/>
          <w:color w:val="auto"/>
        </w:rPr>
      </w:pPr>
      <w:r>
        <w:rPr>
          <w:rFonts w:ascii="Courier New" w:cs="Courier New" w:eastAsia="Courier New" w:hAnsi="Courier New"/>
          <w:sz w:val="17"/>
          <w:szCs w:val="17"/>
          <w:color w:val="auto"/>
        </w:rPr>
        <w:t>compensation expense, net of related tax effects, of $14.7 million, net income was $90.0 million, or $0.42 per diluted share, compared to net income, excluding $3.0 million of acquisition-related costs net of related tax effects, of $72.4 million, or $0.34 per diluted share, in the first quarter of fiscal 2005. The Company's net income was $75.3 million, or $0.36 per diluted share, compared to net income of $69.4 million, or $0.32 per diluted share, in the first quarter of fiscal 2005. Free cash flow, defined as cash flow from operations less net capital expenditures and principal payments on capital leases, was $69.3 million in the quarter.</w:t>
      </w:r>
    </w:p>
    <w:p>
      <w:pPr>
        <w:spacing w:after="0" w:line="200"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Dov Baharav, Chief Executive Officer of Amdocs Management Limited, said, "We continue to execute according to plan as shown by our very good financial performance and the new business we signed during the quarter. Many of this quarter's sales highlight the fact that service providers are looking for an integrated, best-of-suite offering that allows them to leverage their existing investments with Amdocs as they expand their system capabilities in order to cope with consolidation and industry convergence. Service providers are also looking for solutions to support rapid introduction of new, IP-based and bundled services, while reducing total cost of ownership. Our leading product offering combined with our track record of delivery in complex projects makes us the vendor of choice as we demonstrated with our nine significant new wins this quarter."</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"We expect that the continuation of the industry dynamics that contributed to our success in 2005 will also drive our performance in 2006. We are the leading provider to our market and our unique ability to address these needs combined with our top-tier customer base gives us confidence that 2006 will be an exceptional year for Amdocs," continued Baharav.</w:t>
      </w:r>
    </w:p>
    <w:p>
      <w:pPr>
        <w:spacing w:after="0" w:line="198"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The Amdocs wins in the first quarter span lines of business and geographies. They include an expansion of Amdocs activities at a major North American wireless carrier as this carrier consolidates systems across markets. In Europe, Amdocs will support an existing customer as this customer expands its MVNO-related activities. In the directory business, Amdocs is building on its long-term relationships with AT&amp;T and BellSouth to help YELLOWPAGES.COM efficiently manage customer data and digital content, as well as to automate all online advertising workflow activities. The Company is also in the initial stages of a large project to provide software and managed services to a wireless customer in Europe.</w:t>
      </w:r>
    </w:p>
    <w:p>
      <w:pPr>
        <w:sectPr>
          <w:pgSz w:w="11900" w:h="16838" w:orient="portrait"/>
          <w:cols w:equalWidth="0" w:num="1">
            <w:col w:w="10219"/>
          </w:cols>
          <w:pgMar w:left="240" w:top="704" w:right="1440" w:bottom="1440" w:gutter="0" w:footer="0" w:header="0"/>
        </w:sectPr>
      </w:pPr>
    </w:p>
    <w:bookmarkStart w:id="6" w:name="page7"/>
    <w:bookmarkEnd w:id="6"/>
    <w:p>
      <w:pPr>
        <w:ind w:right="2159"/>
        <w:spacing w:after="0" w:line="244" w:lineRule="auto"/>
        <w:rPr>
          <w:sz w:val="20"/>
          <w:szCs w:val="20"/>
          <w:color w:val="auto"/>
        </w:rPr>
      </w:pPr>
      <w:r>
        <w:rPr>
          <w:rFonts w:ascii="Courier New" w:cs="Courier New" w:eastAsia="Courier New" w:hAnsi="Courier New"/>
          <w:sz w:val="17"/>
          <w:szCs w:val="17"/>
          <w:color w:val="auto"/>
        </w:rPr>
        <w:t>On January 17, 2006, Sprint Nextel announced that it has reached a preliminary agreement with Amdocs to provide a single platform to support Sprint Nextel's more than 46 million wireless subscribers. Said Baharav, "We are delighted that Sprint Nextel has reconfirmed Amdocs as a strategic partner and we look forward to a long and mutually rewarding relationship with Sprint Nextel."</w:t>
      </w:r>
    </w:p>
    <w:p>
      <w:pPr>
        <w:spacing w:after="0" w:line="198"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In the first quarter of fiscal 2006 Amdocs adopted Statement of Financial Accounting Standard No. 123 (revised 2004), Share-based Payment, which requires the expensing of equity-based compensation. Equity-based compensation expense was $9.7 million, net of tax, or $0.04 per diluted share, in the first quarter.</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Outlook</w:t>
      </w:r>
    </w:p>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Amdocs expects that revenue for the second quarter of fiscal 2006 ending March 31, 2006, will be approximately $600 million. Diluted earnings per share for the quarter are expected to be $0.42, excluding acquisition-related costs, net of related tax effects, and the impact of approximately $0.04-$0.05 per share of equity-based compensation expense. Diluted GAAP EPS is expected to be approximately $0.35-$0.36.</w:t>
      </w:r>
    </w:p>
    <w:p>
      <w:pPr>
        <w:spacing w:after="0" w:line="199"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Updated fiscal 2006 guidance: Expected revenue of approximately $2.42-$2.47 billion and diluted EPS of $1.68-$1.72, excluding acquisition-related costs, net of related tax effects, and approximately $0.16-$0.19 per share of equity-based compensation expense. Diluted GAAP EPS is expected to be approximately $1.40-$1.47.</w:t>
      </w:r>
    </w:p>
    <w:p>
      <w:pPr>
        <w:spacing w:after="0" w:line="198" w:lineRule="exact"/>
        <w:rPr>
          <w:sz w:val="20"/>
          <w:szCs w:val="20"/>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Amdocs will host a conference call on January 18, 2006 at 5 p.m. Eastern Time to discuss the Company's first quarter results. The call will be carried live on the Internet via www.vcall.com and the Amdocs website, www.amdocs.com.</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About Amdocs</w:t>
      </w:r>
    </w:p>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Amdocs combines innovative software and services with deep business knowledge to accelerate implementation of integrated customer management by the world's leading service providers. By delivering a comprehensive portfolio of software and services that spans the customer lifecycle, Amdocs enables service companies to deliver an intentional customer experience(TM), which results in stronger, more profitable customer relationships. Service providers also benefit from a rapid return on investment, lower total cost of ownership and improved operational efficiencies. A global company with revenue of $2.039 billion in fiscal 2005, Amdocs employs about 12,000 IT professionals and serves customers in more than 50 countries around the world. For more information, visit Amdocs at www.amdocs.com.</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704"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Cautionary statements</w:t>
      </w:r>
    </w:p>
    <w:p>
      <w:pPr>
        <w:spacing w:after="0" w:line="5" w:lineRule="exact"/>
        <w:rPr>
          <w:sz w:val="20"/>
          <w:szCs w:val="20"/>
          <w:color w:val="auto"/>
        </w:rPr>
      </w:pPr>
    </w:p>
    <w:p>
      <w:pPr>
        <w:ind w:right="2059"/>
        <w:spacing w:after="0" w:line="261" w:lineRule="auto"/>
        <w:rPr>
          <w:sz w:val="20"/>
          <w:szCs w:val="20"/>
          <w:color w:val="auto"/>
        </w:rPr>
      </w:pPr>
      <w:r>
        <w:rPr>
          <w:rFonts w:ascii="Courier New" w:cs="Courier New" w:eastAsia="Courier New" w:hAnsi="Courier New"/>
          <w:sz w:val="16"/>
          <w:szCs w:val="16"/>
          <w:color w:val="auto"/>
        </w:rPr>
        <w:t>Investors are cautioned that this press release contains certain information that is not prepared in accordance with GAAP. Investors should not construe these financial measures as being superior to GAAP. The Company's management uses this financial information in its internal analysis in order to exclude the effect of acquisitions and other significant items that may have a disproportionate effect in a particular period. Accordingly, management believes that isolating the effects of such items enables management and investors to consistently analyze the critical components and results of operations of the Company's business and to have a meaningful comparison to prior periods.</w:t>
      </w:r>
    </w:p>
    <w:p>
      <w:pPr>
        <w:spacing w:after="0" w:line="188"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filed on December 28, 2005.</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Contact: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Thomas G. O'Brien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Treasurer and Vice President of Investor Relations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Amdocs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314-212-8328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E-mail: dox_info@amdocs.com</w:t>
      </w:r>
    </w:p>
    <w:p>
      <w:pPr>
        <w:sectPr>
          <w:pgSz w:w="11900" w:h="16838" w:orient="portrait"/>
          <w:cols w:equalWidth="0" w:num="1">
            <w:col w:w="10219"/>
          </w:cols>
          <w:pgMar w:left="240" w:top="703" w:right="1440" w:bottom="1440" w:gutter="0" w:footer="0" w:header="0"/>
        </w:sectPr>
      </w:pPr>
    </w:p>
    <w:bookmarkStart w:id="8" w:name="page9"/>
    <w:bookmarkEnd w:id="8"/>
    <w:p>
      <w:pPr>
        <w:jc w:val="center"/>
        <w:ind w:right="2059"/>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Consolidated Statements of Income (Unaudited)</w:t>
      </w:r>
    </w:p>
    <w:p>
      <w:pPr>
        <w:spacing w:after="0" w:line="200"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396"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3"/>
          </w:tcPr>
          <w:p>
            <w:pPr>
              <w:jc w:val="right"/>
              <w:ind w:right="535"/>
              <w:spacing w:after="0"/>
              <w:rPr>
                <w:sz w:val="20"/>
                <w:szCs w:val="20"/>
                <w:color w:val="auto"/>
              </w:rPr>
            </w:pPr>
            <w:r>
              <w:rPr>
                <w:rFonts w:ascii="Courier New" w:cs="Courier New" w:eastAsia="Courier New" w:hAnsi="Courier New"/>
                <w:sz w:val="17"/>
                <w:szCs w:val="17"/>
                <w:color w:val="auto"/>
              </w:rPr>
              <w:t>Three months ended</w:t>
            </w:r>
          </w:p>
        </w:tc>
      </w:tr>
      <w:tr>
        <w:trPr>
          <w:trHeight w:val="196"/>
        </w:trPr>
        <w:tc>
          <w:tcPr>
            <w:tcW w:w="4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December 31,</w:t>
            </w:r>
          </w:p>
        </w:tc>
        <w:tc>
          <w:tcPr>
            <w:tcW w:w="860" w:type="dxa"/>
            <w:vAlign w:val="bottom"/>
          </w:tcPr>
          <w:p>
            <w:pPr>
              <w:spacing w:after="0"/>
              <w:rPr>
                <w:sz w:val="17"/>
                <w:szCs w:val="17"/>
                <w:color w:val="auto"/>
              </w:rPr>
            </w:pPr>
          </w:p>
        </w:tc>
      </w:tr>
      <w:tr>
        <w:trPr>
          <w:trHeight w:val="196"/>
        </w:trPr>
        <w:tc>
          <w:tcPr>
            <w:tcW w:w="4300" w:type="dxa"/>
            <w:vAlign w:val="bottom"/>
          </w:tcPr>
          <w:p>
            <w:pPr>
              <w:spacing w:after="0"/>
              <w:rPr>
                <w:sz w:val="17"/>
                <w:szCs w:val="17"/>
                <w:color w:val="auto"/>
              </w:rPr>
            </w:pPr>
          </w:p>
        </w:tc>
        <w:tc>
          <w:tcPr>
            <w:tcW w:w="34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2005(1)</w:t>
            </w:r>
          </w:p>
        </w:tc>
        <w:tc>
          <w:tcPr>
            <w:tcW w:w="880" w:type="dxa"/>
            <w:vAlign w:val="bottom"/>
          </w:tcPr>
          <w:p>
            <w:pPr>
              <w:spacing w:after="0"/>
              <w:rPr>
                <w:sz w:val="17"/>
                <w:szCs w:val="17"/>
                <w:color w:val="auto"/>
              </w:rPr>
            </w:pPr>
          </w:p>
        </w:tc>
        <w:tc>
          <w:tcPr>
            <w:tcW w:w="8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2004</w:t>
            </w:r>
          </w:p>
        </w:tc>
      </w:tr>
      <w:tr>
        <w:trPr>
          <w:trHeight w:val="196"/>
        </w:trPr>
        <w:tc>
          <w:tcPr>
            <w:tcW w:w="4300" w:type="dxa"/>
            <w:vAlign w:val="bottom"/>
          </w:tcPr>
          <w:p>
            <w:pPr>
              <w:spacing w:after="0"/>
              <w:rPr>
                <w:sz w:val="17"/>
                <w:szCs w:val="17"/>
                <w:color w:val="auto"/>
              </w:rPr>
            </w:pPr>
          </w:p>
        </w:tc>
        <w:tc>
          <w:tcPr>
            <w:tcW w:w="17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30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4300" w:type="dxa"/>
            <w:vAlign w:val="bottom"/>
          </w:tcPr>
          <w:p>
            <w:pPr>
              <w:ind w:left="220"/>
              <w:spacing w:after="0"/>
              <w:rPr>
                <w:sz w:val="20"/>
                <w:szCs w:val="20"/>
                <w:color w:val="auto"/>
              </w:rPr>
            </w:pPr>
            <w:r>
              <w:rPr>
                <w:rFonts w:ascii="Courier New" w:cs="Courier New" w:eastAsia="Courier New" w:hAnsi="Courier New"/>
                <w:sz w:val="17"/>
                <w:szCs w:val="17"/>
                <w:color w:val="auto"/>
              </w:rPr>
              <w:t>License</w:t>
            </w:r>
          </w:p>
        </w:tc>
        <w:tc>
          <w:tcPr>
            <w:tcW w:w="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31,661</w:t>
            </w:r>
          </w:p>
        </w:tc>
        <w:tc>
          <w:tcPr>
            <w:tcW w:w="8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20,366</w:t>
            </w:r>
          </w:p>
        </w:tc>
      </w:tr>
      <w:tr>
        <w:trPr>
          <w:trHeight w:val="196"/>
        </w:trPr>
        <w:tc>
          <w:tcPr>
            <w:tcW w:w="4300" w:type="dxa"/>
            <w:vAlign w:val="bottom"/>
          </w:tcPr>
          <w:p>
            <w:pPr>
              <w:ind w:left="220"/>
              <w:spacing w:after="0"/>
              <w:rPr>
                <w:sz w:val="20"/>
                <w:szCs w:val="20"/>
                <w:color w:val="auto"/>
              </w:rPr>
            </w:pPr>
            <w:r>
              <w:rPr>
                <w:rFonts w:ascii="Courier New" w:cs="Courier New" w:eastAsia="Courier New" w:hAnsi="Courier New"/>
                <w:sz w:val="17"/>
                <w:szCs w:val="17"/>
                <w:color w:val="auto"/>
              </w:rPr>
              <w:t>Service</w:t>
            </w:r>
          </w:p>
        </w:tc>
        <w:tc>
          <w:tcPr>
            <w:tcW w:w="340" w:type="dxa"/>
            <w:vAlign w:val="bottom"/>
          </w:tcPr>
          <w:p>
            <w:pPr>
              <w:spacing w:after="0"/>
              <w:rPr>
                <w:sz w:val="17"/>
                <w:szCs w:val="17"/>
                <w:color w:val="auto"/>
              </w:rPr>
            </w:pP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555,367</w:t>
            </w:r>
          </w:p>
        </w:tc>
        <w:tc>
          <w:tcPr>
            <w:tcW w:w="8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449,166</w:t>
            </w:r>
          </w:p>
        </w:tc>
      </w:tr>
      <w:tr>
        <w:trPr>
          <w:trHeight w:val="196"/>
        </w:trPr>
        <w:tc>
          <w:tcPr>
            <w:tcW w:w="4300" w:type="dxa"/>
            <w:vAlign w:val="bottom"/>
          </w:tcPr>
          <w:p>
            <w:pPr>
              <w:spacing w:after="0"/>
              <w:rPr>
                <w:sz w:val="17"/>
                <w:szCs w:val="17"/>
                <w:color w:val="auto"/>
              </w:rPr>
            </w:pPr>
          </w:p>
        </w:tc>
        <w:tc>
          <w:tcPr>
            <w:tcW w:w="17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587,028</w:t>
            </w:r>
          </w:p>
        </w:tc>
        <w:tc>
          <w:tcPr>
            <w:tcW w:w="8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469,532</w:t>
            </w:r>
          </w:p>
        </w:tc>
      </w:tr>
      <w:tr>
        <w:trPr>
          <w:trHeight w:val="196"/>
        </w:trPr>
        <w:tc>
          <w:tcPr>
            <w:tcW w:w="430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4300" w:type="dxa"/>
            <w:vAlign w:val="bottom"/>
          </w:tcPr>
          <w:p>
            <w:pPr>
              <w:ind w:left="220"/>
              <w:spacing w:after="0"/>
              <w:rPr>
                <w:sz w:val="20"/>
                <w:szCs w:val="20"/>
                <w:color w:val="auto"/>
              </w:rPr>
            </w:pPr>
            <w:r>
              <w:rPr>
                <w:rFonts w:ascii="Courier New" w:cs="Courier New" w:eastAsia="Courier New" w:hAnsi="Courier New"/>
                <w:sz w:val="17"/>
                <w:szCs w:val="17"/>
                <w:color w:val="auto"/>
              </w:rPr>
              <w:t>Cost of license</w:t>
            </w:r>
          </w:p>
        </w:tc>
        <w:tc>
          <w:tcPr>
            <w:tcW w:w="340" w:type="dxa"/>
            <w:vAlign w:val="bottom"/>
          </w:tcPr>
          <w:p>
            <w:pPr>
              <w:spacing w:after="0"/>
              <w:rPr>
                <w:sz w:val="17"/>
                <w:szCs w:val="17"/>
                <w:color w:val="auto"/>
              </w:rPr>
            </w:pP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1,062</w:t>
            </w:r>
          </w:p>
        </w:tc>
        <w:tc>
          <w:tcPr>
            <w:tcW w:w="8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1,155</w:t>
            </w:r>
          </w:p>
        </w:tc>
      </w:tr>
      <w:tr>
        <w:trPr>
          <w:trHeight w:val="196"/>
        </w:trPr>
        <w:tc>
          <w:tcPr>
            <w:tcW w:w="4300" w:type="dxa"/>
            <w:vAlign w:val="bottom"/>
          </w:tcPr>
          <w:p>
            <w:pPr>
              <w:ind w:left="220"/>
              <w:spacing w:after="0"/>
              <w:rPr>
                <w:sz w:val="20"/>
                <w:szCs w:val="20"/>
                <w:color w:val="auto"/>
              </w:rPr>
            </w:pPr>
            <w:r>
              <w:rPr>
                <w:rFonts w:ascii="Courier New" w:cs="Courier New" w:eastAsia="Courier New" w:hAnsi="Courier New"/>
                <w:sz w:val="17"/>
                <w:szCs w:val="17"/>
                <w:color w:val="auto"/>
              </w:rPr>
              <w:t>Cost of service</w:t>
            </w:r>
          </w:p>
        </w:tc>
        <w:tc>
          <w:tcPr>
            <w:tcW w:w="340" w:type="dxa"/>
            <w:vAlign w:val="bottom"/>
          </w:tcPr>
          <w:p>
            <w:pPr>
              <w:spacing w:after="0"/>
              <w:rPr>
                <w:sz w:val="17"/>
                <w:szCs w:val="17"/>
                <w:color w:val="auto"/>
              </w:rPr>
            </w:pP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374,051</w:t>
            </w:r>
          </w:p>
        </w:tc>
        <w:tc>
          <w:tcPr>
            <w:tcW w:w="8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294,947</w:t>
            </w:r>
          </w:p>
        </w:tc>
      </w:tr>
      <w:tr>
        <w:trPr>
          <w:trHeight w:val="196"/>
        </w:trPr>
        <w:tc>
          <w:tcPr>
            <w:tcW w:w="4300" w:type="dxa"/>
            <w:vAlign w:val="bottom"/>
          </w:tcPr>
          <w:p>
            <w:pPr>
              <w:ind w:left="220"/>
              <w:spacing w:after="0"/>
              <w:rPr>
                <w:sz w:val="20"/>
                <w:szCs w:val="20"/>
                <w:color w:val="auto"/>
              </w:rPr>
            </w:pPr>
            <w:r>
              <w:rPr>
                <w:rFonts w:ascii="Courier New" w:cs="Courier New" w:eastAsia="Courier New" w:hAnsi="Courier New"/>
                <w:sz w:val="17"/>
                <w:szCs w:val="17"/>
                <w:color w:val="auto"/>
              </w:rPr>
              <w:t>Research and development</w:t>
            </w:r>
          </w:p>
        </w:tc>
        <w:tc>
          <w:tcPr>
            <w:tcW w:w="340" w:type="dxa"/>
            <w:vAlign w:val="bottom"/>
          </w:tcPr>
          <w:p>
            <w:pPr>
              <w:spacing w:after="0"/>
              <w:rPr>
                <w:sz w:val="17"/>
                <w:szCs w:val="17"/>
                <w:color w:val="auto"/>
              </w:rPr>
            </w:pP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43,114</w:t>
            </w:r>
          </w:p>
        </w:tc>
        <w:tc>
          <w:tcPr>
            <w:tcW w:w="8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32,911</w:t>
            </w:r>
          </w:p>
        </w:tc>
      </w:tr>
      <w:tr>
        <w:trPr>
          <w:trHeight w:val="196"/>
        </w:trPr>
        <w:tc>
          <w:tcPr>
            <w:tcW w:w="4300" w:type="dxa"/>
            <w:vAlign w:val="bottom"/>
          </w:tcPr>
          <w:p>
            <w:pPr>
              <w:ind w:left="220"/>
              <w:spacing w:after="0"/>
              <w:rPr>
                <w:sz w:val="20"/>
                <w:szCs w:val="20"/>
                <w:color w:val="auto"/>
              </w:rPr>
            </w:pPr>
            <w:r>
              <w:rPr>
                <w:rFonts w:ascii="Courier New" w:cs="Courier New" w:eastAsia="Courier New" w:hAnsi="Courier New"/>
                <w:sz w:val="17"/>
                <w:szCs w:val="17"/>
                <w:color w:val="auto"/>
              </w:rPr>
              <w:t>Selling, general and administrative</w:t>
            </w:r>
          </w:p>
        </w:tc>
        <w:tc>
          <w:tcPr>
            <w:tcW w:w="340" w:type="dxa"/>
            <w:vAlign w:val="bottom"/>
          </w:tcPr>
          <w:p>
            <w:pPr>
              <w:spacing w:after="0"/>
              <w:rPr>
                <w:sz w:val="17"/>
                <w:szCs w:val="17"/>
                <w:color w:val="auto"/>
              </w:rPr>
            </w:pP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78,550</w:t>
            </w:r>
          </w:p>
        </w:tc>
        <w:tc>
          <w:tcPr>
            <w:tcW w:w="8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54,960</w:t>
            </w:r>
          </w:p>
        </w:tc>
      </w:tr>
      <w:tr>
        <w:trPr>
          <w:trHeight w:val="196"/>
        </w:trPr>
        <w:tc>
          <w:tcPr>
            <w:tcW w:w="4300" w:type="dxa"/>
            <w:vAlign w:val="bottom"/>
          </w:tcPr>
          <w:p>
            <w:pPr>
              <w:ind w:left="220"/>
              <w:spacing w:after="0"/>
              <w:rPr>
                <w:sz w:val="20"/>
                <w:szCs w:val="20"/>
                <w:color w:val="auto"/>
              </w:rPr>
            </w:pPr>
            <w:r>
              <w:rPr>
                <w:rFonts w:ascii="Courier New" w:cs="Courier New" w:eastAsia="Courier New" w:hAnsi="Courier New"/>
                <w:sz w:val="17"/>
                <w:szCs w:val="17"/>
                <w:color w:val="auto"/>
              </w:rPr>
              <w:t>Amortization of purchased intangible</w:t>
            </w: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4300" w:type="dxa"/>
            <w:vAlign w:val="bottom"/>
          </w:tcPr>
          <w:p>
            <w:pPr>
              <w:ind w:left="520"/>
              <w:spacing w:after="0"/>
              <w:rPr>
                <w:sz w:val="20"/>
                <w:szCs w:val="20"/>
                <w:color w:val="auto"/>
              </w:rPr>
            </w:pPr>
            <w:r>
              <w:rPr>
                <w:rFonts w:ascii="Courier New" w:cs="Courier New" w:eastAsia="Courier New" w:hAnsi="Courier New"/>
                <w:sz w:val="17"/>
                <w:szCs w:val="17"/>
                <w:color w:val="auto"/>
              </w:rPr>
              <w:t>assets</w:t>
            </w:r>
          </w:p>
        </w:tc>
        <w:tc>
          <w:tcPr>
            <w:tcW w:w="340" w:type="dxa"/>
            <w:vAlign w:val="bottom"/>
          </w:tcPr>
          <w:p>
            <w:pPr>
              <w:spacing w:after="0"/>
              <w:rPr>
                <w:sz w:val="17"/>
                <w:szCs w:val="17"/>
                <w:color w:val="auto"/>
              </w:rPr>
            </w:pP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7,572</w:t>
            </w:r>
          </w:p>
        </w:tc>
        <w:tc>
          <w:tcPr>
            <w:tcW w:w="8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3,718</w:t>
            </w:r>
          </w:p>
        </w:tc>
      </w:tr>
      <w:tr>
        <w:trPr>
          <w:trHeight w:val="196"/>
        </w:trPr>
        <w:tc>
          <w:tcPr>
            <w:tcW w:w="4300" w:type="dxa"/>
            <w:vAlign w:val="bottom"/>
          </w:tcPr>
          <w:p>
            <w:pPr>
              <w:spacing w:after="0"/>
              <w:rPr>
                <w:sz w:val="17"/>
                <w:szCs w:val="17"/>
                <w:color w:val="auto"/>
              </w:rPr>
            </w:pPr>
          </w:p>
        </w:tc>
        <w:tc>
          <w:tcPr>
            <w:tcW w:w="17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504,349</w:t>
            </w:r>
          </w:p>
        </w:tc>
        <w:tc>
          <w:tcPr>
            <w:tcW w:w="8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387,691</w:t>
            </w:r>
          </w:p>
        </w:tc>
      </w:tr>
      <w:tr>
        <w:trPr>
          <w:trHeight w:val="196"/>
        </w:trPr>
        <w:tc>
          <w:tcPr>
            <w:tcW w:w="4300" w:type="dxa"/>
            <w:vAlign w:val="bottom"/>
          </w:tcPr>
          <w:p>
            <w:pPr>
              <w:spacing w:after="0"/>
              <w:rPr>
                <w:sz w:val="17"/>
                <w:szCs w:val="17"/>
                <w:color w:val="auto"/>
              </w:rPr>
            </w:pPr>
          </w:p>
        </w:tc>
        <w:tc>
          <w:tcPr>
            <w:tcW w:w="17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30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340" w:type="dxa"/>
            <w:vAlign w:val="bottom"/>
          </w:tcPr>
          <w:p>
            <w:pPr>
              <w:spacing w:after="0"/>
              <w:rPr>
                <w:sz w:val="17"/>
                <w:szCs w:val="17"/>
                <w:color w:val="auto"/>
              </w:rPr>
            </w:pP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82,679</w:t>
            </w:r>
          </w:p>
        </w:tc>
        <w:tc>
          <w:tcPr>
            <w:tcW w:w="8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81,841</w:t>
            </w:r>
          </w:p>
        </w:tc>
      </w:tr>
      <w:tr>
        <w:trPr>
          <w:trHeight w:val="392"/>
        </w:trPr>
        <w:tc>
          <w:tcPr>
            <w:tcW w:w="4300" w:type="dxa"/>
            <w:vAlign w:val="bottom"/>
          </w:tcPr>
          <w:p>
            <w:pPr>
              <w:spacing w:after="0"/>
              <w:rPr>
                <w:sz w:val="20"/>
                <w:szCs w:val="20"/>
                <w:color w:val="auto"/>
              </w:rPr>
            </w:pPr>
            <w:r>
              <w:rPr>
                <w:rFonts w:ascii="Courier New" w:cs="Courier New" w:eastAsia="Courier New" w:hAnsi="Courier New"/>
                <w:sz w:val="17"/>
                <w:szCs w:val="17"/>
                <w:color w:val="auto"/>
              </w:rPr>
              <w:t>Interest income and other, net</w:t>
            </w:r>
          </w:p>
        </w:tc>
        <w:tc>
          <w:tcPr>
            <w:tcW w:w="340" w:type="dxa"/>
            <w:vAlign w:val="bottom"/>
          </w:tcPr>
          <w:p>
            <w:pPr>
              <w:spacing w:after="0"/>
              <w:rPr>
                <w:sz w:val="24"/>
                <w:szCs w:val="24"/>
                <w:color w:val="auto"/>
              </w:rPr>
            </w:pP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8,414</w:t>
            </w:r>
          </w:p>
        </w:tc>
        <w:tc>
          <w:tcPr>
            <w:tcW w:w="8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4,959</w:t>
            </w:r>
          </w:p>
        </w:tc>
      </w:tr>
      <w:tr>
        <w:trPr>
          <w:trHeight w:val="196"/>
        </w:trPr>
        <w:tc>
          <w:tcPr>
            <w:tcW w:w="4300" w:type="dxa"/>
            <w:vAlign w:val="bottom"/>
          </w:tcPr>
          <w:p>
            <w:pPr>
              <w:spacing w:after="0"/>
              <w:rPr>
                <w:sz w:val="17"/>
                <w:szCs w:val="17"/>
                <w:color w:val="auto"/>
              </w:rPr>
            </w:pPr>
          </w:p>
        </w:tc>
        <w:tc>
          <w:tcPr>
            <w:tcW w:w="17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30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340" w:type="dxa"/>
            <w:vAlign w:val="bottom"/>
          </w:tcPr>
          <w:p>
            <w:pPr>
              <w:spacing w:after="0"/>
              <w:rPr>
                <w:sz w:val="17"/>
                <w:szCs w:val="17"/>
                <w:color w:val="auto"/>
              </w:rPr>
            </w:pP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91,093</w:t>
            </w:r>
          </w:p>
        </w:tc>
        <w:tc>
          <w:tcPr>
            <w:tcW w:w="8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86,800</w:t>
            </w:r>
          </w:p>
        </w:tc>
      </w:tr>
      <w:tr>
        <w:trPr>
          <w:trHeight w:val="392"/>
        </w:trPr>
        <w:tc>
          <w:tcPr>
            <w:tcW w:w="430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340" w:type="dxa"/>
            <w:vAlign w:val="bottom"/>
          </w:tcPr>
          <w:p>
            <w:pPr>
              <w:spacing w:after="0"/>
              <w:rPr>
                <w:sz w:val="24"/>
                <w:szCs w:val="24"/>
                <w:color w:val="auto"/>
              </w:rPr>
            </w:pP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15,759</w:t>
            </w:r>
          </w:p>
        </w:tc>
        <w:tc>
          <w:tcPr>
            <w:tcW w:w="8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17,357</w:t>
            </w:r>
          </w:p>
        </w:tc>
      </w:tr>
      <w:tr>
        <w:trPr>
          <w:trHeight w:val="196"/>
        </w:trPr>
        <w:tc>
          <w:tcPr>
            <w:tcW w:w="4300" w:type="dxa"/>
            <w:vAlign w:val="bottom"/>
          </w:tcPr>
          <w:p>
            <w:pPr>
              <w:spacing w:after="0"/>
              <w:rPr>
                <w:sz w:val="17"/>
                <w:szCs w:val="17"/>
                <w:color w:val="auto"/>
              </w:rPr>
            </w:pPr>
          </w:p>
        </w:tc>
        <w:tc>
          <w:tcPr>
            <w:tcW w:w="17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3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75,334</w:t>
            </w:r>
          </w:p>
        </w:tc>
        <w:tc>
          <w:tcPr>
            <w:tcW w:w="8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69,443</w:t>
            </w:r>
          </w:p>
        </w:tc>
      </w:tr>
      <w:tr>
        <w:trPr>
          <w:trHeight w:val="196"/>
        </w:trPr>
        <w:tc>
          <w:tcPr>
            <w:tcW w:w="4300" w:type="dxa"/>
            <w:vAlign w:val="bottom"/>
          </w:tcPr>
          <w:p>
            <w:pPr>
              <w:spacing w:after="0"/>
              <w:rPr>
                <w:sz w:val="17"/>
                <w:szCs w:val="17"/>
                <w:color w:val="auto"/>
              </w:rPr>
            </w:pPr>
          </w:p>
        </w:tc>
        <w:tc>
          <w:tcPr>
            <w:tcW w:w="17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300" w:type="dxa"/>
            <w:vAlign w:val="bottom"/>
          </w:tcPr>
          <w:p>
            <w:pPr>
              <w:spacing w:after="0"/>
              <w:rPr>
                <w:sz w:val="20"/>
                <w:szCs w:val="20"/>
                <w:color w:val="auto"/>
              </w:rPr>
            </w:pPr>
            <w:r>
              <w:rPr>
                <w:rFonts w:ascii="Courier New" w:cs="Courier New" w:eastAsia="Courier New" w:hAnsi="Courier New"/>
                <w:sz w:val="17"/>
                <w:szCs w:val="17"/>
                <w:color w:val="auto"/>
              </w:rPr>
              <w:t>Basic earnings per share</w:t>
            </w:r>
          </w:p>
        </w:tc>
        <w:tc>
          <w:tcPr>
            <w:tcW w:w="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0.38</w:t>
            </w:r>
          </w:p>
        </w:tc>
        <w:tc>
          <w:tcPr>
            <w:tcW w:w="8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0.34</w:t>
            </w:r>
          </w:p>
        </w:tc>
      </w:tr>
      <w:tr>
        <w:trPr>
          <w:trHeight w:val="196"/>
        </w:trPr>
        <w:tc>
          <w:tcPr>
            <w:tcW w:w="4300" w:type="dxa"/>
            <w:vAlign w:val="bottom"/>
          </w:tcPr>
          <w:p>
            <w:pPr>
              <w:spacing w:after="0"/>
              <w:rPr>
                <w:sz w:val="17"/>
                <w:szCs w:val="17"/>
                <w:color w:val="auto"/>
              </w:rPr>
            </w:pPr>
          </w:p>
        </w:tc>
        <w:tc>
          <w:tcPr>
            <w:tcW w:w="17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300" w:type="dxa"/>
            <w:vAlign w:val="bottom"/>
          </w:tcPr>
          <w:p>
            <w:pPr>
              <w:spacing w:after="0"/>
              <w:rPr>
                <w:sz w:val="20"/>
                <w:szCs w:val="20"/>
                <w:color w:val="auto"/>
              </w:rPr>
            </w:pPr>
            <w:r>
              <w:rPr>
                <w:rFonts w:ascii="Courier New" w:cs="Courier New" w:eastAsia="Courier New" w:hAnsi="Courier New"/>
                <w:sz w:val="17"/>
                <w:szCs w:val="17"/>
                <w:color w:val="auto"/>
              </w:rPr>
              <w:t>Diluted earnings per share (2)</w:t>
            </w:r>
          </w:p>
        </w:tc>
        <w:tc>
          <w:tcPr>
            <w:tcW w:w="3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0.36</w:t>
            </w:r>
          </w:p>
        </w:tc>
        <w:tc>
          <w:tcPr>
            <w:tcW w:w="8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0.32</w:t>
            </w:r>
          </w:p>
        </w:tc>
      </w:tr>
      <w:tr>
        <w:trPr>
          <w:trHeight w:val="196"/>
        </w:trPr>
        <w:tc>
          <w:tcPr>
            <w:tcW w:w="4300" w:type="dxa"/>
            <w:vAlign w:val="bottom"/>
          </w:tcPr>
          <w:p>
            <w:pPr>
              <w:spacing w:after="0"/>
              <w:rPr>
                <w:sz w:val="17"/>
                <w:szCs w:val="17"/>
                <w:color w:val="auto"/>
              </w:rPr>
            </w:pPr>
          </w:p>
        </w:tc>
        <w:tc>
          <w:tcPr>
            <w:tcW w:w="17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300" w:type="dxa"/>
            <w:vAlign w:val="bottom"/>
          </w:tcPr>
          <w:p>
            <w:pPr>
              <w:spacing w:after="0"/>
              <w:rPr>
                <w:sz w:val="20"/>
                <w:szCs w:val="20"/>
                <w:color w:val="auto"/>
              </w:rPr>
            </w:pPr>
            <w:r>
              <w:rPr>
                <w:rFonts w:ascii="Courier New" w:cs="Courier New" w:eastAsia="Courier New" w:hAnsi="Courier New"/>
                <w:sz w:val="17"/>
                <w:szCs w:val="17"/>
                <w:color w:val="auto"/>
              </w:rPr>
              <w:t>Basic weighted average number of shares</w:t>
            </w: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4300" w:type="dxa"/>
            <w:vAlign w:val="bottom"/>
          </w:tcPr>
          <w:p>
            <w:pPr>
              <w:ind w:left="320"/>
              <w:spacing w:after="0"/>
              <w:rPr>
                <w:sz w:val="20"/>
                <w:szCs w:val="20"/>
                <w:color w:val="auto"/>
              </w:rPr>
            </w:pPr>
            <w:r>
              <w:rPr>
                <w:rFonts w:ascii="Courier New" w:cs="Courier New" w:eastAsia="Courier New" w:hAnsi="Courier New"/>
                <w:sz w:val="17"/>
                <w:szCs w:val="17"/>
                <w:color w:val="auto"/>
              </w:rPr>
              <w:t>outstanding</w:t>
            </w:r>
          </w:p>
        </w:tc>
        <w:tc>
          <w:tcPr>
            <w:tcW w:w="340" w:type="dxa"/>
            <w:vAlign w:val="bottom"/>
          </w:tcPr>
          <w:p>
            <w:pPr>
              <w:spacing w:after="0"/>
              <w:rPr>
                <w:sz w:val="17"/>
                <w:szCs w:val="17"/>
                <w:color w:val="auto"/>
              </w:rPr>
            </w:pP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200,525</w:t>
            </w:r>
          </w:p>
        </w:tc>
        <w:tc>
          <w:tcPr>
            <w:tcW w:w="8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201,703</w:t>
            </w:r>
          </w:p>
        </w:tc>
      </w:tr>
      <w:tr>
        <w:trPr>
          <w:trHeight w:val="196"/>
        </w:trPr>
        <w:tc>
          <w:tcPr>
            <w:tcW w:w="4300" w:type="dxa"/>
            <w:vAlign w:val="bottom"/>
          </w:tcPr>
          <w:p>
            <w:pPr>
              <w:spacing w:after="0"/>
              <w:rPr>
                <w:sz w:val="17"/>
                <w:szCs w:val="17"/>
                <w:color w:val="auto"/>
              </w:rPr>
            </w:pPr>
          </w:p>
        </w:tc>
        <w:tc>
          <w:tcPr>
            <w:tcW w:w="17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300" w:type="dxa"/>
            <w:vAlign w:val="bottom"/>
          </w:tcPr>
          <w:p>
            <w:pPr>
              <w:spacing w:after="0"/>
              <w:rPr>
                <w:sz w:val="20"/>
                <w:szCs w:val="20"/>
                <w:color w:val="auto"/>
              </w:rPr>
            </w:pPr>
            <w:r>
              <w:rPr>
                <w:rFonts w:ascii="Courier New" w:cs="Courier New" w:eastAsia="Courier New" w:hAnsi="Courier New"/>
                <w:sz w:val="17"/>
                <w:szCs w:val="17"/>
                <w:color w:val="auto"/>
              </w:rPr>
              <w:t>Diluted weighted average number of shares</w:t>
            </w: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4300" w:type="dxa"/>
            <w:vAlign w:val="bottom"/>
          </w:tcPr>
          <w:p>
            <w:pPr>
              <w:ind w:left="320"/>
              <w:spacing w:after="0"/>
              <w:rPr>
                <w:sz w:val="20"/>
                <w:szCs w:val="20"/>
                <w:color w:val="auto"/>
              </w:rPr>
            </w:pPr>
            <w:r>
              <w:rPr>
                <w:rFonts w:ascii="Courier New" w:cs="Courier New" w:eastAsia="Courier New" w:hAnsi="Courier New"/>
                <w:sz w:val="17"/>
                <w:szCs w:val="17"/>
                <w:color w:val="auto"/>
              </w:rPr>
              <w:t>outstanding</w:t>
            </w:r>
          </w:p>
        </w:tc>
        <w:tc>
          <w:tcPr>
            <w:tcW w:w="340" w:type="dxa"/>
            <w:vAlign w:val="bottom"/>
          </w:tcPr>
          <w:p>
            <w:pPr>
              <w:spacing w:after="0"/>
              <w:rPr>
                <w:sz w:val="17"/>
                <w:szCs w:val="17"/>
                <w:color w:val="auto"/>
              </w:rPr>
            </w:pP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214,871</w:t>
            </w:r>
          </w:p>
        </w:tc>
        <w:tc>
          <w:tcPr>
            <w:tcW w:w="8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217,448</w:t>
            </w:r>
          </w:p>
        </w:tc>
      </w:tr>
      <w:tr>
        <w:trPr>
          <w:trHeight w:val="196"/>
        </w:trPr>
        <w:tc>
          <w:tcPr>
            <w:tcW w:w="4300" w:type="dxa"/>
            <w:vAlign w:val="bottom"/>
          </w:tcPr>
          <w:p>
            <w:pPr>
              <w:spacing w:after="0"/>
              <w:rPr>
                <w:sz w:val="17"/>
                <w:szCs w:val="17"/>
                <w:color w:val="auto"/>
              </w:rPr>
            </w:pPr>
          </w:p>
        </w:tc>
        <w:tc>
          <w:tcPr>
            <w:tcW w:w="17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left="420" w:right="2159" w:hanging="415"/>
        <w:spacing w:after="0" w:line="244" w:lineRule="auto"/>
        <w:tabs>
          <w:tab w:leader="none" w:pos="4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first quarter of fiscal 2006 includes equity-based compensation expense of $11,060, which was classified as follows: $4,355 to Cost of service, $1,089 to Research and development and $5,616 to Selling, general and administrative.</w:t>
      </w:r>
    </w:p>
    <w:p>
      <w:pPr>
        <w:spacing w:after="0" w:line="197" w:lineRule="exact"/>
        <w:rPr>
          <w:rFonts w:ascii="Courier New" w:cs="Courier New" w:eastAsia="Courier New" w:hAnsi="Courier New"/>
          <w:sz w:val="17"/>
          <w:szCs w:val="17"/>
          <w:color w:val="auto"/>
        </w:rPr>
      </w:pPr>
    </w:p>
    <w:p>
      <w:pPr>
        <w:ind w:left="420" w:right="2059" w:hanging="415"/>
        <w:spacing w:after="0" w:line="244" w:lineRule="auto"/>
        <w:tabs>
          <w:tab w:leader="none" w:pos="4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the impact of assumed conversion of the convertible notes, $1,000 and $984 representing interest expense and amortization of issuance costs, were added back to net income for the three months ended December 31, 2005 and 2004, respectively, for the purpose of computing diluted earnings per share.</w:t>
      </w:r>
    </w:p>
    <w:p>
      <w:pPr>
        <w:sectPr>
          <w:pgSz w:w="11900" w:h="16838" w:orient="portrait"/>
          <w:cols w:equalWidth="0" w:num="1">
            <w:col w:w="10219"/>
          </w:cols>
          <w:pgMar w:left="240" w:top="899" w:right="1440" w:bottom="1440" w:gutter="0" w:footer="0" w:header="0"/>
        </w:sectPr>
      </w:pPr>
    </w:p>
    <w:bookmarkStart w:id="9" w:name="page10"/>
    <w:bookmarkEnd w:id="9"/>
    <w:p>
      <w:pPr>
        <w:jc w:val="center"/>
        <w:ind w:right="2059"/>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Reconciliation of Net Income to Adjusted Income</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and Adjusted Earnings Per Share.</w:t>
      </w:r>
    </w:p>
    <w:p>
      <w:pPr>
        <w:spacing w:after="0" w:line="200"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2059"/>
        <w:spacing w:after="0" w:line="243" w:lineRule="auto"/>
        <w:rPr>
          <w:sz w:val="20"/>
          <w:szCs w:val="20"/>
          <w:color w:val="auto"/>
        </w:rPr>
      </w:pPr>
      <w:r>
        <w:rPr>
          <w:rFonts w:ascii="Courier New" w:cs="Courier New" w:eastAsia="Courier New" w:hAnsi="Courier New"/>
          <w:sz w:val="17"/>
          <w:szCs w:val="17"/>
          <w:color w:val="auto"/>
        </w:rPr>
        <w:t>The table below reflects net income and diluted earnings per share for the first quarter of fiscal 2006 compared with first quarter of fiscal 2005 including the pro forma equity based compensation expense: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Three months ended</w:t>
            </w:r>
          </w:p>
        </w:tc>
        <w:tc>
          <w:tcPr>
            <w:tcW w:w="1020" w:type="dxa"/>
            <w:vAlign w:val="bottom"/>
          </w:tcPr>
          <w:p>
            <w:pPr>
              <w:spacing w:after="0"/>
              <w:rPr>
                <w:sz w:val="16"/>
                <w:szCs w:val="16"/>
                <w:color w:val="auto"/>
              </w:rPr>
            </w:pPr>
          </w:p>
        </w:tc>
      </w:tr>
      <w:tr>
        <w:trPr>
          <w:trHeight w:val="196"/>
        </w:trPr>
        <w:tc>
          <w:tcPr>
            <w:tcW w:w="4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ind w:left="520"/>
              <w:spacing w:after="0"/>
              <w:rPr>
                <w:sz w:val="20"/>
                <w:szCs w:val="20"/>
                <w:color w:val="auto"/>
              </w:rPr>
            </w:pPr>
            <w:r>
              <w:rPr>
                <w:rFonts w:ascii="Courier New" w:cs="Courier New" w:eastAsia="Courier New" w:hAnsi="Courier New"/>
                <w:sz w:val="17"/>
                <w:szCs w:val="17"/>
                <w:color w:val="auto"/>
              </w:rPr>
              <w:t>December</w:t>
            </w:r>
          </w:p>
        </w:tc>
        <w:tc>
          <w:tcPr>
            <w:tcW w:w="660" w:type="dxa"/>
            <w:vAlign w:val="bottom"/>
          </w:tcPr>
          <w:p>
            <w:pPr>
              <w:ind w:left="60"/>
              <w:spacing w:after="0"/>
              <w:rPr>
                <w:sz w:val="20"/>
                <w:szCs w:val="20"/>
                <w:color w:val="auto"/>
              </w:rPr>
            </w:pPr>
            <w:r>
              <w:rPr>
                <w:rFonts w:ascii="Courier New" w:cs="Courier New" w:eastAsia="Courier New" w:hAnsi="Courier New"/>
                <w:sz w:val="17"/>
                <w:szCs w:val="17"/>
                <w:color w:val="auto"/>
              </w:rPr>
              <w:t>31,</w:t>
            </w:r>
          </w:p>
        </w:tc>
        <w:tc>
          <w:tcPr>
            <w:tcW w:w="1020" w:type="dxa"/>
            <w:vAlign w:val="bottom"/>
          </w:tcPr>
          <w:p>
            <w:pPr>
              <w:spacing w:after="0"/>
              <w:rPr>
                <w:sz w:val="17"/>
                <w:szCs w:val="17"/>
                <w:color w:val="auto"/>
              </w:rPr>
            </w:pPr>
          </w:p>
        </w:tc>
      </w:tr>
      <w:tr>
        <w:trPr>
          <w:trHeight w:val="196"/>
        </w:trPr>
        <w:tc>
          <w:tcPr>
            <w:tcW w:w="4240" w:type="dxa"/>
            <w:vAlign w:val="bottom"/>
          </w:tcPr>
          <w:p>
            <w:pPr>
              <w:spacing w:after="0"/>
              <w:rPr>
                <w:sz w:val="17"/>
                <w:szCs w:val="17"/>
                <w:color w:val="auto"/>
              </w:rPr>
            </w:pPr>
          </w:p>
        </w:tc>
        <w:tc>
          <w:tcPr>
            <w:tcW w:w="3920" w:type="dxa"/>
            <w:vAlign w:val="bottom"/>
            <w:gridSpan w:val="4"/>
          </w:tcPr>
          <w:p>
            <w:pPr>
              <w:ind w:left="260"/>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4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Courier New" w:cs="Courier New" w:eastAsia="Courier New" w:hAnsi="Courier New"/>
                <w:sz w:val="17"/>
                <w:szCs w:val="17"/>
                <w:color w:val="auto"/>
              </w:rPr>
              <w:t>2005</w:t>
            </w:r>
          </w:p>
        </w:tc>
        <w:tc>
          <w:tcPr>
            <w:tcW w:w="660" w:type="dxa"/>
            <w:vAlign w:val="bottom"/>
          </w:tcPr>
          <w:p>
            <w:pPr>
              <w:spacing w:after="0"/>
              <w:rPr>
                <w:sz w:val="17"/>
                <w:szCs w:val="17"/>
                <w:color w:val="auto"/>
              </w:rPr>
            </w:pPr>
          </w:p>
        </w:tc>
        <w:tc>
          <w:tcPr>
            <w:tcW w:w="1020" w:type="dxa"/>
            <w:vAlign w:val="bottom"/>
          </w:tcPr>
          <w:p>
            <w:pPr>
              <w:jc w:val="right"/>
              <w:ind w:right="515"/>
              <w:spacing w:after="0"/>
              <w:rPr>
                <w:sz w:val="20"/>
                <w:szCs w:val="20"/>
                <w:color w:val="auto"/>
              </w:rPr>
            </w:pPr>
            <w:r>
              <w:rPr>
                <w:rFonts w:ascii="Courier New" w:cs="Courier New" w:eastAsia="Courier New" w:hAnsi="Courier New"/>
                <w:sz w:val="17"/>
                <w:szCs w:val="17"/>
                <w:color w:val="auto"/>
                <w:w w:val="97"/>
              </w:rPr>
              <w:t>2004</w:t>
            </w:r>
          </w:p>
        </w:tc>
      </w:tr>
      <w:tr>
        <w:trPr>
          <w:trHeight w:val="196"/>
        </w:trPr>
        <w:tc>
          <w:tcPr>
            <w:tcW w:w="4240" w:type="dxa"/>
            <w:vAlign w:val="bottom"/>
          </w:tcPr>
          <w:p>
            <w:pPr>
              <w:spacing w:after="0"/>
              <w:rPr>
                <w:sz w:val="17"/>
                <w:szCs w:val="17"/>
                <w:color w:val="auto"/>
              </w:rPr>
            </w:pPr>
          </w:p>
        </w:tc>
        <w:tc>
          <w:tcPr>
            <w:tcW w:w="224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8"/>
              </w:rPr>
              <w:t>----------------</w:t>
            </w:r>
          </w:p>
        </w:tc>
      </w:tr>
      <w:tr>
        <w:trPr>
          <w:trHeight w:val="392"/>
        </w:trPr>
        <w:tc>
          <w:tcPr>
            <w:tcW w:w="4240" w:type="dxa"/>
            <w:vAlign w:val="bottom"/>
          </w:tcPr>
          <w:p>
            <w:pPr>
              <w:spacing w:after="0"/>
              <w:rPr>
                <w:sz w:val="20"/>
                <w:szCs w:val="20"/>
                <w:color w:val="auto"/>
              </w:rPr>
            </w:pPr>
            <w:r>
              <w:rPr>
                <w:rFonts w:ascii="Courier New" w:cs="Courier New" w:eastAsia="Courier New" w:hAnsi="Courier New"/>
                <w:sz w:val="17"/>
                <w:szCs w:val="17"/>
                <w:color w:val="auto"/>
              </w:rPr>
              <w:t>Net income as reported for Q1 FY'05</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69,443</w:t>
            </w:r>
          </w:p>
        </w:tc>
      </w:tr>
      <w:tr>
        <w:trPr>
          <w:trHeight w:val="196"/>
        </w:trPr>
        <w:tc>
          <w:tcPr>
            <w:tcW w:w="4240" w:type="dxa"/>
            <w:vAlign w:val="bottom"/>
          </w:tcPr>
          <w:p>
            <w:pPr>
              <w:spacing w:after="0"/>
              <w:rPr>
                <w:sz w:val="20"/>
                <w:szCs w:val="20"/>
                <w:color w:val="auto"/>
              </w:rPr>
            </w:pPr>
            <w:r>
              <w:rPr>
                <w:rFonts w:ascii="Courier New" w:cs="Courier New" w:eastAsia="Courier New" w:hAnsi="Courier New"/>
                <w:sz w:val="17"/>
                <w:szCs w:val="17"/>
                <w:color w:val="auto"/>
              </w:rPr>
              <w:t>Pro forma equity based compensation</w:t>
            </w: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4240" w:type="dxa"/>
            <w:vAlign w:val="bottom"/>
          </w:tcPr>
          <w:p>
            <w:pPr>
              <w:spacing w:after="0"/>
              <w:rPr>
                <w:sz w:val="20"/>
                <w:szCs w:val="20"/>
                <w:color w:val="auto"/>
              </w:rPr>
            </w:pPr>
            <w:r>
              <w:rPr>
                <w:rFonts w:ascii="Courier New" w:cs="Courier New" w:eastAsia="Courier New" w:hAnsi="Courier New"/>
                <w:sz w:val="17"/>
                <w:szCs w:val="17"/>
                <w:color w:val="auto"/>
              </w:rPr>
              <w:t>expense, net of tax, as reported for Q1</w:t>
            </w: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4240" w:type="dxa"/>
            <w:vAlign w:val="bottom"/>
          </w:tcPr>
          <w:p>
            <w:pPr>
              <w:spacing w:after="0"/>
              <w:rPr>
                <w:sz w:val="20"/>
                <w:szCs w:val="20"/>
                <w:color w:val="auto"/>
              </w:rPr>
            </w:pPr>
            <w:r>
              <w:rPr>
                <w:rFonts w:ascii="Courier New" w:cs="Courier New" w:eastAsia="Courier New" w:hAnsi="Courier New"/>
                <w:sz w:val="17"/>
                <w:szCs w:val="17"/>
                <w:color w:val="auto"/>
              </w:rPr>
              <w:t>FY'05</w:t>
            </w: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(7,482)</w:t>
            </w:r>
          </w:p>
        </w:tc>
      </w:tr>
      <w:tr>
        <w:trPr>
          <w:trHeight w:val="196"/>
        </w:trPr>
        <w:tc>
          <w:tcPr>
            <w:tcW w:w="4240" w:type="dxa"/>
            <w:vAlign w:val="bottom"/>
          </w:tcPr>
          <w:p>
            <w:pPr>
              <w:spacing w:after="0"/>
              <w:rPr>
                <w:sz w:val="20"/>
                <w:szCs w:val="20"/>
                <w:color w:val="auto"/>
              </w:rPr>
            </w:pPr>
            <w:r>
              <w:rPr>
                <w:rFonts w:ascii="Courier New" w:cs="Courier New" w:eastAsia="Courier New" w:hAnsi="Courier New"/>
                <w:sz w:val="17"/>
                <w:szCs w:val="17"/>
                <w:color w:val="auto"/>
              </w:rPr>
              <w:t>Net income including the effect of</w:t>
            </w: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4240" w:type="dxa"/>
            <w:vAlign w:val="bottom"/>
          </w:tcPr>
          <w:p>
            <w:pPr>
              <w:spacing w:after="0"/>
              <w:rPr>
                <w:sz w:val="20"/>
                <w:szCs w:val="20"/>
                <w:color w:val="auto"/>
              </w:rPr>
            </w:pPr>
            <w:r>
              <w:rPr>
                <w:rFonts w:ascii="Courier New" w:cs="Courier New" w:eastAsia="Courier New" w:hAnsi="Courier New"/>
                <w:sz w:val="17"/>
                <w:szCs w:val="17"/>
                <w:color w:val="auto"/>
              </w:rPr>
              <w:t>equity based compensation expense</w:t>
            </w:r>
          </w:p>
        </w:tc>
        <w:tc>
          <w:tcPr>
            <w:tcW w:w="8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ind w:left="200"/>
              <w:spacing w:after="0"/>
              <w:rPr>
                <w:sz w:val="20"/>
                <w:szCs w:val="20"/>
                <w:color w:val="auto"/>
              </w:rPr>
            </w:pPr>
            <w:r>
              <w:rPr>
                <w:rFonts w:ascii="Courier New" w:cs="Courier New" w:eastAsia="Courier New" w:hAnsi="Courier New"/>
                <w:sz w:val="17"/>
                <w:szCs w:val="17"/>
                <w:color w:val="auto"/>
              </w:rPr>
              <w:t>75,334</w:t>
            </w:r>
          </w:p>
        </w:tc>
        <w:tc>
          <w:tcPr>
            <w:tcW w:w="6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61,691</w:t>
            </w:r>
          </w:p>
        </w:tc>
      </w:tr>
      <w:tr>
        <w:trPr>
          <w:trHeight w:val="196"/>
        </w:trPr>
        <w:tc>
          <w:tcPr>
            <w:tcW w:w="4240" w:type="dxa"/>
            <w:vAlign w:val="bottom"/>
          </w:tcPr>
          <w:p>
            <w:pPr>
              <w:spacing w:after="0"/>
              <w:rPr>
                <w:sz w:val="17"/>
                <w:szCs w:val="17"/>
                <w:color w:val="auto"/>
              </w:rPr>
            </w:pPr>
          </w:p>
        </w:tc>
        <w:tc>
          <w:tcPr>
            <w:tcW w:w="224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240" w:type="dxa"/>
            <w:vAlign w:val="bottom"/>
          </w:tcPr>
          <w:p>
            <w:pPr>
              <w:spacing w:after="0"/>
              <w:rPr>
                <w:sz w:val="20"/>
                <w:szCs w:val="20"/>
                <w:color w:val="auto"/>
              </w:rPr>
            </w:pPr>
            <w:r>
              <w:rPr>
                <w:rFonts w:ascii="Courier New" w:cs="Courier New" w:eastAsia="Courier New" w:hAnsi="Courier New"/>
                <w:sz w:val="17"/>
                <w:szCs w:val="17"/>
                <w:color w:val="auto"/>
              </w:rPr>
              <w:t>Diluted EPS as reported for Q1 FY'05</w:t>
            </w: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0.32</w:t>
            </w:r>
          </w:p>
        </w:tc>
      </w:tr>
      <w:tr>
        <w:trPr>
          <w:trHeight w:val="196"/>
        </w:trPr>
        <w:tc>
          <w:tcPr>
            <w:tcW w:w="4240" w:type="dxa"/>
            <w:vAlign w:val="bottom"/>
          </w:tcPr>
          <w:p>
            <w:pPr>
              <w:spacing w:after="0"/>
              <w:rPr>
                <w:sz w:val="20"/>
                <w:szCs w:val="20"/>
                <w:color w:val="auto"/>
              </w:rPr>
            </w:pPr>
            <w:r>
              <w:rPr>
                <w:rFonts w:ascii="Courier New" w:cs="Courier New" w:eastAsia="Courier New" w:hAnsi="Courier New"/>
                <w:sz w:val="17"/>
                <w:szCs w:val="17"/>
                <w:color w:val="auto"/>
              </w:rPr>
              <w:t>Pro forma equity based compensation</w:t>
            </w: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4240" w:type="dxa"/>
            <w:vAlign w:val="bottom"/>
          </w:tcPr>
          <w:p>
            <w:pPr>
              <w:spacing w:after="0"/>
              <w:rPr>
                <w:sz w:val="20"/>
                <w:szCs w:val="20"/>
                <w:color w:val="auto"/>
              </w:rPr>
            </w:pPr>
            <w:r>
              <w:rPr>
                <w:rFonts w:ascii="Courier New" w:cs="Courier New" w:eastAsia="Courier New" w:hAnsi="Courier New"/>
                <w:sz w:val="17"/>
                <w:szCs w:val="17"/>
                <w:color w:val="auto"/>
              </w:rPr>
              <w:t>expense, net of tax, per share, as</w:t>
            </w: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4240" w:type="dxa"/>
            <w:vAlign w:val="bottom"/>
          </w:tcPr>
          <w:p>
            <w:pPr>
              <w:spacing w:after="0"/>
              <w:rPr>
                <w:sz w:val="20"/>
                <w:szCs w:val="20"/>
                <w:color w:val="auto"/>
              </w:rPr>
            </w:pPr>
            <w:r>
              <w:rPr>
                <w:rFonts w:ascii="Courier New" w:cs="Courier New" w:eastAsia="Courier New" w:hAnsi="Courier New"/>
                <w:sz w:val="17"/>
                <w:szCs w:val="17"/>
                <w:color w:val="auto"/>
              </w:rPr>
              <w:t>reported for Q1 FY'05</w:t>
            </w: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(0.03)</w:t>
            </w:r>
          </w:p>
        </w:tc>
      </w:tr>
      <w:tr>
        <w:trPr>
          <w:trHeight w:val="196"/>
        </w:trPr>
        <w:tc>
          <w:tcPr>
            <w:tcW w:w="4240" w:type="dxa"/>
            <w:vAlign w:val="bottom"/>
          </w:tcPr>
          <w:p>
            <w:pPr>
              <w:spacing w:after="0"/>
              <w:rPr>
                <w:sz w:val="17"/>
                <w:szCs w:val="17"/>
                <w:color w:val="auto"/>
              </w:rPr>
            </w:pPr>
          </w:p>
        </w:tc>
        <w:tc>
          <w:tcPr>
            <w:tcW w:w="224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240" w:type="dxa"/>
            <w:vAlign w:val="bottom"/>
          </w:tcPr>
          <w:p>
            <w:pPr>
              <w:spacing w:after="0"/>
              <w:rPr>
                <w:sz w:val="20"/>
                <w:szCs w:val="20"/>
                <w:color w:val="auto"/>
              </w:rPr>
            </w:pPr>
            <w:r>
              <w:rPr>
                <w:rFonts w:ascii="Courier New" w:cs="Courier New" w:eastAsia="Courier New" w:hAnsi="Courier New"/>
                <w:sz w:val="17"/>
                <w:szCs w:val="17"/>
                <w:color w:val="auto"/>
              </w:rPr>
              <w:t>Diluted EPS, including the effect of</w:t>
            </w:r>
          </w:p>
        </w:tc>
        <w:tc>
          <w:tcPr>
            <w:tcW w:w="8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ind w:left="520"/>
              <w:spacing w:after="0"/>
              <w:rPr>
                <w:sz w:val="20"/>
                <w:szCs w:val="20"/>
                <w:color w:val="auto"/>
              </w:rPr>
            </w:pPr>
            <w:r>
              <w:rPr>
                <w:rFonts w:ascii="Courier New" w:cs="Courier New" w:eastAsia="Courier New" w:hAnsi="Courier New"/>
                <w:sz w:val="17"/>
                <w:szCs w:val="17"/>
                <w:color w:val="auto"/>
              </w:rPr>
              <w:t>0.36</w:t>
            </w:r>
          </w:p>
        </w:tc>
        <w:tc>
          <w:tcPr>
            <w:tcW w:w="6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0.29</w:t>
            </w:r>
          </w:p>
        </w:tc>
      </w:tr>
      <w:tr>
        <w:trPr>
          <w:trHeight w:val="196"/>
        </w:trPr>
        <w:tc>
          <w:tcPr>
            <w:tcW w:w="4240" w:type="dxa"/>
            <w:vAlign w:val="bottom"/>
          </w:tcPr>
          <w:p>
            <w:pPr>
              <w:spacing w:after="0"/>
              <w:rPr>
                <w:sz w:val="20"/>
                <w:szCs w:val="20"/>
                <w:color w:val="auto"/>
              </w:rPr>
            </w:pPr>
            <w:r>
              <w:rPr>
                <w:rFonts w:ascii="Courier New" w:cs="Courier New" w:eastAsia="Courier New" w:hAnsi="Courier New"/>
                <w:sz w:val="17"/>
                <w:szCs w:val="17"/>
                <w:color w:val="auto"/>
              </w:rPr>
              <w:t>equity based compensation expense</w:t>
            </w:r>
          </w:p>
        </w:tc>
        <w:tc>
          <w:tcPr>
            <w:tcW w:w="224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703" w:right="1440" w:bottom="1440" w:gutter="0" w:footer="0" w:header="0"/>
        </w:sectPr>
      </w:pPr>
    </w:p>
    <w:bookmarkStart w:id="10" w:name="page11"/>
    <w:bookmarkEnd w:id="10"/>
    <w:p>
      <w:pPr>
        <w:jc w:val="center"/>
        <w:ind w:right="2059"/>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Consolidated Statements of Income</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Excluding Amortization of Purchased Intangible Assets,</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Equity - Based Compensation Expense and Related Tax Effects</w:t>
      </w:r>
    </w:p>
    <w:p>
      <w:pPr>
        <w:spacing w:after="0" w:line="200"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60" w:type="dxa"/>
            <w:vAlign w:val="bottom"/>
            <w:gridSpan w:val="3"/>
          </w:tcPr>
          <w:p>
            <w:pPr>
              <w:jc w:val="right"/>
              <w:ind w:right="835"/>
              <w:spacing w:after="0"/>
              <w:rPr>
                <w:sz w:val="20"/>
                <w:szCs w:val="20"/>
                <w:color w:val="auto"/>
              </w:rPr>
            </w:pPr>
            <w:r>
              <w:rPr>
                <w:rFonts w:ascii="Courier New" w:cs="Courier New" w:eastAsia="Courier New" w:hAnsi="Courier New"/>
                <w:sz w:val="17"/>
                <w:szCs w:val="17"/>
                <w:color w:val="auto"/>
              </w:rPr>
              <w:t>Three months ended</w:t>
            </w:r>
          </w:p>
        </w:tc>
      </w:tr>
      <w:tr>
        <w:trPr>
          <w:trHeight w:val="196"/>
        </w:trPr>
        <w:tc>
          <w:tcPr>
            <w:tcW w:w="3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December 31,</w:t>
            </w:r>
          </w:p>
        </w:tc>
        <w:tc>
          <w:tcPr>
            <w:tcW w:w="1220" w:type="dxa"/>
            <w:vAlign w:val="bottom"/>
          </w:tcPr>
          <w:p>
            <w:pPr>
              <w:spacing w:after="0"/>
              <w:rPr>
                <w:sz w:val="17"/>
                <w:szCs w:val="17"/>
                <w:color w:val="auto"/>
              </w:rPr>
            </w:pPr>
          </w:p>
        </w:tc>
      </w:tr>
      <w:tr>
        <w:trPr>
          <w:trHeight w:val="196"/>
        </w:trPr>
        <w:tc>
          <w:tcPr>
            <w:tcW w:w="3980" w:type="dxa"/>
            <w:vAlign w:val="bottom"/>
          </w:tcPr>
          <w:p>
            <w:pPr>
              <w:spacing w:after="0"/>
              <w:rPr>
                <w:sz w:val="17"/>
                <w:szCs w:val="17"/>
                <w:color w:val="auto"/>
              </w:rPr>
            </w:pPr>
          </w:p>
        </w:tc>
        <w:tc>
          <w:tcPr>
            <w:tcW w:w="37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jc w:val="right"/>
              <w:ind w:right="535"/>
              <w:spacing w:after="0"/>
              <w:rPr>
                <w:sz w:val="20"/>
                <w:szCs w:val="20"/>
                <w:color w:val="auto"/>
              </w:rPr>
            </w:pPr>
            <w:r>
              <w:rPr>
                <w:rFonts w:ascii="Courier New" w:cs="Courier New" w:eastAsia="Courier New" w:hAnsi="Courier New"/>
                <w:sz w:val="17"/>
                <w:szCs w:val="17"/>
                <w:color w:val="auto"/>
                <w:w w:val="95"/>
              </w:rPr>
              <w:t>2005 (1)</w:t>
            </w:r>
          </w:p>
        </w:tc>
        <w:tc>
          <w:tcPr>
            <w:tcW w:w="620" w:type="dxa"/>
            <w:vAlign w:val="bottom"/>
          </w:tcPr>
          <w:p>
            <w:pPr>
              <w:spacing w:after="0"/>
              <w:rPr>
                <w:sz w:val="17"/>
                <w:szCs w:val="17"/>
                <w:color w:val="auto"/>
              </w:rPr>
            </w:pP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w w:val="97"/>
              </w:rPr>
              <w:t>2004 (1)</w:t>
            </w:r>
          </w:p>
        </w:tc>
      </w:tr>
      <w:tr>
        <w:trPr>
          <w:trHeight w:val="196"/>
        </w:trPr>
        <w:tc>
          <w:tcPr>
            <w:tcW w:w="3980" w:type="dxa"/>
            <w:vAlign w:val="bottom"/>
          </w:tcPr>
          <w:p>
            <w:pPr>
              <w:spacing w:after="0"/>
              <w:rPr>
                <w:sz w:val="17"/>
                <w:szCs w:val="17"/>
                <w:color w:val="auto"/>
              </w:rPr>
            </w:pPr>
          </w:p>
        </w:tc>
        <w:tc>
          <w:tcPr>
            <w:tcW w:w="19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398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3980" w:type="dxa"/>
            <w:vAlign w:val="bottom"/>
          </w:tcPr>
          <w:p>
            <w:pPr>
              <w:ind w:left="200"/>
              <w:spacing w:after="0"/>
              <w:rPr>
                <w:sz w:val="20"/>
                <w:szCs w:val="20"/>
                <w:color w:val="auto"/>
              </w:rPr>
            </w:pPr>
            <w:r>
              <w:rPr>
                <w:rFonts w:ascii="Courier New" w:cs="Courier New" w:eastAsia="Courier New" w:hAnsi="Courier New"/>
                <w:sz w:val="17"/>
                <w:szCs w:val="17"/>
                <w:color w:val="auto"/>
              </w:rPr>
              <w:t>License</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31,661</w:t>
            </w:r>
          </w:p>
        </w:tc>
        <w:tc>
          <w:tcPr>
            <w:tcW w:w="6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20,366</w:t>
            </w:r>
          </w:p>
        </w:tc>
      </w:tr>
      <w:tr>
        <w:trPr>
          <w:trHeight w:val="196"/>
        </w:trPr>
        <w:tc>
          <w:tcPr>
            <w:tcW w:w="3980" w:type="dxa"/>
            <w:vAlign w:val="bottom"/>
          </w:tcPr>
          <w:p>
            <w:pPr>
              <w:ind w:left="200"/>
              <w:spacing w:after="0"/>
              <w:rPr>
                <w:sz w:val="20"/>
                <w:szCs w:val="20"/>
                <w:color w:val="auto"/>
              </w:rPr>
            </w:pPr>
            <w:r>
              <w:rPr>
                <w:rFonts w:ascii="Courier New" w:cs="Courier New" w:eastAsia="Courier New" w:hAnsi="Courier New"/>
                <w:sz w:val="17"/>
                <w:szCs w:val="17"/>
                <w:color w:val="auto"/>
              </w:rPr>
              <w:t>Service</w:t>
            </w:r>
          </w:p>
        </w:tc>
        <w:tc>
          <w:tcPr>
            <w:tcW w:w="520" w:type="dxa"/>
            <w:vAlign w:val="bottom"/>
          </w:tcPr>
          <w:p>
            <w:pPr>
              <w:spacing w:after="0"/>
              <w:rPr>
                <w:sz w:val="17"/>
                <w:szCs w:val="17"/>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555,367</w:t>
            </w:r>
          </w:p>
        </w:tc>
        <w:tc>
          <w:tcPr>
            <w:tcW w:w="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449,166</w:t>
            </w:r>
          </w:p>
        </w:tc>
      </w:tr>
      <w:tr>
        <w:trPr>
          <w:trHeight w:val="196"/>
        </w:trPr>
        <w:tc>
          <w:tcPr>
            <w:tcW w:w="3980" w:type="dxa"/>
            <w:vAlign w:val="bottom"/>
          </w:tcPr>
          <w:p>
            <w:pPr>
              <w:spacing w:after="0"/>
              <w:rPr>
                <w:sz w:val="17"/>
                <w:szCs w:val="17"/>
                <w:color w:val="auto"/>
              </w:rPr>
            </w:pPr>
          </w:p>
        </w:tc>
        <w:tc>
          <w:tcPr>
            <w:tcW w:w="19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587,028</w:t>
            </w:r>
          </w:p>
        </w:tc>
        <w:tc>
          <w:tcPr>
            <w:tcW w:w="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469,532</w:t>
            </w:r>
          </w:p>
        </w:tc>
      </w:tr>
      <w:tr>
        <w:trPr>
          <w:trHeight w:val="196"/>
        </w:trPr>
        <w:tc>
          <w:tcPr>
            <w:tcW w:w="398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3980" w:type="dxa"/>
            <w:vAlign w:val="bottom"/>
          </w:tcPr>
          <w:p>
            <w:pPr>
              <w:ind w:left="200"/>
              <w:spacing w:after="0"/>
              <w:rPr>
                <w:sz w:val="20"/>
                <w:szCs w:val="20"/>
                <w:color w:val="auto"/>
              </w:rPr>
            </w:pPr>
            <w:r>
              <w:rPr>
                <w:rFonts w:ascii="Courier New" w:cs="Courier New" w:eastAsia="Courier New" w:hAnsi="Courier New"/>
                <w:sz w:val="17"/>
                <w:szCs w:val="17"/>
                <w:color w:val="auto"/>
              </w:rPr>
              <w:t>Cost of license</w:t>
            </w:r>
          </w:p>
        </w:tc>
        <w:tc>
          <w:tcPr>
            <w:tcW w:w="520" w:type="dxa"/>
            <w:vAlign w:val="bottom"/>
          </w:tcPr>
          <w:p>
            <w:pPr>
              <w:spacing w:after="0"/>
              <w:rPr>
                <w:sz w:val="17"/>
                <w:szCs w:val="17"/>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1,062</w:t>
            </w:r>
          </w:p>
        </w:tc>
        <w:tc>
          <w:tcPr>
            <w:tcW w:w="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1,155</w:t>
            </w:r>
          </w:p>
        </w:tc>
      </w:tr>
      <w:tr>
        <w:trPr>
          <w:trHeight w:val="196"/>
        </w:trPr>
        <w:tc>
          <w:tcPr>
            <w:tcW w:w="3980" w:type="dxa"/>
            <w:vAlign w:val="bottom"/>
          </w:tcPr>
          <w:p>
            <w:pPr>
              <w:ind w:left="200"/>
              <w:spacing w:after="0"/>
              <w:rPr>
                <w:sz w:val="20"/>
                <w:szCs w:val="20"/>
                <w:color w:val="auto"/>
              </w:rPr>
            </w:pPr>
            <w:r>
              <w:rPr>
                <w:rFonts w:ascii="Courier New" w:cs="Courier New" w:eastAsia="Courier New" w:hAnsi="Courier New"/>
                <w:sz w:val="17"/>
                <w:szCs w:val="17"/>
                <w:color w:val="auto"/>
              </w:rPr>
              <w:t>Cost of service</w:t>
            </w:r>
          </w:p>
        </w:tc>
        <w:tc>
          <w:tcPr>
            <w:tcW w:w="520" w:type="dxa"/>
            <w:vAlign w:val="bottom"/>
          </w:tcPr>
          <w:p>
            <w:pPr>
              <w:spacing w:after="0"/>
              <w:rPr>
                <w:sz w:val="17"/>
                <w:szCs w:val="17"/>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369,696</w:t>
            </w:r>
          </w:p>
        </w:tc>
        <w:tc>
          <w:tcPr>
            <w:tcW w:w="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294,947</w:t>
            </w:r>
          </w:p>
        </w:tc>
      </w:tr>
      <w:tr>
        <w:trPr>
          <w:trHeight w:val="196"/>
        </w:trPr>
        <w:tc>
          <w:tcPr>
            <w:tcW w:w="3980" w:type="dxa"/>
            <w:vAlign w:val="bottom"/>
          </w:tcPr>
          <w:p>
            <w:pPr>
              <w:ind w:left="200"/>
              <w:spacing w:after="0"/>
              <w:rPr>
                <w:sz w:val="20"/>
                <w:szCs w:val="20"/>
                <w:color w:val="auto"/>
              </w:rPr>
            </w:pPr>
            <w:r>
              <w:rPr>
                <w:rFonts w:ascii="Courier New" w:cs="Courier New" w:eastAsia="Courier New" w:hAnsi="Courier New"/>
                <w:sz w:val="17"/>
                <w:szCs w:val="17"/>
                <w:color w:val="auto"/>
              </w:rPr>
              <w:t>Research and development</w:t>
            </w:r>
          </w:p>
        </w:tc>
        <w:tc>
          <w:tcPr>
            <w:tcW w:w="520" w:type="dxa"/>
            <w:vAlign w:val="bottom"/>
          </w:tcPr>
          <w:p>
            <w:pPr>
              <w:spacing w:after="0"/>
              <w:rPr>
                <w:sz w:val="17"/>
                <w:szCs w:val="17"/>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42,025</w:t>
            </w:r>
          </w:p>
        </w:tc>
        <w:tc>
          <w:tcPr>
            <w:tcW w:w="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32,911</w:t>
            </w:r>
          </w:p>
        </w:tc>
      </w:tr>
      <w:tr>
        <w:trPr>
          <w:trHeight w:val="196"/>
        </w:trPr>
        <w:tc>
          <w:tcPr>
            <w:tcW w:w="3980" w:type="dxa"/>
            <w:vAlign w:val="bottom"/>
          </w:tcPr>
          <w:p>
            <w:pPr>
              <w:ind w:left="200"/>
              <w:spacing w:after="0"/>
              <w:rPr>
                <w:sz w:val="20"/>
                <w:szCs w:val="20"/>
                <w:color w:val="auto"/>
              </w:rPr>
            </w:pPr>
            <w:r>
              <w:rPr>
                <w:rFonts w:ascii="Courier New" w:cs="Courier New" w:eastAsia="Courier New" w:hAnsi="Courier New"/>
                <w:sz w:val="17"/>
                <w:szCs w:val="17"/>
                <w:color w:val="auto"/>
              </w:rPr>
              <w:t>Selling, general and administrative</w:t>
            </w:r>
          </w:p>
        </w:tc>
        <w:tc>
          <w:tcPr>
            <w:tcW w:w="520" w:type="dxa"/>
            <w:vAlign w:val="bottom"/>
          </w:tcPr>
          <w:p>
            <w:pPr>
              <w:spacing w:after="0"/>
              <w:rPr>
                <w:sz w:val="17"/>
                <w:szCs w:val="17"/>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72,934</w:t>
            </w:r>
          </w:p>
        </w:tc>
        <w:tc>
          <w:tcPr>
            <w:tcW w:w="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54,960</w:t>
            </w:r>
          </w:p>
        </w:tc>
      </w:tr>
      <w:tr>
        <w:trPr>
          <w:trHeight w:val="196"/>
        </w:trPr>
        <w:tc>
          <w:tcPr>
            <w:tcW w:w="3980" w:type="dxa"/>
            <w:vAlign w:val="bottom"/>
          </w:tcPr>
          <w:p>
            <w:pPr>
              <w:spacing w:after="0"/>
              <w:rPr>
                <w:sz w:val="17"/>
                <w:szCs w:val="17"/>
                <w:color w:val="auto"/>
              </w:rPr>
            </w:pPr>
          </w:p>
        </w:tc>
        <w:tc>
          <w:tcPr>
            <w:tcW w:w="19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485,717</w:t>
            </w:r>
          </w:p>
        </w:tc>
        <w:tc>
          <w:tcPr>
            <w:tcW w:w="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383,973</w:t>
            </w:r>
          </w:p>
        </w:tc>
      </w:tr>
      <w:tr>
        <w:trPr>
          <w:trHeight w:val="196"/>
        </w:trPr>
        <w:tc>
          <w:tcPr>
            <w:tcW w:w="3980" w:type="dxa"/>
            <w:vAlign w:val="bottom"/>
          </w:tcPr>
          <w:p>
            <w:pPr>
              <w:spacing w:after="0"/>
              <w:rPr>
                <w:sz w:val="17"/>
                <w:szCs w:val="17"/>
                <w:color w:val="auto"/>
              </w:rPr>
            </w:pPr>
          </w:p>
        </w:tc>
        <w:tc>
          <w:tcPr>
            <w:tcW w:w="19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98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520" w:type="dxa"/>
            <w:vAlign w:val="bottom"/>
          </w:tcPr>
          <w:p>
            <w:pPr>
              <w:spacing w:after="0"/>
              <w:rPr>
                <w:sz w:val="17"/>
                <w:szCs w:val="17"/>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101,311</w:t>
            </w:r>
          </w:p>
        </w:tc>
        <w:tc>
          <w:tcPr>
            <w:tcW w:w="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85,559</w:t>
            </w:r>
          </w:p>
        </w:tc>
      </w:tr>
      <w:tr>
        <w:trPr>
          <w:trHeight w:val="392"/>
        </w:trPr>
        <w:tc>
          <w:tcPr>
            <w:tcW w:w="3980" w:type="dxa"/>
            <w:vAlign w:val="bottom"/>
          </w:tcPr>
          <w:p>
            <w:pPr>
              <w:spacing w:after="0"/>
              <w:rPr>
                <w:sz w:val="20"/>
                <w:szCs w:val="20"/>
                <w:color w:val="auto"/>
              </w:rPr>
            </w:pPr>
            <w:r>
              <w:rPr>
                <w:rFonts w:ascii="Courier New" w:cs="Courier New" w:eastAsia="Courier New" w:hAnsi="Courier New"/>
                <w:sz w:val="17"/>
                <w:szCs w:val="17"/>
                <w:color w:val="auto"/>
              </w:rPr>
              <w:t>Interest income and other, net</w:t>
            </w:r>
          </w:p>
        </w:tc>
        <w:tc>
          <w:tcPr>
            <w:tcW w:w="520" w:type="dxa"/>
            <w:vAlign w:val="bottom"/>
          </w:tcPr>
          <w:p>
            <w:pPr>
              <w:spacing w:after="0"/>
              <w:rPr>
                <w:sz w:val="24"/>
                <w:szCs w:val="24"/>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8,414</w:t>
            </w:r>
          </w:p>
        </w:tc>
        <w:tc>
          <w:tcPr>
            <w:tcW w:w="6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4,959</w:t>
            </w:r>
          </w:p>
        </w:tc>
      </w:tr>
      <w:tr>
        <w:trPr>
          <w:trHeight w:val="196"/>
        </w:trPr>
        <w:tc>
          <w:tcPr>
            <w:tcW w:w="3980" w:type="dxa"/>
            <w:vAlign w:val="bottom"/>
          </w:tcPr>
          <w:p>
            <w:pPr>
              <w:spacing w:after="0"/>
              <w:rPr>
                <w:sz w:val="17"/>
                <w:szCs w:val="17"/>
                <w:color w:val="auto"/>
              </w:rPr>
            </w:pPr>
          </w:p>
        </w:tc>
        <w:tc>
          <w:tcPr>
            <w:tcW w:w="19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98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520" w:type="dxa"/>
            <w:vAlign w:val="bottom"/>
          </w:tcPr>
          <w:p>
            <w:pPr>
              <w:spacing w:after="0"/>
              <w:rPr>
                <w:sz w:val="17"/>
                <w:szCs w:val="17"/>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109,725</w:t>
            </w:r>
          </w:p>
        </w:tc>
        <w:tc>
          <w:tcPr>
            <w:tcW w:w="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90,518</w:t>
            </w:r>
          </w:p>
        </w:tc>
      </w:tr>
      <w:tr>
        <w:trPr>
          <w:trHeight w:val="392"/>
        </w:trPr>
        <w:tc>
          <w:tcPr>
            <w:tcW w:w="398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520" w:type="dxa"/>
            <w:vAlign w:val="bottom"/>
          </w:tcPr>
          <w:p>
            <w:pPr>
              <w:spacing w:after="0"/>
              <w:rPr>
                <w:sz w:val="24"/>
                <w:szCs w:val="24"/>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19,750</w:t>
            </w:r>
          </w:p>
        </w:tc>
        <w:tc>
          <w:tcPr>
            <w:tcW w:w="6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18,104</w:t>
            </w:r>
          </w:p>
        </w:tc>
      </w:tr>
      <w:tr>
        <w:trPr>
          <w:trHeight w:val="196"/>
        </w:trPr>
        <w:tc>
          <w:tcPr>
            <w:tcW w:w="3980" w:type="dxa"/>
            <w:vAlign w:val="bottom"/>
          </w:tcPr>
          <w:p>
            <w:pPr>
              <w:spacing w:after="0"/>
              <w:rPr>
                <w:sz w:val="17"/>
                <w:szCs w:val="17"/>
                <w:color w:val="auto"/>
              </w:rPr>
            </w:pPr>
          </w:p>
        </w:tc>
        <w:tc>
          <w:tcPr>
            <w:tcW w:w="19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9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89,975</w:t>
            </w:r>
          </w:p>
        </w:tc>
        <w:tc>
          <w:tcPr>
            <w:tcW w:w="6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72,414</w:t>
            </w:r>
          </w:p>
        </w:tc>
      </w:tr>
      <w:tr>
        <w:trPr>
          <w:trHeight w:val="196"/>
        </w:trPr>
        <w:tc>
          <w:tcPr>
            <w:tcW w:w="3980" w:type="dxa"/>
            <w:vAlign w:val="bottom"/>
          </w:tcPr>
          <w:p>
            <w:pPr>
              <w:spacing w:after="0"/>
              <w:rPr>
                <w:sz w:val="17"/>
                <w:szCs w:val="17"/>
                <w:color w:val="auto"/>
              </w:rPr>
            </w:pPr>
          </w:p>
        </w:tc>
        <w:tc>
          <w:tcPr>
            <w:tcW w:w="19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980" w:type="dxa"/>
            <w:vAlign w:val="bottom"/>
          </w:tcPr>
          <w:p>
            <w:pPr>
              <w:spacing w:after="0"/>
              <w:rPr>
                <w:sz w:val="20"/>
                <w:szCs w:val="20"/>
                <w:color w:val="auto"/>
              </w:rPr>
            </w:pPr>
            <w:r>
              <w:rPr>
                <w:rFonts w:ascii="Courier New" w:cs="Courier New" w:eastAsia="Courier New" w:hAnsi="Courier New"/>
                <w:sz w:val="17"/>
                <w:szCs w:val="17"/>
                <w:color w:val="auto"/>
              </w:rPr>
              <w:t>Diluted earnings per share (2)</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0.42</w:t>
            </w:r>
          </w:p>
        </w:tc>
        <w:tc>
          <w:tcPr>
            <w:tcW w:w="6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0.34</w:t>
            </w:r>
          </w:p>
        </w:tc>
      </w:tr>
      <w:tr>
        <w:trPr>
          <w:trHeight w:val="196"/>
        </w:trPr>
        <w:tc>
          <w:tcPr>
            <w:tcW w:w="3980" w:type="dxa"/>
            <w:vAlign w:val="bottom"/>
          </w:tcPr>
          <w:p>
            <w:pPr>
              <w:spacing w:after="0"/>
              <w:rPr>
                <w:sz w:val="17"/>
                <w:szCs w:val="17"/>
                <w:color w:val="auto"/>
              </w:rPr>
            </w:pPr>
          </w:p>
        </w:tc>
        <w:tc>
          <w:tcPr>
            <w:tcW w:w="19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980" w:type="dxa"/>
            <w:vAlign w:val="bottom"/>
          </w:tcPr>
          <w:p>
            <w:pPr>
              <w:spacing w:after="0"/>
              <w:rPr>
                <w:sz w:val="20"/>
                <w:szCs w:val="20"/>
                <w:color w:val="auto"/>
              </w:rPr>
            </w:pPr>
            <w:r>
              <w:rPr>
                <w:rFonts w:ascii="Courier New" w:cs="Courier New" w:eastAsia="Courier New" w:hAnsi="Courier New"/>
                <w:sz w:val="17"/>
                <w:szCs w:val="17"/>
                <w:color w:val="auto"/>
              </w:rPr>
              <w:t>Diluted weighted average number of</w:t>
            </w: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3980" w:type="dxa"/>
            <w:vAlign w:val="bottom"/>
          </w:tcPr>
          <w:p>
            <w:pPr>
              <w:ind w:left="320"/>
              <w:spacing w:after="0"/>
              <w:rPr>
                <w:sz w:val="20"/>
                <w:szCs w:val="20"/>
                <w:color w:val="auto"/>
              </w:rPr>
            </w:pPr>
            <w:r>
              <w:rPr>
                <w:rFonts w:ascii="Courier New" w:cs="Courier New" w:eastAsia="Courier New" w:hAnsi="Courier New"/>
                <w:sz w:val="17"/>
                <w:szCs w:val="17"/>
                <w:color w:val="auto"/>
              </w:rPr>
              <w:t>shares outstanding</w:t>
            </w:r>
          </w:p>
        </w:tc>
        <w:tc>
          <w:tcPr>
            <w:tcW w:w="520" w:type="dxa"/>
            <w:vAlign w:val="bottom"/>
          </w:tcPr>
          <w:p>
            <w:pPr>
              <w:spacing w:after="0"/>
              <w:rPr>
                <w:sz w:val="17"/>
                <w:szCs w:val="17"/>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214,871</w:t>
            </w:r>
          </w:p>
        </w:tc>
        <w:tc>
          <w:tcPr>
            <w:tcW w:w="6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217,448</w:t>
            </w:r>
          </w:p>
        </w:tc>
      </w:tr>
      <w:tr>
        <w:trPr>
          <w:trHeight w:val="196"/>
        </w:trPr>
        <w:tc>
          <w:tcPr>
            <w:tcW w:w="3980" w:type="dxa"/>
            <w:vAlign w:val="bottom"/>
          </w:tcPr>
          <w:p>
            <w:pPr>
              <w:spacing w:after="0"/>
              <w:rPr>
                <w:sz w:val="17"/>
                <w:szCs w:val="17"/>
                <w:color w:val="auto"/>
              </w:rPr>
            </w:pPr>
          </w:p>
        </w:tc>
        <w:tc>
          <w:tcPr>
            <w:tcW w:w="19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left="420" w:right="2059" w:hanging="415"/>
        <w:spacing w:after="0" w:line="244" w:lineRule="auto"/>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Excludes $7,572 and $3,718 for amortization of purchased intangible assets, $11,060 and $0 for equity - based compensation expense and tax effects related to the above of $(3,991) and $(747) for the three months ended December 31, 2005 and 2004, respectively. Including the above items, income before income taxes was $91,093 and $86,800, and diluted earnings per share were $0.36 and $0.32 for the three months ended December 31, 2005 and 2004, respectively.</w:t>
      </w:r>
    </w:p>
    <w:p>
      <w:pPr>
        <w:spacing w:after="0" w:line="199" w:lineRule="exact"/>
        <w:rPr>
          <w:rFonts w:ascii="Courier New" w:cs="Courier New" w:eastAsia="Courier New" w:hAnsi="Courier New"/>
          <w:sz w:val="17"/>
          <w:szCs w:val="17"/>
          <w:color w:val="auto"/>
        </w:rPr>
      </w:pPr>
    </w:p>
    <w:p>
      <w:pPr>
        <w:ind w:left="420" w:right="2059" w:hanging="415"/>
        <w:spacing w:after="0" w:line="244" w:lineRule="auto"/>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the impact of assumed conversion of the convertible notes, $1,000 and $984 representing interest expense and amortization of issuance costs, were added back to net income for the three months ended December 31, 2005 and 2004, respectively, for the purpose of computing diluted earnings per share.</w:t>
      </w:r>
    </w:p>
    <w:p>
      <w:pPr>
        <w:sectPr>
          <w:pgSz w:w="11900" w:h="16838" w:orient="portrait"/>
          <w:cols w:equalWidth="0" w:num="1">
            <w:col w:w="10219"/>
          </w:cols>
          <w:pgMar w:left="240" w:top="703" w:right="1440" w:bottom="1440" w:gutter="0" w:footer="0" w:header="0"/>
        </w:sectPr>
      </w:pPr>
    </w:p>
    <w:bookmarkStart w:id="11" w:name="page12"/>
    <w:bookmarkEnd w:id="11"/>
    <w:p>
      <w:pPr>
        <w:jc w:val="center"/>
        <w:ind w:right="3340"/>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7"/>
          <w:szCs w:val="17"/>
          <w:color w:val="auto"/>
        </w:rPr>
        <w:t>Condensed Consolidated Balance Sheets</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As of</w:t>
            </w:r>
          </w:p>
        </w:tc>
        <w:tc>
          <w:tcPr>
            <w:tcW w:w="1880" w:type="dxa"/>
            <w:vAlign w:val="bottom"/>
          </w:tcPr>
          <w:p>
            <w:pPr>
              <w:spacing w:after="0"/>
              <w:rPr>
                <w:sz w:val="16"/>
                <w:szCs w:val="16"/>
                <w:color w:val="auto"/>
              </w:rPr>
            </w:pPr>
          </w:p>
        </w:tc>
      </w:tr>
      <w:tr>
        <w:trPr>
          <w:trHeight w:val="196"/>
        </w:trPr>
        <w:tc>
          <w:tcPr>
            <w:tcW w:w="7200" w:type="dxa"/>
            <w:vAlign w:val="bottom"/>
          </w:tcPr>
          <w:p>
            <w:pPr>
              <w:spacing w:after="0"/>
              <w:rPr>
                <w:sz w:val="17"/>
                <w:szCs w:val="17"/>
                <w:color w:val="auto"/>
              </w:rPr>
            </w:pPr>
          </w:p>
        </w:tc>
        <w:tc>
          <w:tcPr>
            <w:tcW w:w="4320" w:type="dxa"/>
            <w:vAlign w:val="bottom"/>
            <w:gridSpan w:val="3"/>
          </w:tcPr>
          <w:p>
            <w:pPr>
              <w:ind w:left="360"/>
              <w:spacing w:after="0"/>
              <w:rPr>
                <w:sz w:val="20"/>
                <w:szCs w:val="20"/>
                <w:color w:val="auto"/>
              </w:rPr>
            </w:pPr>
            <w:r>
              <w:rPr>
                <w:rFonts w:ascii="Courier New" w:cs="Courier New" w:eastAsia="Courier New" w:hAnsi="Courier New"/>
                <w:sz w:val="17"/>
                <w:szCs w:val="17"/>
                <w:color w:val="auto"/>
                <w:w w:val="99"/>
              </w:rPr>
              <w:t>----------------- --- -----------------</w:t>
            </w:r>
          </w:p>
        </w:tc>
      </w:tr>
      <w:tr>
        <w:trPr>
          <w:trHeight w:val="196"/>
        </w:trPr>
        <w:tc>
          <w:tcPr>
            <w:tcW w:w="7200" w:type="dxa"/>
            <w:vAlign w:val="bottom"/>
          </w:tcPr>
          <w:p>
            <w:pPr>
              <w:spacing w:after="0"/>
              <w:rPr>
                <w:sz w:val="17"/>
                <w:szCs w:val="17"/>
                <w:color w:val="auto"/>
              </w:rPr>
            </w:pPr>
          </w:p>
        </w:tc>
        <w:tc>
          <w:tcPr>
            <w:tcW w:w="2440" w:type="dxa"/>
            <w:vAlign w:val="bottom"/>
            <w:gridSpan w:val="2"/>
          </w:tcPr>
          <w:p>
            <w:pPr>
              <w:jc w:val="right"/>
              <w:ind w:right="775"/>
              <w:spacing w:after="0"/>
              <w:rPr>
                <w:sz w:val="20"/>
                <w:szCs w:val="20"/>
                <w:color w:val="auto"/>
              </w:rPr>
            </w:pPr>
            <w:r>
              <w:rPr>
                <w:rFonts w:ascii="Courier New" w:cs="Courier New" w:eastAsia="Courier New" w:hAnsi="Courier New"/>
                <w:sz w:val="17"/>
                <w:szCs w:val="17"/>
                <w:color w:val="auto"/>
              </w:rPr>
              <w:t>December</w:t>
            </w:r>
          </w:p>
        </w:tc>
        <w:tc>
          <w:tcPr>
            <w:tcW w:w="18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September</w:t>
            </w:r>
          </w:p>
        </w:tc>
      </w:tr>
      <w:tr>
        <w:trPr>
          <w:trHeight w:val="196"/>
        </w:trPr>
        <w:tc>
          <w:tcPr>
            <w:tcW w:w="7200" w:type="dxa"/>
            <w:vAlign w:val="bottom"/>
          </w:tcPr>
          <w:p>
            <w:pPr>
              <w:spacing w:after="0"/>
              <w:rPr>
                <w:sz w:val="17"/>
                <w:szCs w:val="17"/>
                <w:color w:val="auto"/>
              </w:rPr>
            </w:pPr>
          </w:p>
        </w:tc>
        <w:tc>
          <w:tcPr>
            <w:tcW w:w="1060" w:type="dxa"/>
            <w:vAlign w:val="bottom"/>
          </w:tcPr>
          <w:p>
            <w:pPr>
              <w:ind w:left="760"/>
              <w:spacing w:after="0"/>
              <w:rPr>
                <w:sz w:val="20"/>
                <w:szCs w:val="20"/>
                <w:color w:val="auto"/>
              </w:rPr>
            </w:pPr>
            <w:r>
              <w:rPr>
                <w:rFonts w:ascii="Courier New" w:cs="Courier New" w:eastAsia="Courier New" w:hAnsi="Courier New"/>
                <w:sz w:val="17"/>
                <w:szCs w:val="17"/>
                <w:color w:val="auto"/>
                <w:w w:val="91"/>
              </w:rPr>
              <w:t>31,</w:t>
            </w:r>
          </w:p>
        </w:tc>
        <w:tc>
          <w:tcPr>
            <w:tcW w:w="13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2005</w:t>
            </w:r>
          </w:p>
        </w:tc>
        <w:tc>
          <w:tcPr>
            <w:tcW w:w="18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30, 2005</w:t>
            </w:r>
          </w:p>
        </w:tc>
      </w:tr>
      <w:tr>
        <w:trPr>
          <w:trHeight w:val="196"/>
        </w:trPr>
        <w:tc>
          <w:tcPr>
            <w:tcW w:w="7200" w:type="dxa"/>
            <w:vAlign w:val="bottom"/>
          </w:tcPr>
          <w:p>
            <w:pPr>
              <w:spacing w:after="0"/>
              <w:rPr>
                <w:sz w:val="17"/>
                <w:szCs w:val="17"/>
                <w:color w:val="auto"/>
              </w:rPr>
            </w:pPr>
          </w:p>
        </w:tc>
        <w:tc>
          <w:tcPr>
            <w:tcW w:w="244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589"/>
        </w:trPr>
        <w:tc>
          <w:tcPr>
            <w:tcW w:w="720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92"/>
        </w:trPr>
        <w:tc>
          <w:tcPr>
            <w:tcW w:w="720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96"/>
        </w:trPr>
        <w:tc>
          <w:tcPr>
            <w:tcW w:w="7200" w:type="dxa"/>
            <w:vAlign w:val="bottom"/>
          </w:tcPr>
          <w:p>
            <w:pPr>
              <w:spacing w:after="0"/>
              <w:rPr>
                <w:sz w:val="20"/>
                <w:szCs w:val="20"/>
                <w:color w:val="auto"/>
              </w:rPr>
            </w:pPr>
            <w:r>
              <w:rPr>
                <w:rFonts w:ascii="Courier New" w:cs="Courier New" w:eastAsia="Courier New" w:hAnsi="Courier New"/>
                <w:sz w:val="17"/>
                <w:szCs w:val="17"/>
                <w:color w:val="auto"/>
              </w:rPr>
              <w:t>Cash, cash equivalents and short-term interest-bearing investments</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17"/>
                <w:szCs w:val="17"/>
                <w:color w:val="auto"/>
              </w:rPr>
            </w:pPr>
          </w:p>
        </w:tc>
        <w:tc>
          <w:tcPr>
            <w:tcW w:w="188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r>
      <w:tr>
        <w:trPr>
          <w:trHeight w:val="196"/>
        </w:trPr>
        <w:tc>
          <w:tcPr>
            <w:tcW w:w="7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w w:val="97"/>
              </w:rPr>
              <w:t>1,220,944</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1,145,563</w:t>
            </w:r>
          </w:p>
        </w:tc>
      </w:tr>
      <w:tr>
        <w:trPr>
          <w:trHeight w:val="196"/>
        </w:trPr>
        <w:tc>
          <w:tcPr>
            <w:tcW w:w="7200" w:type="dxa"/>
            <w:vAlign w:val="bottom"/>
          </w:tcPr>
          <w:p>
            <w:pPr>
              <w:spacing w:after="0"/>
              <w:rPr>
                <w:sz w:val="20"/>
                <w:szCs w:val="20"/>
                <w:color w:val="auto"/>
              </w:rPr>
            </w:pPr>
            <w:r>
              <w:rPr>
                <w:rFonts w:ascii="Courier New" w:cs="Courier New" w:eastAsia="Courier New" w:hAnsi="Courier New"/>
                <w:sz w:val="17"/>
                <w:szCs w:val="17"/>
                <w:color w:val="auto"/>
              </w:rPr>
              <w:t>Accounts receivable, net, including unbilled of $28,317 and</w:t>
            </w: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196"/>
        </w:trPr>
        <w:tc>
          <w:tcPr>
            <w:tcW w:w="7200" w:type="dxa"/>
            <w:vAlign w:val="bottom"/>
          </w:tcPr>
          <w:p>
            <w:pPr>
              <w:ind w:left="320"/>
              <w:spacing w:after="0"/>
              <w:rPr>
                <w:sz w:val="20"/>
                <w:szCs w:val="20"/>
                <w:color w:val="auto"/>
              </w:rPr>
            </w:pPr>
            <w:r>
              <w:rPr>
                <w:rFonts w:ascii="Courier New" w:cs="Courier New" w:eastAsia="Courier New" w:hAnsi="Courier New"/>
                <w:sz w:val="17"/>
                <w:szCs w:val="17"/>
                <w:color w:val="auto"/>
              </w:rPr>
              <w:t>$28,994, respectively</w:t>
            </w:r>
          </w:p>
        </w:tc>
        <w:tc>
          <w:tcPr>
            <w:tcW w:w="1060" w:type="dxa"/>
            <w:vAlign w:val="bottom"/>
          </w:tcPr>
          <w:p>
            <w:pPr>
              <w:spacing w:after="0"/>
              <w:rPr>
                <w:sz w:val="17"/>
                <w:szCs w:val="17"/>
                <w:color w:val="auto"/>
              </w:rPr>
            </w:pP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343,487</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304,237</w:t>
            </w:r>
          </w:p>
        </w:tc>
      </w:tr>
      <w:tr>
        <w:trPr>
          <w:trHeight w:val="196"/>
        </w:trPr>
        <w:tc>
          <w:tcPr>
            <w:tcW w:w="7200" w:type="dxa"/>
            <w:vAlign w:val="bottom"/>
          </w:tcPr>
          <w:p>
            <w:pPr>
              <w:spacing w:after="0"/>
              <w:rPr>
                <w:sz w:val="20"/>
                <w:szCs w:val="20"/>
                <w:color w:val="auto"/>
              </w:rPr>
            </w:pPr>
            <w:r>
              <w:rPr>
                <w:rFonts w:ascii="Courier New" w:cs="Courier New" w:eastAsia="Courier New" w:hAnsi="Courier New"/>
                <w:sz w:val="17"/>
                <w:szCs w:val="17"/>
                <w:color w:val="auto"/>
              </w:rPr>
              <w:t>Deferred income taxes and taxes receivable</w:t>
            </w:r>
          </w:p>
        </w:tc>
        <w:tc>
          <w:tcPr>
            <w:tcW w:w="1060" w:type="dxa"/>
            <w:vAlign w:val="bottom"/>
          </w:tcPr>
          <w:p>
            <w:pPr>
              <w:spacing w:after="0"/>
              <w:rPr>
                <w:sz w:val="17"/>
                <w:szCs w:val="17"/>
                <w:color w:val="auto"/>
              </w:rPr>
            </w:pP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106,840</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101,162</w:t>
            </w:r>
          </w:p>
        </w:tc>
      </w:tr>
      <w:tr>
        <w:trPr>
          <w:trHeight w:val="196"/>
        </w:trPr>
        <w:tc>
          <w:tcPr>
            <w:tcW w:w="7200" w:type="dxa"/>
            <w:vAlign w:val="bottom"/>
          </w:tcPr>
          <w:p>
            <w:pPr>
              <w:spacing w:after="0"/>
              <w:rPr>
                <w:sz w:val="20"/>
                <w:szCs w:val="20"/>
                <w:color w:val="auto"/>
              </w:rPr>
            </w:pPr>
            <w:r>
              <w:rPr>
                <w:rFonts w:ascii="Courier New" w:cs="Courier New" w:eastAsia="Courier New" w:hAnsi="Courier New"/>
                <w:sz w:val="17"/>
                <w:szCs w:val="17"/>
                <w:color w:val="auto"/>
              </w:rPr>
              <w:t>Prepaid expenses and other current assets</w:t>
            </w:r>
          </w:p>
        </w:tc>
        <w:tc>
          <w:tcPr>
            <w:tcW w:w="1060" w:type="dxa"/>
            <w:vAlign w:val="bottom"/>
          </w:tcPr>
          <w:p>
            <w:pPr>
              <w:spacing w:after="0"/>
              <w:rPr>
                <w:sz w:val="17"/>
                <w:szCs w:val="17"/>
                <w:color w:val="auto"/>
              </w:rPr>
            </w:pP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80,681</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76,780</w:t>
            </w:r>
          </w:p>
        </w:tc>
      </w:tr>
      <w:tr>
        <w:trPr>
          <w:trHeight w:val="196"/>
        </w:trPr>
        <w:tc>
          <w:tcPr>
            <w:tcW w:w="7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80" w:type="dxa"/>
            <w:vAlign w:val="bottom"/>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196"/>
        </w:trPr>
        <w:tc>
          <w:tcPr>
            <w:tcW w:w="7200" w:type="dxa"/>
            <w:vAlign w:val="bottom"/>
          </w:tcPr>
          <w:p>
            <w:pPr>
              <w:spacing w:after="0"/>
              <w:rPr>
                <w:sz w:val="17"/>
                <w:szCs w:val="17"/>
                <w:color w:val="auto"/>
              </w:rPr>
            </w:pPr>
          </w:p>
        </w:tc>
        <w:tc>
          <w:tcPr>
            <w:tcW w:w="244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spacing w:after="0"/>
              <w:rPr>
                <w:sz w:val="17"/>
                <w:szCs w:val="17"/>
                <w:color w:val="auto"/>
              </w:rPr>
            </w:pPr>
          </w:p>
        </w:tc>
      </w:tr>
      <w:tr>
        <w:trPr>
          <w:trHeight w:val="196"/>
        </w:trPr>
        <w:tc>
          <w:tcPr>
            <w:tcW w:w="7200" w:type="dxa"/>
            <w:vAlign w:val="bottom"/>
          </w:tcPr>
          <w:p>
            <w:pPr>
              <w:ind w:left="420"/>
              <w:spacing w:after="0"/>
              <w:rPr>
                <w:sz w:val="20"/>
                <w:szCs w:val="20"/>
                <w:color w:val="auto"/>
              </w:rPr>
            </w:pPr>
            <w:r>
              <w:rPr>
                <w:rFonts w:ascii="Courier New" w:cs="Courier New" w:eastAsia="Courier New" w:hAnsi="Courier New"/>
                <w:sz w:val="17"/>
                <w:szCs w:val="17"/>
                <w:color w:val="auto"/>
              </w:rPr>
              <w:t>Total current assets</w:t>
            </w:r>
          </w:p>
        </w:tc>
        <w:tc>
          <w:tcPr>
            <w:tcW w:w="1060" w:type="dxa"/>
            <w:vAlign w:val="bottom"/>
          </w:tcPr>
          <w:p>
            <w:pPr>
              <w:spacing w:after="0"/>
              <w:rPr>
                <w:sz w:val="17"/>
                <w:szCs w:val="17"/>
                <w:color w:val="auto"/>
              </w:rPr>
            </w:pP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w w:val="97"/>
              </w:rPr>
              <w:t>1,751,952</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1,627,742</w:t>
            </w:r>
          </w:p>
        </w:tc>
      </w:tr>
      <w:tr>
        <w:trPr>
          <w:trHeight w:val="392"/>
        </w:trPr>
        <w:tc>
          <w:tcPr>
            <w:tcW w:w="7200" w:type="dxa"/>
            <w:vAlign w:val="bottom"/>
          </w:tcPr>
          <w:p>
            <w:pPr>
              <w:spacing w:after="0"/>
              <w:rPr>
                <w:sz w:val="20"/>
                <w:szCs w:val="20"/>
                <w:color w:val="auto"/>
              </w:rPr>
            </w:pPr>
            <w:r>
              <w:rPr>
                <w:rFonts w:ascii="Courier New" w:cs="Courier New" w:eastAsia="Courier New" w:hAnsi="Courier New"/>
                <w:sz w:val="17"/>
                <w:szCs w:val="17"/>
                <w:color w:val="auto"/>
              </w:rPr>
              <w:t>Equipment, vehicles and leasehold improvements, net</w:t>
            </w:r>
          </w:p>
        </w:tc>
        <w:tc>
          <w:tcPr>
            <w:tcW w:w="1060" w:type="dxa"/>
            <w:vAlign w:val="bottom"/>
          </w:tcPr>
          <w:p>
            <w:pPr>
              <w:spacing w:after="0"/>
              <w:rPr>
                <w:sz w:val="24"/>
                <w:szCs w:val="24"/>
                <w:color w:val="auto"/>
              </w:rPr>
            </w:pP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168,338</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181,812</w:t>
            </w:r>
          </w:p>
        </w:tc>
      </w:tr>
      <w:tr>
        <w:trPr>
          <w:trHeight w:val="196"/>
        </w:trPr>
        <w:tc>
          <w:tcPr>
            <w:tcW w:w="7200" w:type="dxa"/>
            <w:vAlign w:val="bottom"/>
          </w:tcPr>
          <w:p>
            <w:pPr>
              <w:spacing w:after="0"/>
              <w:rPr>
                <w:sz w:val="20"/>
                <w:szCs w:val="20"/>
                <w:color w:val="auto"/>
              </w:rPr>
            </w:pPr>
            <w:r>
              <w:rPr>
                <w:rFonts w:ascii="Courier New" w:cs="Courier New" w:eastAsia="Courier New" w:hAnsi="Courier New"/>
                <w:sz w:val="17"/>
                <w:szCs w:val="17"/>
                <w:color w:val="auto"/>
              </w:rPr>
              <w:t>Goodwill and other intangible assets, net</w:t>
            </w:r>
          </w:p>
        </w:tc>
        <w:tc>
          <w:tcPr>
            <w:tcW w:w="1060" w:type="dxa"/>
            <w:vAlign w:val="bottom"/>
          </w:tcPr>
          <w:p>
            <w:pPr>
              <w:spacing w:after="0"/>
              <w:rPr>
                <w:sz w:val="17"/>
                <w:szCs w:val="17"/>
                <w:color w:val="auto"/>
              </w:rPr>
            </w:pP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w w:val="97"/>
              </w:rPr>
              <w:t>1,119,876</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1,129,258</w:t>
            </w:r>
          </w:p>
        </w:tc>
      </w:tr>
      <w:tr>
        <w:trPr>
          <w:trHeight w:val="196"/>
        </w:trPr>
        <w:tc>
          <w:tcPr>
            <w:tcW w:w="7200" w:type="dxa"/>
            <w:vAlign w:val="bottom"/>
          </w:tcPr>
          <w:p>
            <w:pPr>
              <w:spacing w:after="0"/>
              <w:rPr>
                <w:sz w:val="20"/>
                <w:szCs w:val="20"/>
                <w:color w:val="auto"/>
              </w:rPr>
            </w:pPr>
            <w:r>
              <w:rPr>
                <w:rFonts w:ascii="Courier New" w:cs="Courier New" w:eastAsia="Courier New" w:hAnsi="Courier New"/>
                <w:sz w:val="17"/>
                <w:szCs w:val="17"/>
                <w:color w:val="auto"/>
              </w:rPr>
              <w:t>Other noncurrent assets</w:t>
            </w:r>
          </w:p>
        </w:tc>
        <w:tc>
          <w:tcPr>
            <w:tcW w:w="1060" w:type="dxa"/>
            <w:vAlign w:val="bottom"/>
          </w:tcPr>
          <w:p>
            <w:pPr>
              <w:spacing w:after="0"/>
              <w:rPr>
                <w:sz w:val="17"/>
                <w:szCs w:val="17"/>
                <w:color w:val="auto"/>
              </w:rPr>
            </w:pP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262,475</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263,656</w:t>
            </w:r>
          </w:p>
        </w:tc>
      </w:tr>
      <w:tr>
        <w:trPr>
          <w:trHeight w:val="196"/>
        </w:trPr>
        <w:tc>
          <w:tcPr>
            <w:tcW w:w="7200" w:type="dxa"/>
            <w:vAlign w:val="bottom"/>
          </w:tcPr>
          <w:p>
            <w:pPr>
              <w:spacing w:after="0"/>
              <w:rPr>
                <w:sz w:val="17"/>
                <w:szCs w:val="17"/>
                <w:color w:val="auto"/>
              </w:rPr>
            </w:pPr>
          </w:p>
        </w:tc>
        <w:tc>
          <w:tcPr>
            <w:tcW w:w="244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196"/>
        </w:trPr>
        <w:tc>
          <w:tcPr>
            <w:tcW w:w="720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17"/>
                <w:szCs w:val="17"/>
                <w:color w:val="auto"/>
              </w:rPr>
            </w:pPr>
          </w:p>
        </w:tc>
        <w:tc>
          <w:tcPr>
            <w:tcW w:w="188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r>
      <w:tr>
        <w:trPr>
          <w:trHeight w:val="196"/>
        </w:trPr>
        <w:tc>
          <w:tcPr>
            <w:tcW w:w="7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w w:val="97"/>
              </w:rPr>
              <w:t>3,302,641</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3,202,468</w:t>
            </w:r>
          </w:p>
        </w:tc>
      </w:tr>
      <w:tr>
        <w:trPr>
          <w:trHeight w:val="196"/>
        </w:trPr>
        <w:tc>
          <w:tcPr>
            <w:tcW w:w="7200" w:type="dxa"/>
            <w:vAlign w:val="bottom"/>
          </w:tcPr>
          <w:p>
            <w:pPr>
              <w:spacing w:after="0"/>
              <w:rPr>
                <w:sz w:val="17"/>
                <w:szCs w:val="17"/>
                <w:color w:val="auto"/>
              </w:rPr>
            </w:pPr>
          </w:p>
        </w:tc>
        <w:tc>
          <w:tcPr>
            <w:tcW w:w="244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392"/>
        </w:trPr>
        <w:tc>
          <w:tcPr>
            <w:tcW w:w="720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92"/>
        </w:trPr>
        <w:tc>
          <w:tcPr>
            <w:tcW w:w="720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96"/>
        </w:trPr>
        <w:tc>
          <w:tcPr>
            <w:tcW w:w="7200" w:type="dxa"/>
            <w:vAlign w:val="bottom"/>
          </w:tcPr>
          <w:p>
            <w:pPr>
              <w:spacing w:after="0"/>
              <w:rPr>
                <w:sz w:val="20"/>
                <w:szCs w:val="20"/>
                <w:color w:val="auto"/>
              </w:rPr>
            </w:pPr>
            <w:r>
              <w:rPr>
                <w:rFonts w:ascii="Courier New" w:cs="Courier New" w:eastAsia="Courier New" w:hAnsi="Courier New"/>
                <w:sz w:val="17"/>
                <w:szCs w:val="17"/>
                <w:color w:val="auto"/>
              </w:rPr>
              <w:t>Accounts payable and accruals</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17"/>
                <w:szCs w:val="17"/>
                <w:color w:val="auto"/>
              </w:rPr>
            </w:pPr>
          </w:p>
        </w:tc>
        <w:tc>
          <w:tcPr>
            <w:tcW w:w="188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r>
      <w:tr>
        <w:trPr>
          <w:trHeight w:val="196"/>
        </w:trPr>
        <w:tc>
          <w:tcPr>
            <w:tcW w:w="7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475,638</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462,276</w:t>
            </w:r>
          </w:p>
        </w:tc>
      </w:tr>
      <w:tr>
        <w:trPr>
          <w:trHeight w:val="196"/>
        </w:trPr>
        <w:tc>
          <w:tcPr>
            <w:tcW w:w="7200" w:type="dxa"/>
            <w:vAlign w:val="bottom"/>
          </w:tcPr>
          <w:p>
            <w:pPr>
              <w:spacing w:after="0"/>
              <w:rPr>
                <w:sz w:val="20"/>
                <w:szCs w:val="20"/>
                <w:color w:val="auto"/>
              </w:rPr>
            </w:pPr>
            <w:r>
              <w:rPr>
                <w:rFonts w:ascii="Courier New" w:cs="Courier New" w:eastAsia="Courier New" w:hAnsi="Courier New"/>
                <w:sz w:val="17"/>
                <w:szCs w:val="17"/>
                <w:color w:val="auto"/>
              </w:rPr>
              <w:t>Short-term portion of capital lease obligations and other financing</w:t>
            </w: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196"/>
        </w:trPr>
        <w:tc>
          <w:tcPr>
            <w:tcW w:w="7200" w:type="dxa"/>
            <w:vAlign w:val="bottom"/>
          </w:tcPr>
          <w:p>
            <w:pPr>
              <w:ind w:left="320"/>
              <w:spacing w:after="0"/>
              <w:rPr>
                <w:sz w:val="20"/>
                <w:szCs w:val="20"/>
                <w:color w:val="auto"/>
              </w:rPr>
            </w:pPr>
            <w:r>
              <w:rPr>
                <w:rFonts w:ascii="Courier New" w:cs="Courier New" w:eastAsia="Courier New" w:hAnsi="Courier New"/>
                <w:sz w:val="17"/>
                <w:szCs w:val="17"/>
                <w:color w:val="auto"/>
              </w:rPr>
              <w:t>arrangements</w:t>
            </w:r>
          </w:p>
        </w:tc>
        <w:tc>
          <w:tcPr>
            <w:tcW w:w="1060" w:type="dxa"/>
            <w:vAlign w:val="bottom"/>
          </w:tcPr>
          <w:p>
            <w:pPr>
              <w:spacing w:after="0"/>
              <w:rPr>
                <w:sz w:val="17"/>
                <w:szCs w:val="17"/>
                <w:color w:val="auto"/>
              </w:rPr>
            </w:pP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4,777</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8,480</w:t>
            </w:r>
          </w:p>
        </w:tc>
      </w:tr>
      <w:tr>
        <w:trPr>
          <w:trHeight w:val="196"/>
        </w:trPr>
        <w:tc>
          <w:tcPr>
            <w:tcW w:w="7200" w:type="dxa"/>
            <w:vAlign w:val="bottom"/>
          </w:tcPr>
          <w:p>
            <w:pPr>
              <w:spacing w:after="0"/>
              <w:rPr>
                <w:sz w:val="20"/>
                <w:szCs w:val="20"/>
                <w:color w:val="auto"/>
              </w:rPr>
            </w:pPr>
            <w:r>
              <w:rPr>
                <w:rFonts w:ascii="Courier New" w:cs="Courier New" w:eastAsia="Courier New" w:hAnsi="Courier New"/>
                <w:sz w:val="17"/>
                <w:szCs w:val="17"/>
                <w:color w:val="auto"/>
              </w:rPr>
              <w:t>Deferred revenue</w:t>
            </w:r>
          </w:p>
        </w:tc>
        <w:tc>
          <w:tcPr>
            <w:tcW w:w="1060" w:type="dxa"/>
            <w:vAlign w:val="bottom"/>
          </w:tcPr>
          <w:p>
            <w:pPr>
              <w:spacing w:after="0"/>
              <w:rPr>
                <w:sz w:val="17"/>
                <w:szCs w:val="17"/>
                <w:color w:val="auto"/>
              </w:rPr>
            </w:pP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208,094</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216,770</w:t>
            </w:r>
          </w:p>
        </w:tc>
      </w:tr>
      <w:tr>
        <w:trPr>
          <w:trHeight w:val="196"/>
        </w:trPr>
        <w:tc>
          <w:tcPr>
            <w:tcW w:w="7200" w:type="dxa"/>
            <w:vAlign w:val="bottom"/>
          </w:tcPr>
          <w:p>
            <w:pPr>
              <w:spacing w:after="0"/>
              <w:rPr>
                <w:sz w:val="20"/>
                <w:szCs w:val="20"/>
                <w:color w:val="auto"/>
              </w:rPr>
            </w:pPr>
            <w:r>
              <w:rPr>
                <w:rFonts w:ascii="Courier New" w:cs="Courier New" w:eastAsia="Courier New" w:hAnsi="Courier New"/>
                <w:sz w:val="17"/>
                <w:szCs w:val="17"/>
                <w:color w:val="auto"/>
              </w:rPr>
              <w:t>Deferred income taxes and taxes payable</w:t>
            </w:r>
          </w:p>
        </w:tc>
        <w:tc>
          <w:tcPr>
            <w:tcW w:w="1060" w:type="dxa"/>
            <w:vAlign w:val="bottom"/>
          </w:tcPr>
          <w:p>
            <w:pPr>
              <w:spacing w:after="0"/>
              <w:rPr>
                <w:sz w:val="17"/>
                <w:szCs w:val="17"/>
                <w:color w:val="auto"/>
              </w:rPr>
            </w:pP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176,222</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171,377</w:t>
            </w:r>
          </w:p>
        </w:tc>
      </w:tr>
      <w:tr>
        <w:trPr>
          <w:trHeight w:val="196"/>
        </w:trPr>
        <w:tc>
          <w:tcPr>
            <w:tcW w:w="7200" w:type="dxa"/>
            <w:vAlign w:val="bottom"/>
          </w:tcPr>
          <w:p>
            <w:pPr>
              <w:spacing w:after="0"/>
              <w:rPr>
                <w:sz w:val="17"/>
                <w:szCs w:val="17"/>
                <w:color w:val="auto"/>
              </w:rPr>
            </w:pPr>
          </w:p>
        </w:tc>
        <w:tc>
          <w:tcPr>
            <w:tcW w:w="244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196"/>
        </w:trPr>
        <w:tc>
          <w:tcPr>
            <w:tcW w:w="7200" w:type="dxa"/>
            <w:vAlign w:val="bottom"/>
          </w:tcPr>
          <w:p>
            <w:pPr>
              <w:ind w:left="420"/>
              <w:spacing w:after="0"/>
              <w:rPr>
                <w:sz w:val="20"/>
                <w:szCs w:val="20"/>
                <w:color w:val="auto"/>
              </w:rPr>
            </w:pPr>
            <w:r>
              <w:rPr>
                <w:rFonts w:ascii="Courier New" w:cs="Courier New" w:eastAsia="Courier New" w:hAnsi="Courier New"/>
                <w:sz w:val="17"/>
                <w:szCs w:val="17"/>
                <w:color w:val="auto"/>
              </w:rPr>
              <w:t>Total current liabilities</w:t>
            </w:r>
          </w:p>
        </w:tc>
        <w:tc>
          <w:tcPr>
            <w:tcW w:w="1060" w:type="dxa"/>
            <w:vAlign w:val="bottom"/>
          </w:tcPr>
          <w:p>
            <w:pPr>
              <w:spacing w:after="0"/>
              <w:rPr>
                <w:sz w:val="17"/>
                <w:szCs w:val="17"/>
                <w:color w:val="auto"/>
              </w:rPr>
            </w:pP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864,731</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858,903</w:t>
            </w:r>
          </w:p>
        </w:tc>
      </w:tr>
      <w:tr>
        <w:trPr>
          <w:trHeight w:val="196"/>
        </w:trPr>
        <w:tc>
          <w:tcPr>
            <w:tcW w:w="7200" w:type="dxa"/>
            <w:vAlign w:val="bottom"/>
          </w:tcPr>
          <w:p>
            <w:pPr>
              <w:spacing w:after="0"/>
              <w:rPr>
                <w:sz w:val="20"/>
                <w:szCs w:val="20"/>
                <w:color w:val="auto"/>
              </w:rPr>
            </w:pPr>
            <w:r>
              <w:rPr>
                <w:rFonts w:ascii="Courier New" w:cs="Courier New" w:eastAsia="Courier New" w:hAnsi="Courier New"/>
                <w:sz w:val="17"/>
                <w:szCs w:val="17"/>
                <w:color w:val="auto"/>
              </w:rPr>
              <w:t>0.50% Convertible notes</w:t>
            </w:r>
          </w:p>
        </w:tc>
        <w:tc>
          <w:tcPr>
            <w:tcW w:w="1060" w:type="dxa"/>
            <w:vAlign w:val="bottom"/>
          </w:tcPr>
          <w:p>
            <w:pPr>
              <w:spacing w:after="0"/>
              <w:rPr>
                <w:sz w:val="17"/>
                <w:szCs w:val="17"/>
                <w:color w:val="auto"/>
              </w:rPr>
            </w:pP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450,000</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450,000</w:t>
            </w:r>
          </w:p>
        </w:tc>
      </w:tr>
      <w:tr>
        <w:trPr>
          <w:trHeight w:val="196"/>
        </w:trPr>
        <w:tc>
          <w:tcPr>
            <w:tcW w:w="7200" w:type="dxa"/>
            <w:vAlign w:val="bottom"/>
          </w:tcPr>
          <w:p>
            <w:pPr>
              <w:spacing w:after="0"/>
              <w:rPr>
                <w:sz w:val="20"/>
                <w:szCs w:val="20"/>
                <w:color w:val="auto"/>
              </w:rPr>
            </w:pPr>
            <w:r>
              <w:rPr>
                <w:rFonts w:ascii="Courier New" w:cs="Courier New" w:eastAsia="Courier New" w:hAnsi="Courier New"/>
                <w:sz w:val="17"/>
                <w:szCs w:val="17"/>
                <w:color w:val="auto"/>
              </w:rPr>
              <w:t>Noncurrent liabilities and other</w:t>
            </w:r>
          </w:p>
        </w:tc>
        <w:tc>
          <w:tcPr>
            <w:tcW w:w="1060" w:type="dxa"/>
            <w:vAlign w:val="bottom"/>
          </w:tcPr>
          <w:p>
            <w:pPr>
              <w:spacing w:after="0"/>
              <w:rPr>
                <w:sz w:val="17"/>
                <w:szCs w:val="17"/>
                <w:color w:val="auto"/>
              </w:rPr>
            </w:pP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232,943</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237,113</w:t>
            </w:r>
          </w:p>
        </w:tc>
      </w:tr>
      <w:tr>
        <w:trPr>
          <w:trHeight w:val="196"/>
        </w:trPr>
        <w:tc>
          <w:tcPr>
            <w:tcW w:w="720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060" w:type="dxa"/>
            <w:vAlign w:val="bottom"/>
          </w:tcPr>
          <w:p>
            <w:pPr>
              <w:spacing w:after="0"/>
              <w:rPr>
                <w:sz w:val="17"/>
                <w:szCs w:val="17"/>
                <w:color w:val="auto"/>
              </w:rPr>
            </w:pP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w w:val="97"/>
              </w:rPr>
              <w:t>1,754,967</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1,656,452</w:t>
            </w:r>
          </w:p>
        </w:tc>
      </w:tr>
      <w:tr>
        <w:trPr>
          <w:trHeight w:val="196"/>
        </w:trPr>
        <w:tc>
          <w:tcPr>
            <w:tcW w:w="7200" w:type="dxa"/>
            <w:vAlign w:val="bottom"/>
          </w:tcPr>
          <w:p>
            <w:pPr>
              <w:spacing w:after="0"/>
              <w:rPr>
                <w:sz w:val="17"/>
                <w:szCs w:val="17"/>
                <w:color w:val="auto"/>
              </w:rPr>
            </w:pPr>
          </w:p>
        </w:tc>
        <w:tc>
          <w:tcPr>
            <w:tcW w:w="244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ind w:left="160"/>
              <w:spacing w:after="0"/>
              <w:rPr>
                <w:sz w:val="20"/>
                <w:szCs w:val="20"/>
                <w:color w:val="auto"/>
              </w:rPr>
            </w:pPr>
            <w:r>
              <w:rPr>
                <w:rFonts w:ascii="Courier New" w:cs="Courier New" w:eastAsia="Courier New" w:hAnsi="Courier New"/>
                <w:sz w:val="17"/>
                <w:szCs w:val="17"/>
                <w:color w:val="auto"/>
                <w:w w:val="98"/>
              </w:rPr>
              <w:t>-----------------</w:t>
            </w:r>
          </w:p>
        </w:tc>
      </w:tr>
      <w:tr>
        <w:trPr>
          <w:trHeight w:val="196"/>
        </w:trPr>
        <w:tc>
          <w:tcPr>
            <w:tcW w:w="7200" w:type="dxa"/>
            <w:vAlign w:val="bottom"/>
          </w:tcPr>
          <w:p>
            <w:pPr>
              <w:spacing w:after="0"/>
              <w:rPr>
                <w:sz w:val="20"/>
                <w:szCs w:val="20"/>
                <w:color w:val="auto"/>
              </w:rPr>
            </w:pPr>
            <w:r>
              <w:rPr>
                <w:rFonts w:ascii="Courier New" w:cs="Courier New" w:eastAsia="Courier New" w:hAnsi="Courier New"/>
                <w:sz w:val="17"/>
                <w:szCs w:val="17"/>
                <w:color w:val="auto"/>
              </w:rPr>
              <w:t>Total liabilities and shareholders' equity</w:t>
            </w:r>
          </w:p>
        </w:tc>
        <w:tc>
          <w:tcPr>
            <w:tcW w:w="10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17"/>
                <w:szCs w:val="17"/>
                <w:color w:val="auto"/>
              </w:rPr>
            </w:pPr>
          </w:p>
        </w:tc>
        <w:tc>
          <w:tcPr>
            <w:tcW w:w="188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r>
      <w:tr>
        <w:trPr>
          <w:trHeight w:val="196"/>
        </w:trPr>
        <w:tc>
          <w:tcPr>
            <w:tcW w:w="7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jc w:val="right"/>
              <w:ind w:right="375"/>
              <w:spacing w:after="0"/>
              <w:rPr>
                <w:sz w:val="20"/>
                <w:szCs w:val="20"/>
                <w:color w:val="auto"/>
              </w:rPr>
            </w:pPr>
            <w:r>
              <w:rPr>
                <w:rFonts w:ascii="Courier New" w:cs="Courier New" w:eastAsia="Courier New" w:hAnsi="Courier New"/>
                <w:sz w:val="17"/>
                <w:szCs w:val="17"/>
                <w:color w:val="auto"/>
                <w:w w:val="97"/>
              </w:rPr>
              <w:t>3,302,641</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3,202,468</w:t>
            </w:r>
          </w:p>
        </w:tc>
      </w:tr>
      <w:tr>
        <w:trPr>
          <w:trHeight w:val="196"/>
        </w:trPr>
        <w:tc>
          <w:tcPr>
            <w:tcW w:w="7200" w:type="dxa"/>
            <w:vAlign w:val="bottom"/>
          </w:tcPr>
          <w:p>
            <w:pPr>
              <w:spacing w:after="0"/>
              <w:rPr>
                <w:sz w:val="17"/>
                <w:szCs w:val="17"/>
                <w:color w:val="auto"/>
              </w:rPr>
            </w:pPr>
          </w:p>
        </w:tc>
        <w:tc>
          <w:tcPr>
            <w:tcW w:w="244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ind w:left="160"/>
              <w:spacing w:after="0"/>
              <w:rPr>
                <w:sz w:val="20"/>
                <w:szCs w:val="20"/>
                <w:color w:val="auto"/>
              </w:rPr>
            </w:pPr>
            <w:r>
              <w:rPr>
                <w:rFonts w:ascii="Courier New" w:cs="Courier New" w:eastAsia="Courier New" w:hAnsi="Courier New"/>
                <w:sz w:val="17"/>
                <w:szCs w:val="17"/>
                <w:color w:val="auto"/>
                <w:w w:val="98"/>
              </w:rPr>
              <w:t>=================</w:t>
            </w:r>
          </w:p>
        </w:tc>
      </w:tr>
    </w:tbl>
    <w:p>
      <w:pPr>
        <w:spacing w:after="0" w:line="1" w:lineRule="exact"/>
        <w:rPr>
          <w:sz w:val="20"/>
          <w:szCs w:val="20"/>
          <w:color w:val="auto"/>
        </w:rPr>
      </w:pPr>
    </w:p>
    <w:sectPr>
      <w:pgSz w:w="11900" w:h="16838" w:orient="portrait"/>
      <w:cols w:equalWidth="0" w:num="1">
        <w:col w:w="11520"/>
      </w:cols>
      <w:pgMar w:left="240" w:top="70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2019-12-14T20:08:59Z</dcterms:created>
  <dcterms:modified xsi:type="dcterms:W3CDTF">2019-12-14T20:08:59Z</dcterms:modified>
</cp:coreProperties>
</file>