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February 2024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Hirzel House, Smith Street,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 Peter Port, Island of Guernsey, GY1 2NG</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Amdocs, Inc.</w:t>
      </w:r>
    </w:p>
    <w:p>
      <w:pPr>
        <w:jc w:val="center"/>
        <w:spacing w:after="0"/>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54" w:lineRule="exact"/>
        <w:rPr>
          <w:sz w:val="24"/>
          <w:szCs w:val="24"/>
          <w:color w:val="auto"/>
        </w:rPr>
      </w:pPr>
    </w:p>
    <w:p>
      <w:pPr>
        <w:ind w:left="3500"/>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145415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175260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right="69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February 6, 2024 Amdocs Limited (“Amdocs”) issued a press release announcing financial results for the quarter ended December 31, 2023. A copy of the press release and the accompanying presentation are furnished as Exhibits 99.1 and 99.2 to this Report of Foreign Private Issuer on Form 6-K.</w:t>
      </w:r>
    </w:p>
    <w:p>
      <w:pPr>
        <w:spacing w:after="0" w:line="10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1"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EXHIBIT INDEX</w:t>
            </w:r>
          </w:p>
        </w:tc>
        <w:tc>
          <w:tcPr>
            <w:tcW w:w="0" w:type="dxa"/>
            <w:vAlign w:val="bottom"/>
          </w:tcPr>
          <w:p>
            <w:pPr>
              <w:spacing w:after="0"/>
              <w:rPr>
                <w:sz w:val="1"/>
                <w:szCs w:val="1"/>
                <w:color w:val="auto"/>
              </w:rPr>
            </w:pPr>
          </w:p>
        </w:tc>
      </w:tr>
      <w:tr>
        <w:trPr>
          <w:trHeight w:val="260"/>
        </w:trPr>
        <w:tc>
          <w:tcPr>
            <w:tcW w:w="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w:t>
            </w:r>
          </w:p>
        </w:tc>
        <w:tc>
          <w:tcPr>
            <w:tcW w:w="68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DESCRIPTION</w:t>
            </w:r>
          </w:p>
        </w:tc>
        <w:tc>
          <w:tcPr>
            <w:tcW w:w="0" w:type="dxa"/>
            <w:vAlign w:val="bottom"/>
          </w:tcPr>
          <w:p>
            <w:pPr>
              <w:spacing w:after="0"/>
              <w:rPr>
                <w:sz w:val="1"/>
                <w:szCs w:val="1"/>
                <w:color w:val="auto"/>
              </w:rPr>
            </w:pPr>
          </w:p>
        </w:tc>
      </w:tr>
      <w:tr>
        <w:trPr>
          <w:trHeight w:val="119"/>
        </w:trPr>
        <w:tc>
          <w:tcPr>
            <w:tcW w:w="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w:t>
            </w:r>
          </w:p>
        </w:tc>
        <w:tc>
          <w:tcPr>
            <w:tcW w:w="6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460" w:type="dxa"/>
            <w:vAlign w:val="bottom"/>
          </w:tcPr>
          <w:p>
            <w:pPr>
              <w:spacing w:after="0"/>
              <w:rPr>
                <w:sz w:val="15"/>
                <w:szCs w:val="15"/>
                <w:color w:val="auto"/>
              </w:rPr>
            </w:pPr>
          </w:p>
        </w:tc>
        <w:tc>
          <w:tcPr>
            <w:tcW w:w="6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0000EE"/>
              </w:rPr>
              <w:t>Amdocs Limited Press Release Announcing Q1 Earnings, dated February 6, 2024</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60" w:type="dxa"/>
            <w:vAlign w:val="bottom"/>
          </w:tcPr>
          <w:p>
            <w:pPr>
              <w:spacing w:after="0"/>
              <w:rPr>
                <w:sz w:val="18"/>
                <w:szCs w:val="18"/>
                <w:color w:val="auto"/>
              </w:rPr>
            </w:pPr>
          </w:p>
        </w:tc>
        <w:tc>
          <w:tcPr>
            <w:tcW w:w="1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Fiscal Q1 2024 Earnings Presentation</w:t>
            </w:r>
          </w:p>
        </w:tc>
        <w:tc>
          <w:tcPr>
            <w:tcW w:w="2220" w:type="dxa"/>
            <w:vAlign w:val="bottom"/>
            <w:tcBorders>
              <w:top w:val="single" w:sz="8" w:color="0000EE"/>
            </w:tcBorders>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 LIMITED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Matthew E. Smith</w:t>
      </w:r>
    </w:p>
    <w:p>
      <w:pPr>
        <w:spacing w:after="0" w:line="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Secretary and Authorized Signatory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February 6, 2024</w:t>
      </w:r>
    </w:p>
    <w:p>
      <w:pPr>
        <w:sectPr>
          <w:pgSz w:w="11900" w:h="16838" w:orient="portrait"/>
          <w:cols w:equalWidth="0" w:num="1">
            <w:col w:w="9019"/>
          </w:cols>
          <w:pgMar w:left="1440" w:top="229"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5024755" cy="1203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24755" cy="120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Amdocs Limited Reports First Quarter Fiscal 2024 Results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Record Quarterly Revenue of $1.25 Billion, up Roughly 5% YoY as Reported and in Constant Currency</w:t>
      </w:r>
      <w:r>
        <w:rPr>
          <w:rFonts w:ascii="Times New Roman" w:cs="Times New Roman" w:eastAsia="Times New Roman" w:hAnsi="Times New Roman"/>
          <w:sz w:val="18"/>
          <w:szCs w:val="18"/>
          <w:i w:val="1"/>
          <w:iCs w:val="1"/>
          <w:color w:val="auto"/>
          <w:vertAlign w:val="superscript"/>
        </w:rPr>
        <w:t>(1)</w:t>
      </w:r>
    </w:p>
    <w:p>
      <w:pPr>
        <w:jc w:val="center"/>
        <w:spacing w:after="0"/>
        <w:rPr>
          <w:sz w:val="20"/>
          <w:szCs w:val="20"/>
          <w:color w:val="auto"/>
        </w:rPr>
      </w:pPr>
      <w:r>
        <w:rPr>
          <w:rFonts w:ascii="Times New Roman" w:cs="Times New Roman" w:eastAsia="Times New Roman" w:hAnsi="Times New Roman"/>
          <w:sz w:val="13"/>
          <w:szCs w:val="13"/>
          <w:i w:val="1"/>
          <w:iCs w:val="1"/>
          <w:color w:val="auto"/>
        </w:rPr>
        <w:t>Record 12-Month Backlog of $4.21 Billion, up Roughly 3% YoY and $60 Million QoQ</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Reiterates Fiscal 2024 Revenue Growth of Roughly 1%-5% YoY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as Reported and in Constant Currency</w:t>
      </w:r>
      <w:r>
        <w:rPr>
          <w:rFonts w:ascii="Times New Roman" w:cs="Times New Roman" w:eastAsia="Times New Roman" w:hAnsi="Times New Roman"/>
          <w:sz w:val="18"/>
          <w:szCs w:val="18"/>
          <w:i w:val="1"/>
          <w:iCs w:val="1"/>
          <w:color w:val="auto"/>
          <w:vertAlign w:val="superscript"/>
        </w:rPr>
        <w:t>(1)</w:t>
      </w:r>
    </w:p>
    <w:p>
      <w:pPr>
        <w:jc w:val="center"/>
        <w:spacing w:after="0"/>
        <w:rPr>
          <w:sz w:val="20"/>
          <w:szCs w:val="20"/>
          <w:color w:val="auto"/>
        </w:rPr>
      </w:pPr>
      <w:r>
        <w:rPr>
          <w:rFonts w:ascii="Times New Roman" w:cs="Times New Roman" w:eastAsia="Times New Roman" w:hAnsi="Times New Roman"/>
          <w:sz w:val="13"/>
          <w:szCs w:val="13"/>
          <w:i w:val="1"/>
          <w:iCs w:val="1"/>
          <w:color w:val="auto"/>
        </w:rPr>
        <w:t>Reiterates Double-digit Diluted Earnings Per Share Growth in Fiscal 2024, Supported by Accelerated Profitability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Fiscal 2024 Highlights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48" w:lineRule="exact"/>
        <w:rPr>
          <w:sz w:val="20"/>
          <w:szCs w:val="20"/>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revenue of $1,245 million, up 5.0% as reported and up 4.8% in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revenue was at the midpoint of</w:t>
      </w:r>
    </w:p>
    <w:p>
      <w:pPr>
        <w:ind w:left="1320" w:right="71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$1,225-$1,265 million guidance range and includes an unfavorable impact from foreign currency movements of approximately $5 million relative to the fourth quarter of fiscal 2023</w:t>
      </w:r>
    </w:p>
    <w:p>
      <w:pPr>
        <w:spacing w:after="0" w:line="69"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growth across all regions, including record revenue of $838 million in North America, up 3.1%</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managed services revenue of $722 million, equivalent to approximately 58% of total revenue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$1.26, at the high end of the guidance range of $1.18-$1.26</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$1.56, at the midpoint of the guidance range of $1.53-$1.59</w:t>
      </w:r>
    </w:p>
    <w:p>
      <w:pPr>
        <w:spacing w:after="0" w:line="87" w:lineRule="exact"/>
        <w:rPr>
          <w:rFonts w:ascii="Times New Roman" w:cs="Times New Roman" w:eastAsia="Times New Roman" w:hAnsi="Times New Roman"/>
          <w:sz w:val="13"/>
          <w:szCs w:val="13"/>
          <w:color w:val="auto"/>
        </w:rPr>
      </w:pPr>
    </w:p>
    <w:p>
      <w:pPr>
        <w:jc w:val="both"/>
        <w:ind w:left="1320" w:right="899" w:hanging="303"/>
        <w:spacing w:after="0" w:line="255"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income of $184 million; GAAP operating margin of 14.8%, up 210 basis points as compared to last year’s first fiscal quarter and up 360 basis points sequentially, primarily reflecting restructuring charges of $25 million recorded in last year’s first fiscal quarter and $46 million sequentially</w:t>
      </w:r>
    </w:p>
    <w:p>
      <w:pPr>
        <w:spacing w:after="0" w:line="148"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on a constant currency basis assumes exchange rates in the current period were unchanged from the prior period</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revenue growth for the full year fiscal 2024 of 1.1%-5.1% as reported and 1.2%-5.2% on a constant currency basis</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Selected Financial Metrics tables below (figures may not sum because of rounding)</w:t>
      </w:r>
    </w:p>
    <w:p>
      <w:pPr>
        <w:sectPr>
          <w:pgSz w:w="11900" w:h="16838" w:orient="portrait"/>
          <w:cols w:equalWidth="0" w:num="1">
            <w:col w:w="9019"/>
          </w:cols>
          <w:pgMar w:left="1440" w:top="125" w:right="1440" w:bottom="1440" w:gutter="0" w:footer="0" w:header="0"/>
        </w:sectPr>
      </w:pPr>
    </w:p>
    <w:bookmarkStart w:id="5" w:name="page6"/>
    <w:bookmarkEnd w:id="5"/>
    <w:p>
      <w:pPr>
        <w:ind w:left="1320" w:right="77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Non-GAAP operating income of $225 million; non-GAAP operating margin of 18.1%, up 40 basis points as compared to last year’s first fiscal quarter and up 30 basis points sequentially, reflecting a continued focus on operational excellence</w:t>
      </w:r>
    </w:p>
    <w:p>
      <w:pPr>
        <w:spacing w:after="0" w:line="55" w:lineRule="exact"/>
        <w:rPr>
          <w:rFonts w:ascii="Times New Roman" w:cs="Times New Roman" w:eastAsia="Times New Roman" w:hAnsi="Times New Roman"/>
          <w:sz w:val="13"/>
          <w:szCs w:val="13"/>
          <w:color w:val="auto"/>
        </w:rPr>
      </w:pPr>
    </w:p>
    <w:p>
      <w:pPr>
        <w:ind w:left="1320" w:right="799" w:hanging="303"/>
        <w:spacing w:after="0" w:line="221"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 of $139 million, comprised of cash flow from operations of $182 million, less $44 million in net capital expenditures and other</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including $16 million of restructuring payments; reiterates full year fiscal 2024 free cash outlook of $750 million, excluding restructuring payments</w:t>
      </w:r>
    </w:p>
    <w:p>
      <w:pPr>
        <w:spacing w:after="0" w:line="74"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Repurchased $159 million of ordinary shares during the first fiscal quarter</w:t>
      </w:r>
    </w:p>
    <w:p>
      <w:pPr>
        <w:spacing w:after="0" w:line="87" w:lineRule="exact"/>
        <w:rPr>
          <w:rFonts w:ascii="Times New Roman" w:cs="Times New Roman" w:eastAsia="Times New Roman" w:hAnsi="Times New Roman"/>
          <w:sz w:val="13"/>
          <w:szCs w:val="13"/>
          <w:color w:val="auto"/>
        </w:rPr>
      </w:pPr>
    </w:p>
    <w:p>
      <w:pPr>
        <w:ind w:left="1320" w:right="81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twelve-month backlog of $4.21 billion, up approximately $60 million sequentially and up approximately 3% as compared to last year’s first fiscal quarter</w:t>
      </w:r>
    </w:p>
    <w:p>
      <w:pPr>
        <w:spacing w:after="0" w:line="120"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JERSEY CITY, NJ – February 6, 2024 </w:t>
      </w:r>
      <w:r>
        <w:rPr>
          <w:rFonts w:ascii="Times New Roman" w:cs="Times New Roman" w:eastAsia="Times New Roman" w:hAnsi="Times New Roman"/>
          <w:sz w:val="13"/>
          <w:szCs w:val="13"/>
          <w:color w:val="auto"/>
        </w:rPr>
        <w:t>– Amdocs Limited (NASDAQ: DOX), a leading provider of software and services to communications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media companies, today reported operating results for the three months ended December 31, 2023.</w:t>
      </w:r>
    </w:p>
    <w:p>
      <w:pPr>
        <w:spacing w:after="0" w:line="121"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“Fiscal 2024 is off to a solid start as we leveraged our innovative product and service offering, and unique business model, to meet the strategic investment priorities of our customers. First quarter revenue was a record $1.25 billion, consistent with the midpoint of guidance and driven by year-over-year growth across all three of our operating regions. Twelve-month backlog of $4.21 billion was a record-high, accelerating by $60 million sequentially in Q1. We secured additional customer awards in support of multi-year modernization programs in North America, and strengthened our international presence with several key deals, including new logo wins such as Finetwork in Spain which selected Amdocs’ Digital Brands Suite as a Service. In cloud, strong sales momentum continued with numerous wins, including a cloud transformation and managed services award with NTT Infranet in Japan. Additionally, we accelerated our leading position as a Generative AI industry enabler, leveraging investments in Amdocs’ amAIz Gen AI framework and our strategic partnerships with Microsoft and NVIDIA to advance use cases with a growing list of flagship customers,” said Shuky Sheffer, president and chief executive officer of Amdocs Management Limited.</w:t>
      </w:r>
    </w:p>
    <w:p>
      <w:pPr>
        <w:sectPr>
          <w:pgSz w:w="11900" w:h="16838" w:orient="portrait"/>
          <w:cols w:equalWidth="0" w:num="1">
            <w:col w:w="9019"/>
          </w:cols>
          <w:pgMar w:left="1440" w:top="231" w:right="1440" w:bottom="1440" w:gutter="0" w:footer="0" w:header="0"/>
        </w:sectPr>
      </w:pPr>
    </w:p>
    <w:bookmarkStart w:id="6" w:name="page7"/>
    <w:bookmarkEnd w:id="6"/>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“Improved operating profitability was a notable highlight in Q1, driven by the ongoing adoption of automation, artificial intelligence, and other sophisticated tools. We also reinforced our reputation for execution, supporting a high number of project deployments which included major successful implementations at several large-scale customers worldwide that create the foundation for future business expansion. From an operational perspective, I am pleased to report a record quarter in managed services, primarily driven by cloud transformations and the ramp-up of activities under long-term agreements with new and existing customers,” said Tamar Rapaport-Dagim, chief financial officer &amp; chief operating officer of Amdocs Management Limited.</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2"/>
          <w:szCs w:val="12"/>
          <w:color w:val="auto"/>
        </w:rPr>
        <w:t>Sheffer concluded, “Looking ahead, we continue to see a rich pipeline of opportunities to help our customers modernize for cloud-based 5G, fixed wireless access and fiber networks, improved digital consumer and B2B experiences. Additionally, we are making significant progress in Generative AI, where we believe Amdocs is already established as the industry’s most dominant technology enabler. Overall, and while macro uncertainty and industry pressure remain mostly unchanged, we are reiterating our guidance for constant currency</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revenue growth of between 1.2% to 5.2% in fiscal 2024, which includes another year of expected strong double-digit growth in cloud. Moreover, our initiatives to accelerate profitability are on-track, positioning us to deliver a fourth straight year of double-digit earnings per share growth in fiscal 2024, based on the midpoint of our guidance range.”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 period)</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104"/>
        </w:trPr>
        <w:tc>
          <w:tcPr>
            <w:tcW w:w="4420" w:type="dxa"/>
            <w:vAlign w:val="bottom"/>
          </w:tcPr>
          <w:p>
            <w:pPr>
              <w:spacing w:after="0"/>
              <w:rPr>
                <w:sz w:val="9"/>
                <w:szCs w:val="9"/>
                <w:color w:val="auto"/>
              </w:rPr>
            </w:pPr>
          </w:p>
        </w:tc>
        <w:tc>
          <w:tcPr>
            <w:tcW w:w="1460" w:type="dxa"/>
            <w:vAlign w:val="bottom"/>
            <w:gridSpan w:val="4"/>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4420" w:type="dxa"/>
            <w:vAlign w:val="bottom"/>
          </w:tcPr>
          <w:p>
            <w:pPr>
              <w:spacing w:after="0"/>
              <w:rPr>
                <w:sz w:val="10"/>
                <w:szCs w:val="10"/>
                <w:color w:val="auto"/>
              </w:rPr>
            </w:pP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94"/>
        </w:trPr>
        <w:tc>
          <w:tcPr>
            <w:tcW w:w="442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Actual</w:t>
            </w:r>
          </w:p>
        </w:tc>
        <w:tc>
          <w:tcPr>
            <w:tcW w:w="160" w:type="dxa"/>
            <w:vAlign w:val="bottom"/>
            <w:tcBorders>
              <w:top w:val="single" w:sz="8" w:color="auto"/>
              <w:bottom w:val="single" w:sz="8" w:color="CCEEFF"/>
            </w:tcBorders>
          </w:tcPr>
          <w:p>
            <w:pPr>
              <w:spacing w:after="0"/>
              <w:rPr>
                <w:sz w:val="8"/>
                <w:szCs w:val="8"/>
                <w:color w:val="auto"/>
              </w:rPr>
            </w:pPr>
          </w:p>
        </w:tc>
        <w:tc>
          <w:tcPr>
            <w:tcW w:w="90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Guidance</w:t>
            </w:r>
          </w:p>
        </w:tc>
        <w:tc>
          <w:tcPr>
            <w:tcW w:w="40" w:type="dxa"/>
            <w:vAlign w:val="bottom"/>
            <w:tcBorders>
              <w:bottom w:val="single" w:sz="8" w:color="CCEEFF"/>
            </w:tcBorders>
          </w:tcPr>
          <w:p>
            <w:pPr>
              <w:spacing w:after="0"/>
              <w:rPr>
                <w:sz w:val="8"/>
                <w:szCs w:val="8"/>
                <w:color w:val="auto"/>
              </w:rPr>
            </w:pPr>
          </w:p>
        </w:tc>
      </w:tr>
      <w:tr>
        <w:trPr>
          <w:trHeight w:val="141"/>
        </w:trPr>
        <w:tc>
          <w:tcPr>
            <w:tcW w:w="44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3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rPr>
              <w:t>$1,245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2"/>
              </w:rPr>
              <w:t>$1,225 - $1,265 </w:t>
            </w:r>
          </w:p>
        </w:tc>
        <w:tc>
          <w:tcPr>
            <w:tcW w:w="40" w:type="dxa"/>
            <w:vAlign w:val="bottom"/>
            <w:shd w:val="clear" w:color="auto" w:fill="CCEEFF"/>
          </w:tcPr>
          <w:p>
            <w:pPr>
              <w:spacing w:after="0"/>
              <w:rPr>
                <w:sz w:val="12"/>
                <w:szCs w:val="12"/>
                <w:color w:val="auto"/>
              </w:rPr>
            </w:pP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as reported</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5.0%</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42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Revenue Growth, constant currency</w:t>
            </w:r>
            <w:r>
              <w:rPr>
                <w:rFonts w:ascii="Times New Roman" w:cs="Times New Roman" w:eastAsia="Times New Roman" w:hAnsi="Times New Roman"/>
                <w:sz w:val="17"/>
                <w:szCs w:val="17"/>
                <w:color w:val="auto"/>
                <w:vertAlign w:val="superscript"/>
              </w:rPr>
              <w:t>(1)</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4.8%</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7" w:name="page8"/>
    <w:bookmarkEnd w:id="7"/>
    <w:p>
      <w:pPr>
        <w:ind w:left="1320" w:right="10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for the first fiscal quarter of 2024 was at the midpoint of Amdocs’ guidance, and includes unfavorable impact from foreign currency movement of approximately $1 million compared to our guidance assumptions</w:t>
      </w:r>
    </w:p>
    <w:p>
      <w:pPr>
        <w:spacing w:after="0" w:line="141"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first fiscal quarter includes an unfavorable impact from foreign currency movements of approximately $5 million relative to the fourth quarter of fiscal 2023</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Net Income and Earnings Per Share</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240" w:type="dxa"/>
            <w:vAlign w:val="bottom"/>
          </w:tcPr>
          <w:p>
            <w:pPr>
              <w:ind w:left="2020"/>
              <w:spacing w:after="0"/>
              <w:rPr>
                <w:sz w:val="20"/>
                <w:szCs w:val="20"/>
                <w:color w:val="auto"/>
              </w:rPr>
            </w:pPr>
            <w:r>
              <w:rPr>
                <w:rFonts w:ascii="Times New Roman" w:cs="Times New Roman" w:eastAsia="Times New Roman" w:hAnsi="Times New Roman"/>
                <w:sz w:val="10"/>
                <w:szCs w:val="10"/>
                <w:b w:val="1"/>
                <w:bCs w:val="1"/>
                <w:color w:val="auto"/>
              </w:rPr>
              <w:t>`</w:t>
            </w:r>
          </w:p>
        </w:tc>
        <w:tc>
          <w:tcPr>
            <w:tcW w:w="1640" w:type="dxa"/>
            <w:vAlign w:val="bottom"/>
            <w:gridSpan w:val="7"/>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In thousands, expect per share data</w:t>
            </w:r>
          </w:p>
        </w:tc>
      </w:tr>
      <w:tr>
        <w:trPr>
          <w:trHeight w:val="104"/>
        </w:trPr>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gridSpan w:val="6"/>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4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42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1"/>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8"/>
                <w:szCs w:val="8"/>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GAAP Measures</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148,722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129,872</w:t>
            </w:r>
          </w:p>
        </w:tc>
      </w:tr>
      <w:tr>
        <w:trPr>
          <w:trHeight w:val="15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147,965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129,667</w:t>
            </w:r>
          </w:p>
        </w:tc>
      </w:tr>
      <w:tr>
        <w:trPr>
          <w:trHeight w:val="152"/>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1.07</w:t>
            </w:r>
          </w:p>
        </w:tc>
      </w:tr>
      <w:tr>
        <w:trPr>
          <w:trHeight w:val="15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Non-GAAP Measures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183,833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176,542</w:t>
            </w:r>
          </w:p>
        </w:tc>
      </w:tr>
      <w:tr>
        <w:trPr>
          <w:trHeight w:val="15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183,076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176,337</w:t>
            </w:r>
          </w:p>
        </w:tc>
      </w:tr>
      <w:tr>
        <w:trPr>
          <w:trHeight w:val="165"/>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1.45</w:t>
            </w:r>
          </w:p>
        </w:tc>
      </w:tr>
    </w:tbl>
    <w:p>
      <w:pPr>
        <w:spacing w:after="0" w:line="145" w:lineRule="exact"/>
        <w:rPr>
          <w:sz w:val="20"/>
          <w:szCs w:val="20"/>
          <w:color w:val="auto"/>
        </w:rPr>
      </w:pPr>
    </w:p>
    <w:p>
      <w:pPr>
        <w:ind w:left="1320" w:right="879" w:hanging="303"/>
        <w:spacing w:after="0" w:line="286" w:lineRule="auto"/>
        <w:tabs>
          <w:tab w:leader="none" w:pos="1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 and in the three months ended December 31, 2022, also excludes restructuring charges net of related tax effects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further details of the reconciliation of selected financial metrics from GAAP to Non-GAAP, please refer to the tables below.</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Capital Allocation</w:t>
      </w:r>
    </w:p>
    <w:p>
      <w:pPr>
        <w:spacing w:after="0" w:line="87" w:lineRule="exact"/>
        <w:rPr>
          <w:sz w:val="20"/>
          <w:szCs w:val="20"/>
          <w:color w:val="auto"/>
        </w:rPr>
      </w:pPr>
    </w:p>
    <w:p>
      <w:pPr>
        <w:ind w:left="1320" w:right="719" w:hanging="303"/>
        <w:spacing w:after="0" w:line="313" w:lineRule="auto"/>
        <w:tabs>
          <w:tab w:leader="none" w:pos="1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M&amp;A Activity: </w:t>
      </w:r>
      <w:r>
        <w:rPr>
          <w:rFonts w:ascii="Times New Roman" w:cs="Times New Roman" w:eastAsia="Times New Roman" w:hAnsi="Times New Roman"/>
          <w:sz w:val="12"/>
          <w:szCs w:val="12"/>
          <w:color w:val="auto"/>
        </w:rPr>
        <w:t>On November 2, 2023, Amdocs completed the previously announced acquisition of Astadia for a net consideration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approximately $75 million in cash, with additional consideration to be paid later based on the achievement of certain performance metrics</w:t>
      </w:r>
    </w:p>
    <w:p>
      <w:pPr>
        <w:spacing w:after="0" w:line="28" w:lineRule="exact"/>
        <w:rPr>
          <w:rFonts w:ascii="Times New Roman" w:cs="Times New Roman" w:eastAsia="Times New Roman" w:hAnsi="Times New Roman"/>
          <w:sz w:val="12"/>
          <w:szCs w:val="12"/>
          <w:color w:val="auto"/>
        </w:rPr>
      </w:pPr>
    </w:p>
    <w:p>
      <w:pPr>
        <w:ind w:left="1320" w:right="67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Quarterly Cash Dividend Program: </w:t>
      </w:r>
      <w:r>
        <w:rPr>
          <w:rFonts w:ascii="Times New Roman" w:cs="Times New Roman" w:eastAsia="Times New Roman" w:hAnsi="Times New Roman"/>
          <w:sz w:val="13"/>
          <w:szCs w:val="13"/>
          <w:color w:val="auto"/>
        </w:rPr>
        <w:t>On February 6, 2024, the Board approved the Company’s next quarterly cash dividend payment at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new increased rate of $0.479 per share, as approved at the February 2024 annual general meeting of shareholders and set March 29, 2024 as the record date for determining the shareholders entitled to receive the dividend, which will be payable on April 26, 2024</w:t>
      </w:r>
    </w:p>
    <w:p>
      <w:pPr>
        <w:spacing w:after="0" w:line="59"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Share Repurchase Activity: </w:t>
      </w:r>
      <w:r>
        <w:rPr>
          <w:rFonts w:ascii="Times New Roman" w:cs="Times New Roman" w:eastAsia="Times New Roman" w:hAnsi="Times New Roman"/>
          <w:sz w:val="13"/>
          <w:szCs w:val="13"/>
          <w:color w:val="auto"/>
        </w:rPr>
        <w:t>Repurchased $159 million of ordinary shares during the first quarter of fiscal 2024</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Twelve-month Backlog</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Twelve-month backlog was a record $4.21 billion at the end of the first quarter of fiscal 2024, up approximately 3% as compared to last year’s first fiscal quarter. Twelve-month backlog includes anticipated revenue related to contracts, estimated revenue from managed services contracts, letters of intent, maintenance and estimated on-going support activities.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Second Quarter Fiscal 2024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millions, expect</w:t>
            </w:r>
          </w:p>
        </w:tc>
      </w:tr>
      <w:tr>
        <w:trPr>
          <w:trHeight w:val="121"/>
        </w:trPr>
        <w:tc>
          <w:tcPr>
            <w:tcW w:w="446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per share data</w:t>
            </w:r>
          </w:p>
        </w:tc>
      </w:tr>
      <w:tr>
        <w:trPr>
          <w:trHeight w:val="94"/>
        </w:trPr>
        <w:tc>
          <w:tcPr>
            <w:tcW w:w="446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Q2 - 2024</w:t>
            </w:r>
          </w:p>
        </w:tc>
      </w:tr>
      <w:tr>
        <w:trPr>
          <w:trHeight w:val="141"/>
        </w:trPr>
        <w:tc>
          <w:tcPr>
            <w:tcW w:w="44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78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$1,225-$1,265</w:t>
            </w: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$1.21-$1.29</w:t>
            </w:r>
          </w:p>
        </w:tc>
      </w:tr>
      <w:tr>
        <w:trPr>
          <w:trHeight w:val="15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$1.53-$1.59</w:t>
            </w:r>
          </w:p>
        </w:tc>
      </w:tr>
    </w:tbl>
    <w:p>
      <w:pPr>
        <w:spacing w:after="0" w:line="72" w:lineRule="exact"/>
        <w:rPr>
          <w:sz w:val="20"/>
          <w:szCs w:val="20"/>
          <w:color w:val="auto"/>
        </w:rPr>
      </w:pPr>
    </w:p>
    <w:p>
      <w:pPr>
        <w:ind w:left="1320" w:right="679" w:hanging="303"/>
        <w:spacing w:after="0" w:line="26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Second quarter revenue guidance assumes immaterial sequential impact from foreign currency fluctuations as compared to the first quarter of fiscal 2024</w:t>
      </w:r>
    </w:p>
    <w:p>
      <w:pPr>
        <w:spacing w:after="0" w:line="55" w:lineRule="exact"/>
        <w:rPr>
          <w:rFonts w:ascii="Times New Roman" w:cs="Times New Roman" w:eastAsia="Times New Roman" w:hAnsi="Times New Roman"/>
          <w:sz w:val="13"/>
          <w:szCs w:val="13"/>
          <w:color w:val="auto"/>
        </w:rPr>
      </w:pPr>
    </w:p>
    <w:p>
      <w:pPr>
        <w:ind w:left="1320" w:right="819" w:hanging="303"/>
        <w:spacing w:after="0" w:line="255"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Second quarter non-GAAP diluted EPS guidance excludes equity-based compensation expense of approximately $0.17-$0.19 per share, amortization of purchased intangible assets and other acquisition-related costs of approximately $0.12 per share, changes in certain acquisitions related liabilities measured at fair value, and other, net of related tax effects</w:t>
      </w:r>
    </w:p>
    <w:p>
      <w:pPr>
        <w:sectPr>
          <w:pgSz w:w="11900" w:h="16838" w:orient="portrait"/>
          <w:cols w:equalWidth="0" w:num="1">
            <w:col w:w="9019"/>
          </w:cols>
          <w:pgMar w:left="1440" w:top="229"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Full Year Fiscal 2024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0"/>
                <w:szCs w:val="10"/>
                <w:b w:val="1"/>
                <w:bCs w:val="1"/>
                <w:color w:val="auto"/>
              </w:rPr>
              <w:t>FY 2024 - Year-over -Year growth</w:t>
            </w:r>
          </w:p>
        </w:tc>
      </w:tr>
      <w:tr>
        <w:trPr>
          <w:trHeight w:val="94"/>
        </w:trPr>
        <w:tc>
          <w:tcPr>
            <w:tcW w:w="2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Current guidance</w:t>
            </w:r>
          </w:p>
        </w:tc>
        <w:tc>
          <w:tcPr>
            <w:tcW w:w="600" w:type="dxa"/>
            <w:vAlign w:val="bottom"/>
          </w:tcPr>
          <w:p>
            <w:pPr>
              <w:spacing w:after="0"/>
              <w:rPr>
                <w:sz w:val="8"/>
                <w:szCs w:val="8"/>
                <w:color w:val="auto"/>
              </w:rPr>
            </w:pPr>
          </w:p>
        </w:tc>
        <w:tc>
          <w:tcPr>
            <w:tcW w:w="820" w:type="dxa"/>
            <w:vAlign w:val="bottom"/>
            <w:gridSpan w:val="4"/>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w w:val="97"/>
              </w:rPr>
              <w:t>Previous guidance</w:t>
            </w:r>
          </w:p>
        </w:tc>
      </w:tr>
      <w:tr>
        <w:trPr>
          <w:trHeight w:val="141"/>
        </w:trPr>
        <w:tc>
          <w:tcPr>
            <w:tcW w:w="28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 Growth, as reported</w:t>
            </w:r>
          </w:p>
        </w:tc>
        <w:tc>
          <w:tcPr>
            <w:tcW w:w="8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ind w:left="22"/>
              <w:spacing w:after="0" w:line="141" w:lineRule="exact"/>
              <w:rPr>
                <w:sz w:val="20"/>
                <w:szCs w:val="20"/>
                <w:color w:val="auto"/>
              </w:rPr>
            </w:pPr>
            <w:r>
              <w:rPr>
                <w:rFonts w:ascii="Times New Roman" w:cs="Times New Roman" w:eastAsia="Times New Roman" w:hAnsi="Times New Roman"/>
                <w:sz w:val="13"/>
                <w:szCs w:val="13"/>
                <w:color w:val="auto"/>
                <w:w w:val="99"/>
              </w:rPr>
              <w:t>1.1%-5.1%</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1.0%-5.0%</w:t>
            </w:r>
          </w:p>
        </w:tc>
        <w:tc>
          <w:tcPr>
            <w:tcW w:w="40" w:type="dxa"/>
            <w:vAlign w:val="bottom"/>
            <w:tcBorders>
              <w:top w:val="single" w:sz="8" w:color="auto"/>
            </w:tcBorders>
            <w:shd w:val="clear" w:color="auto" w:fill="CCEEFF"/>
          </w:tcPr>
          <w:p>
            <w:pPr>
              <w:spacing w:after="0"/>
              <w:rPr>
                <w:sz w:val="12"/>
                <w:szCs w:val="12"/>
                <w:color w:val="auto"/>
              </w:rPr>
            </w:pPr>
          </w:p>
        </w:tc>
      </w:tr>
      <w:tr>
        <w:trPr>
          <w:trHeight w:val="15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constant currency (1)</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auto"/>
                <w:w w:val="99"/>
              </w:rPr>
              <w:t>1.2%-5.2%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1.2%-5.2%</w:t>
            </w:r>
          </w:p>
        </w:tc>
        <w:tc>
          <w:tcPr>
            <w:tcW w:w="40" w:type="dxa"/>
            <w:vAlign w:val="bottom"/>
          </w:tcPr>
          <w:p>
            <w:pPr>
              <w:spacing w:after="0"/>
              <w:rPr>
                <w:sz w:val="13"/>
                <w:szCs w:val="13"/>
                <w:color w:val="auto"/>
              </w:rPr>
            </w:pPr>
          </w:p>
        </w:tc>
      </w:tr>
      <w:tr>
        <w:trPr>
          <w:trHeight w:val="15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13.0%-19.5%</w:t>
            </w:r>
          </w:p>
        </w:tc>
        <w:tc>
          <w:tcPr>
            <w:tcW w:w="1380" w:type="dxa"/>
            <w:vAlign w:val="bottom"/>
            <w:gridSpan w:val="4"/>
            <w:shd w:val="clear" w:color="auto" w:fill="CCEEFF"/>
          </w:tcPr>
          <w:p>
            <w:pPr>
              <w:jc w:val="center"/>
              <w:ind w:left="617"/>
              <w:spacing w:after="0"/>
              <w:rPr>
                <w:sz w:val="20"/>
                <w:szCs w:val="20"/>
                <w:color w:val="auto"/>
              </w:rPr>
            </w:pPr>
            <w:r>
              <w:rPr>
                <w:rFonts w:ascii="Times New Roman" w:cs="Times New Roman" w:eastAsia="Times New Roman" w:hAnsi="Times New Roman"/>
                <w:sz w:val="13"/>
                <w:szCs w:val="13"/>
                <w:color w:val="auto"/>
                <w:w w:val="97"/>
              </w:rPr>
              <w:t>11.0%-18.0%</w:t>
            </w:r>
          </w:p>
        </w:tc>
        <w:tc>
          <w:tcPr>
            <w:tcW w:w="40" w:type="dxa"/>
            <w:vAlign w:val="bottom"/>
            <w:shd w:val="clear" w:color="auto" w:fill="CCEEFF"/>
          </w:tcPr>
          <w:p>
            <w:pPr>
              <w:spacing w:after="0"/>
              <w:rPr>
                <w:sz w:val="13"/>
                <w:szCs w:val="13"/>
                <w:color w:val="auto"/>
              </w:rPr>
            </w:pPr>
          </w:p>
        </w:tc>
      </w:tr>
      <w:tr>
        <w:trPr>
          <w:trHeight w:val="165"/>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auto"/>
                <w:w w:val="95"/>
              </w:rPr>
              <w:t>8.0%-12.0%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8.0%-12.0%</w:t>
            </w:r>
          </w:p>
        </w:tc>
        <w:tc>
          <w:tcPr>
            <w:tcW w:w="40" w:type="dxa"/>
            <w:vAlign w:val="bottom"/>
          </w:tcPr>
          <w:p>
            <w:pPr>
              <w:spacing w:after="0"/>
              <w:rPr>
                <w:sz w:val="14"/>
                <w:szCs w:val="14"/>
                <w:color w:val="auto"/>
              </w:rPr>
            </w:pPr>
          </w:p>
        </w:tc>
      </w:tr>
      <w:tr>
        <w:trPr>
          <w:trHeight w:val="262"/>
        </w:trPr>
        <w:tc>
          <w:tcPr>
            <w:tcW w:w="2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w w:val="98"/>
              </w:rPr>
              <w:t>FY 2024, in millions</w:t>
            </w:r>
          </w:p>
        </w:tc>
        <w:tc>
          <w:tcPr>
            <w:tcW w:w="6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94"/>
        </w:trPr>
        <w:tc>
          <w:tcPr>
            <w:tcW w:w="2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Current guidance</w:t>
            </w:r>
          </w:p>
        </w:tc>
        <w:tc>
          <w:tcPr>
            <w:tcW w:w="600" w:type="dxa"/>
            <w:vAlign w:val="bottom"/>
          </w:tcPr>
          <w:p>
            <w:pPr>
              <w:spacing w:after="0"/>
              <w:rPr>
                <w:sz w:val="8"/>
                <w:szCs w:val="8"/>
                <w:color w:val="auto"/>
              </w:rPr>
            </w:pPr>
          </w:p>
        </w:tc>
        <w:tc>
          <w:tcPr>
            <w:tcW w:w="78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w w:val="97"/>
              </w:rPr>
              <w:t>Previous guidance</w:t>
            </w:r>
          </w:p>
        </w:tc>
        <w:tc>
          <w:tcPr>
            <w:tcW w:w="40" w:type="dxa"/>
            <w:vAlign w:val="bottom"/>
          </w:tcPr>
          <w:p>
            <w:pPr>
              <w:spacing w:after="0"/>
              <w:rPr>
                <w:sz w:val="8"/>
                <w:szCs w:val="8"/>
                <w:color w:val="auto"/>
              </w:rPr>
            </w:pPr>
          </w:p>
        </w:tc>
      </w:tr>
      <w:tr>
        <w:trPr>
          <w:trHeight w:val="141"/>
        </w:trPr>
        <w:tc>
          <w:tcPr>
            <w:tcW w:w="28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Free Cash Flow (3)</w:t>
            </w:r>
          </w:p>
        </w:tc>
        <w:tc>
          <w:tcPr>
            <w:tcW w:w="8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750</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750</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72" w:lineRule="exact"/>
        <w:rPr>
          <w:sz w:val="20"/>
          <w:szCs w:val="20"/>
          <w:color w:val="auto"/>
        </w:rPr>
      </w:pPr>
    </w:p>
    <w:p>
      <w:pPr>
        <w:ind w:left="1320" w:right="759" w:hanging="303"/>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2024 revenue guidance incorporates an expected unfavorable impact from foreign currency fluctuations of approximately 0.1% year-over-year, as compared with an unfavorable impact of approximately 0.2% year-over-year previously</w:t>
      </w:r>
    </w:p>
    <w:p>
      <w:pPr>
        <w:spacing w:after="0" w:line="55" w:lineRule="exact"/>
        <w:rPr>
          <w:rFonts w:ascii="Times New Roman" w:cs="Times New Roman" w:eastAsia="Times New Roman" w:hAnsi="Times New Roman"/>
          <w:sz w:val="13"/>
          <w:szCs w:val="13"/>
          <w:color w:val="auto"/>
        </w:rPr>
      </w:pPr>
    </w:p>
    <w:p>
      <w:pPr>
        <w:ind w:left="1320" w:right="999" w:hanging="303"/>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earnings per share growth excludes equity-based compensation expense of approximately $0.72-$0.78 per share, amortization of purchased intangible assets and other acquisition-related costs of approximately $0.48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margin is anticipated to be within a range of 18.1% to 18.7% for the full year fiscal 2024</w:t>
      </w:r>
    </w:p>
    <w:p>
      <w:pPr>
        <w:spacing w:after="0" w:line="87" w:lineRule="exact"/>
        <w:rPr>
          <w:rFonts w:ascii="Times New Roman" w:cs="Times New Roman" w:eastAsia="Times New Roman" w:hAnsi="Times New Roman"/>
          <w:sz w:val="13"/>
          <w:szCs w:val="13"/>
          <w:color w:val="auto"/>
        </w:rPr>
      </w:pPr>
    </w:p>
    <w:p>
      <w:pPr>
        <w:ind w:left="1320" w:right="799" w:hanging="303"/>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margin is comprised of GAAP operating margin, excluding amortization on purchased intangible assets and other, equity-based compensation expense, and changes in certain acquisitions related liabilities measured at fair value</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anticipated to be within a range of 13% to 17% for the full year fiscal 2024</w:t>
      </w:r>
    </w:p>
    <w:p>
      <w:pPr>
        <w:spacing w:after="0" w:line="87" w:lineRule="exact"/>
        <w:rPr>
          <w:rFonts w:ascii="Times New Roman" w:cs="Times New Roman" w:eastAsia="Times New Roman" w:hAnsi="Times New Roman"/>
          <w:sz w:val="13"/>
          <w:szCs w:val="13"/>
          <w:color w:val="auto"/>
        </w:rPr>
      </w:pPr>
    </w:p>
    <w:p>
      <w:pPr>
        <w:ind w:left="1320" w:right="959" w:hanging="303"/>
        <w:spacing w:after="0" w:line="212"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is comprised of cash flow from operations, less net capital expenditures and other, and excludes payments related to restructuring charges</w:t>
      </w:r>
    </w:p>
    <w:p>
      <w:pPr>
        <w:sectPr>
          <w:pgSz w:w="11900" w:h="16838" w:orient="portrait"/>
          <w:cols w:equalWidth="0" w:num="1">
            <w:col w:w="9019"/>
          </w:cols>
          <w:pgMar w:left="1440" w:top="229" w:right="1440" w:bottom="1440" w:gutter="0" w:footer="0" w:header="0"/>
        </w:sectPr>
      </w:pPr>
    </w:p>
    <w:bookmarkStart w:id="10" w:name="page11"/>
    <w:bookmarkEnd w:id="10"/>
    <w:p>
      <w:pPr>
        <w:ind w:left="640" w:right="69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forward looking statements regarding our second fiscal quarter 2024 and full year fiscal 2024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(including the recent attacks in Israel and evolving conflict), the current inflationary environment, global or regional events, such as the COVID-19 pandemic and the prevailing level of macro-economic, business and operational uncertainty, which have created, and continue to create, a significant amount of uncertainty, or from current and potential customer consolidation or their other strategic corporate activities.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Earnings Webcast Presentation Details</w:t>
      </w:r>
    </w:p>
    <w:p>
      <w:pPr>
        <w:spacing w:after="0" w:line="80" w:lineRule="exact"/>
        <w:rPr>
          <w:sz w:val="20"/>
          <w:szCs w:val="20"/>
          <w:color w:val="auto"/>
        </w:rPr>
      </w:pPr>
    </w:p>
    <w:p>
      <w:pPr>
        <w:jc w:val="both"/>
        <w:ind w:left="640" w:right="819"/>
        <w:spacing w:after="0" w:line="251" w:lineRule="auto"/>
        <w:rPr>
          <w:sz w:val="20"/>
          <w:szCs w:val="20"/>
          <w:color w:val="auto"/>
        </w:rPr>
      </w:pPr>
      <w:r>
        <w:rPr>
          <w:rFonts w:ascii="Times New Roman" w:cs="Times New Roman" w:eastAsia="Times New Roman" w:hAnsi="Times New Roman"/>
          <w:sz w:val="13"/>
          <w:szCs w:val="13"/>
          <w:color w:val="auto"/>
        </w:rPr>
        <w:t xml:space="preserve">Amdocs will host a conference call and earnings webcast presentation on February 6, 2024 at 5:00 p.m. Eastern Time to discuss the Company’s first quarter of fiscal 2024 results. To participate in the call, please register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to receive the dial-in numbers and unique access PIN. The conference call and webcast will also be carried live on the Internet and may be accessed via the Amdocs website at </w:t>
      </w:r>
      <w:r>
        <w:rPr>
          <w:rFonts w:ascii="Times New Roman" w:cs="Times New Roman" w:eastAsia="Times New Roman" w:hAnsi="Times New Roman"/>
          <w:sz w:val="13"/>
          <w:szCs w:val="13"/>
          <w:u w:val="single" w:color="auto"/>
          <w:color w:val="auto"/>
        </w:rPr>
        <w:t>https://investors.amdocs.com</w:t>
      </w:r>
      <w:r>
        <w:rPr>
          <w:rFonts w:ascii="Times New Roman" w:cs="Times New Roman" w:eastAsia="Times New Roman" w:hAnsi="Times New Roman"/>
          <w:sz w:val="13"/>
          <w:szCs w:val="13"/>
          <w:color w:val="auto"/>
        </w:rPr>
        <w:t>. Presentation slides will be available shortly before the webcast.</w:t>
      </w:r>
    </w:p>
    <w:p>
      <w:pPr>
        <w:spacing w:after="0" w:line="131" w:lineRule="exact"/>
        <w:rPr>
          <w:sz w:val="20"/>
          <w:szCs w:val="20"/>
          <w:color w:val="auto"/>
        </w:rPr>
      </w:pPr>
    </w:p>
    <w:p>
      <w:pPr>
        <w:ind w:left="640" w:right="699"/>
        <w:spacing w:after="0" w:line="230" w:lineRule="auto"/>
        <w:rPr>
          <w:sz w:val="20"/>
          <w:szCs w:val="20"/>
          <w:color w:val="auto"/>
        </w:rPr>
      </w:pPr>
      <w:r>
        <w:rPr>
          <w:rFonts w:ascii="Times New Roman" w:cs="Times New Roman" w:eastAsia="Times New Roman" w:hAnsi="Times New Roman"/>
          <w:sz w:val="13"/>
          <w:szCs w:val="13"/>
          <w:b w:val="1"/>
          <w:bCs w:val="1"/>
          <w:color w:val="auto"/>
        </w:rPr>
        <w:t xml:space="preserve">Non-GAAP Financial Measures </w:t>
      </w:r>
      <w:r>
        <w:rPr>
          <w:rFonts w:ascii="Times New Roman" w:cs="Times New Roman" w:eastAsia="Times New Roman" w:hAnsi="Times New Roman"/>
          <w:sz w:val="13"/>
          <w:szCs w:val="13"/>
          <w:color w:val="auto"/>
        </w:rPr>
        <w:t>This release includes non-GAAP diluted earnings per share and other non-GAAP financial measures, including free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cash flow, revenue on a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spacing w:after="0" w:line="74" w:lineRule="exact"/>
        <w:rPr>
          <w:sz w:val="20"/>
          <w:szCs w:val="20"/>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purchased intangible assets and other acquisition-related costs;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certain acquisition-related liabilities measured at fair value;</w:t>
      </w:r>
    </w:p>
    <w:p>
      <w:pPr>
        <w:sectPr>
          <w:pgSz w:w="11900" w:h="16838" w:orient="portrait"/>
          <w:cols w:equalWidth="0" w:num="1">
            <w:col w:w="9019"/>
          </w:cols>
          <w:pgMar w:left="1440" w:top="231" w:right="1440" w:bottom="1440" w:gutter="0" w:footer="0" w:header="0"/>
        </w:sectPr>
      </w:pPr>
    </w:p>
    <w:bookmarkStart w:id="11" w:name="page12"/>
    <w:bookmarkEnd w:id="11"/>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restructuring and unusual charges or benefits;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equity-based compensation expense;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related to the above.</w:t>
      </w:r>
    </w:p>
    <w:p>
      <w:pPr>
        <w:spacing w:after="0" w:line="15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Free cash flow equals cash generated by operating activities less net capital expenditures and other.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35" w:lineRule="exact"/>
        <w:rPr>
          <w:sz w:val="20"/>
          <w:szCs w:val="20"/>
          <w:color w:val="auto"/>
        </w:rPr>
      </w:pPr>
    </w:p>
    <w:p>
      <w:pPr>
        <w:ind w:left="640" w:right="659"/>
        <w:spacing w:after="0" w:line="222" w:lineRule="auto"/>
        <w:rPr>
          <w:sz w:val="20"/>
          <w:szCs w:val="20"/>
          <w:color w:val="auto"/>
        </w:rPr>
      </w:pPr>
      <w:r>
        <w:rPr>
          <w:rFonts w:ascii="Times New Roman" w:cs="Times New Roman" w:eastAsia="Times New Roman" w:hAnsi="Times New Roman"/>
          <w:sz w:val="13"/>
          <w:szCs w:val="13"/>
          <w:color w:val="auto"/>
        </w:rPr>
        <w:t>Amdocs believes that the presentation of non-GAAP diluted earnings per share and other financial measures, including free cash flow</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revenue on a constant currency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9"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w:t>
      </w:r>
    </w:p>
    <w:p>
      <w:pPr>
        <w:sectPr>
          <w:pgSz w:w="11900" w:h="16838" w:orient="portrait"/>
          <w:cols w:equalWidth="0" w:num="1">
            <w:col w:w="9019"/>
          </w:cols>
          <w:pgMar w:left="1440" w:top="231" w:right="1440" w:bottom="1440" w:gutter="0" w:footer="0" w:header="0"/>
        </w:sectPr>
      </w:pPr>
    </w:p>
    <w:bookmarkStart w:id="12" w:name="page13"/>
    <w:bookmarkEnd w:id="12"/>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Supporting Resources</w:t>
      </w:r>
    </w:p>
    <w:p>
      <w:pPr>
        <w:spacing w:after="0" w:line="89" w:lineRule="exact"/>
        <w:rPr>
          <w:sz w:val="20"/>
          <w:szCs w:val="20"/>
          <w:color w:val="auto"/>
        </w:rPr>
      </w:pPr>
    </w:p>
    <w:p>
      <w:pPr>
        <w:ind w:left="940" w:hanging="227"/>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Keep up with Amdocs news by visiting the Company’s </w:t>
      </w:r>
      <w:r>
        <w:rPr>
          <w:rFonts w:ascii="Times New Roman" w:cs="Times New Roman" w:eastAsia="Times New Roman" w:hAnsi="Times New Roman"/>
          <w:sz w:val="13"/>
          <w:szCs w:val="13"/>
          <w:u w:val="single" w:color="auto"/>
          <w:color w:val="auto"/>
        </w:rPr>
        <w:t>website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Subscribe to Amdocs’ </w:t>
      </w:r>
      <w:r>
        <w:rPr>
          <w:rFonts w:ascii="Times New Roman" w:cs="Times New Roman" w:eastAsia="Times New Roman" w:hAnsi="Times New Roman"/>
          <w:sz w:val="13"/>
          <w:szCs w:val="13"/>
          <w:u w:val="single" w:color="auto"/>
          <w:color w:val="auto"/>
        </w:rPr>
        <w:t>RSS Feed</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Amdocs</w:t>
      </w:r>
    </w:p>
    <w:p>
      <w:pPr>
        <w:spacing w:after="0" w:line="80" w:lineRule="exact"/>
        <w:rPr>
          <w:sz w:val="20"/>
          <w:szCs w:val="20"/>
          <w:color w:val="auto"/>
        </w:rPr>
      </w:pPr>
    </w:p>
    <w:p>
      <w:pPr>
        <w:ind w:left="640" w:right="779"/>
        <w:spacing w:after="0" w:line="249" w:lineRule="auto"/>
        <w:rPr>
          <w:sz w:val="20"/>
          <w:szCs w:val="20"/>
          <w:color w:val="auto"/>
        </w:rPr>
      </w:pPr>
      <w:r>
        <w:rPr>
          <w:rFonts w:ascii="Times New Roman" w:cs="Times New Roman" w:eastAsia="Times New Roman" w:hAnsi="Times New Roman"/>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approximately 29,000 employees around the globe are here to accelerate service providers’ migration to the cloud, enable them to differentiate in the 5G era, and digitalize and automate their operations. Listed on the NASDAQ Global Select Market, Amdocs had revenue of $4.89 billion in fiscal 2023.</w:t>
      </w:r>
    </w:p>
    <w:p>
      <w:pPr>
        <w:sectPr>
          <w:pgSz w:w="11900" w:h="16838" w:orient="portrait"/>
          <w:cols w:equalWidth="0" w:num="1">
            <w:col w:w="9019"/>
          </w:cols>
          <w:pgMar w:left="1440" w:top="231"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For more information, visit Amdocs at </w:t>
      </w:r>
      <w:r>
        <w:rPr>
          <w:rFonts w:ascii="Times New Roman" w:cs="Times New Roman" w:eastAsia="Times New Roman" w:hAnsi="Times New Roman"/>
          <w:sz w:val="13"/>
          <w:szCs w:val="13"/>
          <w:u w:val="single" w:color="auto"/>
          <w:color w:val="auto"/>
        </w:rPr>
        <w:t>www.amdocs.com</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recent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2023 filed on December 13, 2023.</w:t>
      </w:r>
    </w:p>
    <w:p>
      <w:pPr>
        <w:sectPr>
          <w:pgSz w:w="11900" w:h="16838" w:orient="portrait"/>
          <w:cols w:equalWidth="0" w:num="1">
            <w:col w:w="9019"/>
          </w:cols>
          <w:pgMar w:left="1440" w:top="231"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Matthew Smith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E-mail: dox_info@amdocs.com</w:t>
      </w:r>
    </w:p>
    <w:p>
      <w:pPr>
        <w:sectPr>
          <w:pgSz w:w="11900" w:h="16838" w:orient="portrait"/>
          <w:cols w:equalWidth="0" w:num="1">
            <w:col w:w="9019"/>
          </w:cols>
          <w:pgMar w:left="1440" w:top="22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56"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6260"/>
        <w:spacing w:after="0" w:line="230"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63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8"/>
                <w:szCs w:val="8"/>
                <w:color w:val="auto"/>
              </w:rPr>
            </w:pPr>
          </w:p>
        </w:tc>
      </w:tr>
      <w:tr>
        <w:trPr>
          <w:trHeight w:val="141"/>
        </w:trPr>
        <w:tc>
          <w:tcPr>
            <w:tcW w:w="6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1,245,199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1,185,720</w:t>
            </w:r>
          </w:p>
        </w:tc>
        <w:tc>
          <w:tcPr>
            <w:tcW w:w="80" w:type="dxa"/>
            <w:vAlign w:val="bottom"/>
            <w:shd w:val="clear" w:color="auto" w:fill="CCEEFF"/>
          </w:tcPr>
          <w:p>
            <w:pPr>
              <w:spacing w:after="0"/>
              <w:rPr>
                <w:sz w:val="12"/>
                <w:szCs w:val="12"/>
                <w:color w:val="auto"/>
              </w:rPr>
            </w:pPr>
          </w:p>
        </w:tc>
      </w:tr>
      <w:tr>
        <w:trPr>
          <w:trHeight w:val="152"/>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812,744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756,849</w:t>
            </w:r>
          </w:p>
        </w:tc>
      </w:tr>
      <w:tr>
        <w:trPr>
          <w:trHeight w:val="152"/>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89,207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95,726</w:t>
            </w:r>
          </w:p>
        </w:tc>
      </w:tr>
      <w:tr>
        <w:trPr>
          <w:trHeight w:val="15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142,504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143,222</w:t>
            </w:r>
          </w:p>
        </w:tc>
      </w:tr>
      <w:tr>
        <w:trPr>
          <w:trHeight w:val="152"/>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purchased intangible assets and other</w:t>
            </w:r>
          </w:p>
        </w:tc>
        <w:tc>
          <w:tcPr>
            <w:tcW w:w="8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16,410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15,313</w:t>
            </w:r>
          </w:p>
        </w:tc>
      </w:tr>
      <w:tr>
        <w:trPr>
          <w:trHeight w:val="15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24,536</w:t>
            </w:r>
          </w:p>
        </w:tc>
      </w:tr>
      <w:tr>
        <w:trPr>
          <w:trHeight w:val="151"/>
        </w:trPr>
        <w:tc>
          <w:tcPr>
            <w:tcW w:w="6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1,060,865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1,035,646</w:t>
            </w:r>
          </w:p>
        </w:tc>
        <w:tc>
          <w:tcPr>
            <w:tcW w:w="80" w:type="dxa"/>
            <w:vAlign w:val="bottom"/>
          </w:tcPr>
          <w:p>
            <w:pPr>
              <w:spacing w:after="0"/>
              <w:rPr>
                <w:sz w:val="13"/>
                <w:szCs w:val="13"/>
                <w:color w:val="auto"/>
              </w:rPr>
            </w:pPr>
          </w:p>
        </w:tc>
      </w:tr>
      <w:tr>
        <w:trPr>
          <w:trHeight w:val="15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150,074</w:t>
            </w:r>
          </w:p>
        </w:tc>
      </w:tr>
      <w:tr>
        <w:trPr>
          <w:trHeight w:val="152"/>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(9,778)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(4,963)</w:t>
            </w:r>
          </w:p>
        </w:tc>
      </w:tr>
      <w:tr>
        <w:trPr>
          <w:trHeight w:val="15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145,111</w:t>
            </w:r>
          </w:p>
        </w:tc>
        <w:tc>
          <w:tcPr>
            <w:tcW w:w="80" w:type="dxa"/>
            <w:vAlign w:val="bottom"/>
            <w:shd w:val="clear" w:color="auto" w:fill="CCEEFF"/>
          </w:tcPr>
          <w:p>
            <w:pPr>
              <w:spacing w:after="0"/>
              <w:rPr>
                <w:sz w:val="13"/>
                <w:szCs w:val="13"/>
                <w:color w:val="auto"/>
              </w:rPr>
            </w:pPr>
          </w:p>
        </w:tc>
      </w:tr>
      <w:tr>
        <w:trPr>
          <w:trHeight w:val="151"/>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15,239</w:t>
            </w:r>
          </w:p>
        </w:tc>
        <w:tc>
          <w:tcPr>
            <w:tcW w:w="80" w:type="dxa"/>
            <w:vAlign w:val="bottom"/>
          </w:tcPr>
          <w:p>
            <w:pPr>
              <w:spacing w:after="0"/>
              <w:rPr>
                <w:sz w:val="13"/>
                <w:szCs w:val="13"/>
                <w:color w:val="auto"/>
              </w:rPr>
            </w:pPr>
          </w:p>
        </w:tc>
      </w:tr>
      <w:tr>
        <w:trPr>
          <w:trHeight w:val="15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148,722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129,872</w:t>
            </w:r>
          </w:p>
        </w:tc>
      </w:tr>
      <w:tr>
        <w:trPr>
          <w:trHeight w:val="161"/>
        </w:trPr>
        <w:tc>
          <w:tcPr>
            <w:tcW w:w="6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interests</w:t>
            </w: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4"/>
                <w:szCs w:val="14"/>
                <w:color w:val="auto"/>
              </w:rPr>
            </w:pPr>
          </w:p>
        </w:tc>
      </w:tr>
      <w:tr>
        <w:trPr>
          <w:trHeight w:val="15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Amdocs Limited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129,667</w:t>
            </w:r>
          </w:p>
        </w:tc>
      </w:tr>
      <w:tr>
        <w:trPr>
          <w:trHeight w:val="161"/>
        </w:trPr>
        <w:tc>
          <w:tcPr>
            <w:tcW w:w="6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 earnings per share attributable to Amdocs Limited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r>
      <w:tr>
        <w:trPr>
          <w:trHeight w:val="15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 attributable to Amdocs Limited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1.07</w:t>
            </w:r>
          </w:p>
        </w:tc>
      </w:tr>
      <w:tr>
        <w:trPr>
          <w:trHeight w:val="151"/>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ordinary share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0.395</w:t>
            </w:r>
          </w:p>
        </w:tc>
        <w:tc>
          <w:tcPr>
            <w:tcW w:w="80" w:type="dxa"/>
            <w:vAlign w:val="bottom"/>
          </w:tcPr>
          <w:p>
            <w:pPr>
              <w:spacing w:after="0"/>
              <w:rPr>
                <w:sz w:val="13"/>
                <w:szCs w:val="13"/>
                <w:color w:val="auto"/>
              </w:rPr>
            </w:pPr>
          </w:p>
        </w:tc>
      </w:tr>
      <w:tr>
        <w:trPr>
          <w:trHeight w:val="15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weighted average number of shares outstanding</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116,841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120,652</w:t>
            </w:r>
          </w:p>
        </w:tc>
      </w:tr>
      <w:tr>
        <w:trPr>
          <w:trHeight w:val="151"/>
        </w:trPr>
        <w:tc>
          <w:tcPr>
            <w:tcW w:w="634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117,536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121,500</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Selected Financial Metrics</w:t>
      </w:r>
    </w:p>
    <w:p>
      <w:pPr>
        <w:jc w:val="center"/>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4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6300"/>
        <w:spacing w:after="0" w:line="230"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31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24"/>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32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$1,245,199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$1,185,720</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operating income</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225,241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209,538</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183,833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176,542</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183,076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176,337</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1.45</w:t>
            </w: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121,500</w:t>
            </w:r>
          </w:p>
        </w:tc>
        <w:tc>
          <w:tcPr>
            <w:tcW w:w="40" w:type="dxa"/>
            <w:vAlign w:val="bottom"/>
          </w:tcPr>
          <w:p>
            <w:pPr>
              <w:spacing w:after="0"/>
              <w:rPr>
                <w:sz w:val="14"/>
                <w:szCs w:val="14"/>
                <w:color w:val="auto"/>
              </w:rPr>
            </w:pPr>
          </w:p>
        </w:tc>
      </w:tr>
      <w:tr>
        <w:trPr>
          <w:trHeight w:val="425"/>
        </w:trPr>
        <w:tc>
          <w:tcPr>
            <w:tcW w:w="3120" w:type="dxa"/>
            <w:vAlign w:val="bottom"/>
          </w:tcPr>
          <w:p>
            <w:pPr>
              <w:spacing w:after="0"/>
              <w:rPr>
                <w:sz w:val="24"/>
                <w:szCs w:val="24"/>
                <w:color w:val="auto"/>
              </w:rPr>
            </w:pPr>
          </w:p>
        </w:tc>
        <w:tc>
          <w:tcPr>
            <w:tcW w:w="3340" w:type="dxa"/>
            <w:vAlign w:val="bottom"/>
            <w:gridSpan w:val="2"/>
          </w:tcPr>
          <w:p>
            <w:pPr>
              <w:jc w:val="center"/>
              <w:ind w:right="1777"/>
              <w:spacing w:after="0"/>
              <w:rPr>
                <w:sz w:val="20"/>
                <w:szCs w:val="20"/>
                <w:color w:val="auto"/>
              </w:rPr>
            </w:pPr>
            <w:r>
              <w:rPr>
                <w:rFonts w:ascii="Times New Roman" w:cs="Times New Roman" w:eastAsia="Times New Roman" w:hAnsi="Times New Roman"/>
                <w:sz w:val="13"/>
                <w:szCs w:val="13"/>
                <w:b w:val="1"/>
                <w:bCs w:val="1"/>
                <w:color w:val="auto"/>
                <w:w w:val="97"/>
              </w:rPr>
              <w:t>Free Cash Flows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20" w:type="dxa"/>
            <w:vAlign w:val="bottom"/>
          </w:tcPr>
          <w:p>
            <w:pPr>
              <w:spacing w:after="0"/>
              <w:rPr>
                <w:sz w:val="11"/>
                <w:szCs w:val="11"/>
                <w:color w:val="auto"/>
              </w:rPr>
            </w:pPr>
          </w:p>
        </w:tc>
        <w:tc>
          <w:tcPr>
            <w:tcW w:w="3340" w:type="dxa"/>
            <w:vAlign w:val="bottom"/>
            <w:gridSpan w:val="2"/>
          </w:tcPr>
          <w:p>
            <w:pPr>
              <w:jc w:val="center"/>
              <w:ind w:right="1777"/>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7"/>
        </w:trPr>
        <w:tc>
          <w:tcPr>
            <w:tcW w:w="3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7"/>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31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7"/>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94"/>
        </w:trPr>
        <w:tc>
          <w:tcPr>
            <w:tcW w:w="31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1"/>
        </w:trPr>
        <w:tc>
          <w:tcPr>
            <w:tcW w:w="3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$182,387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$ 83,226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net (a)</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(43,743)</w:t>
            </w:r>
          </w:p>
        </w:tc>
        <w:tc>
          <w:tcPr>
            <w:tcW w:w="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(33,703)</w:t>
            </w:r>
          </w:p>
        </w:tc>
      </w:tr>
      <w:tr>
        <w:trPr>
          <w:trHeight w:val="20"/>
        </w:trPr>
        <w:tc>
          <w:tcPr>
            <w:tcW w:w="3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$138,644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6"/>
              </w:rPr>
              <w:t>$ 49,523</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0" w:lineRule="exact"/>
        <w:rPr>
          <w:sz w:val="20"/>
          <w:szCs w:val="20"/>
          <w:color w:val="auto"/>
        </w:rPr>
      </w:pPr>
    </w:p>
    <w:p>
      <w:pPr>
        <w:ind w:left="940" w:right="879" w:hanging="303"/>
        <w:spacing w:after="0" w:line="267" w:lineRule="auto"/>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under “Purchase of property and equipment, net”, include immaterial proceeds from sale of property and equipment for the three months ended December 31, 2023, and no proceeds for the three months ended December 31, 2022.</w:t>
      </w:r>
    </w:p>
    <w:p>
      <w:pPr>
        <w:sectPr>
          <w:pgSz w:w="11900" w:h="16838" w:orient="portrait"/>
          <w:cols w:equalWidth="0" w:num="1">
            <w:col w:w="9019"/>
          </w:cols>
          <w:pgMar w:left="1440" w:top="2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0"/>
                <w:szCs w:val="10"/>
                <w:b w:val="1"/>
                <w:bCs w:val="1"/>
                <w:color w:val="auto"/>
              </w:rPr>
              <w:t>Three Months Ended December 31, 2023</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gridSpan w:val="4"/>
          </w:tcPr>
          <w:p>
            <w:pPr>
              <w:jc w:val="center"/>
              <w:ind w:right="178"/>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right="218"/>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4"/>
          </w:tcPr>
          <w:p>
            <w:pPr>
              <w:jc w:val="center"/>
              <w:ind w:right="158"/>
              <w:spacing w:after="0" w:line="104" w:lineRule="exact"/>
              <w:rPr>
                <w:sz w:val="20"/>
                <w:szCs w:val="20"/>
                <w:color w:val="auto"/>
              </w:rPr>
            </w:pPr>
            <w:r>
              <w:rPr>
                <w:rFonts w:ascii="Times New Roman" w:cs="Times New Roman" w:eastAsia="Times New Roman" w:hAnsi="Times New Roman"/>
                <w:sz w:val="10"/>
                <w:szCs w:val="10"/>
                <w:b w:val="1"/>
                <w:bCs w:val="1"/>
                <w:color w:val="auto"/>
                <w:w w:val="98"/>
              </w:rPr>
              <w:t>acquisitions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Amortization of</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right="218"/>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700" w:type="dxa"/>
            <w:vAlign w:val="bottom"/>
            <w:gridSpan w:val="4"/>
          </w:tcPr>
          <w:p>
            <w:pPr>
              <w:jc w:val="center"/>
              <w:ind w:right="158"/>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tcPr>
          <w:p>
            <w:pPr>
              <w:jc w:val="center"/>
              <w:ind w:right="3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purchased</w:t>
            </w:r>
          </w:p>
        </w:tc>
        <w:tc>
          <w:tcPr>
            <w:tcW w:w="800" w:type="dxa"/>
            <w:vAlign w:val="bottom"/>
            <w:gridSpan w:val="4"/>
            <w:vMerge w:val="continue"/>
          </w:tcPr>
          <w:p>
            <w:pPr>
              <w:spacing w:after="0"/>
              <w:rPr>
                <w:sz w:val="9"/>
                <w:szCs w:val="9"/>
                <w:color w:val="auto"/>
              </w:rPr>
            </w:pPr>
          </w:p>
        </w:tc>
        <w:tc>
          <w:tcPr>
            <w:tcW w:w="700" w:type="dxa"/>
            <w:vAlign w:val="bottom"/>
            <w:gridSpan w:val="4"/>
          </w:tcPr>
          <w:p>
            <w:pPr>
              <w:jc w:val="center"/>
              <w:ind w:right="158"/>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Tax</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GAAP</w:t>
            </w:r>
          </w:p>
        </w:tc>
        <w:tc>
          <w:tcPr>
            <w:tcW w:w="920" w:type="dxa"/>
            <w:vAlign w:val="bottom"/>
            <w:gridSpan w:val="4"/>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intangible assets</w:t>
            </w:r>
          </w:p>
        </w:tc>
        <w:tc>
          <w:tcPr>
            <w:tcW w:w="80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60" w:type="dxa"/>
            <w:vAlign w:val="bottom"/>
          </w:tcPr>
          <w:p>
            <w:pPr>
              <w:spacing w:after="0"/>
              <w:rPr>
                <w:sz w:val="9"/>
                <w:szCs w:val="9"/>
                <w:color w:val="auto"/>
              </w:rPr>
            </w:pPr>
          </w:p>
        </w:tc>
        <w:tc>
          <w:tcPr>
            <w:tcW w:w="640" w:type="dxa"/>
            <w:vAlign w:val="bottom"/>
            <w:gridSpan w:val="3"/>
          </w:tcPr>
          <w:p>
            <w:pPr>
              <w:jc w:val="center"/>
              <w:ind w:right="218"/>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120" w:type="dxa"/>
            <w:vAlign w:val="bottom"/>
          </w:tcPr>
          <w:p>
            <w:pPr>
              <w:spacing w:after="0"/>
              <w:rPr>
                <w:sz w:val="9"/>
                <w:szCs w:val="9"/>
                <w:color w:val="auto"/>
              </w:rPr>
            </w:pPr>
          </w:p>
        </w:tc>
        <w:tc>
          <w:tcPr>
            <w:tcW w:w="5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80" w:type="dxa"/>
            <w:vAlign w:val="bottom"/>
          </w:tcPr>
          <w:p>
            <w:pPr>
              <w:spacing w:after="0"/>
              <w:rPr>
                <w:sz w:val="10"/>
                <w:szCs w:val="10"/>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60" w:type="dxa"/>
            <w:vAlign w:val="bottom"/>
          </w:tcPr>
          <w:p>
            <w:pPr>
              <w:spacing w:after="0"/>
              <w:rPr>
                <w:sz w:val="10"/>
                <w:szCs w:val="10"/>
                <w:color w:val="auto"/>
              </w:rPr>
            </w:pPr>
          </w:p>
        </w:tc>
        <w:tc>
          <w:tcPr>
            <w:tcW w:w="640" w:type="dxa"/>
            <w:vAlign w:val="bottom"/>
            <w:gridSpan w:val="3"/>
          </w:tcPr>
          <w:p>
            <w:pPr>
              <w:jc w:val="center"/>
              <w:ind w:right="218"/>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2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4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36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812,744</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(13,527)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1,583</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800,800</w:t>
            </w:r>
          </w:p>
        </w:tc>
        <w:tc>
          <w:tcPr>
            <w:tcW w:w="0" w:type="dxa"/>
            <w:vAlign w:val="bottom"/>
          </w:tcPr>
          <w:p>
            <w:pPr>
              <w:spacing w:after="0"/>
              <w:rPr>
                <w:sz w:val="1"/>
                <w:szCs w:val="1"/>
                <w:color w:val="auto"/>
              </w:rPr>
            </w:pPr>
          </w:p>
        </w:tc>
      </w:tr>
      <w:tr>
        <w:trPr>
          <w:trHeight w:val="15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89,207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(1,867)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87,340</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142,504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(10,686)</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131,818</w:t>
            </w: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other</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16,410</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(16,410)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6"/>
              </w:rPr>
              <w:t>1,060,865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3"/>
                <w:szCs w:val="13"/>
                <w:color w:val="auto"/>
                <w:w w:val="89"/>
              </w:rPr>
              <w:t>(16,410)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(26,080)</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6"/>
              </w:rPr>
              <w:t>1,019,958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184,334</w:t>
            </w: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16,410</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26,080</w:t>
            </w: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(1,583)</w:t>
            </w: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225,241</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(9,778)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(8,244)</w:t>
            </w:r>
          </w:p>
        </w:tc>
        <w:tc>
          <w:tcPr>
            <w:tcW w:w="0" w:type="dxa"/>
            <w:vAlign w:val="bottom"/>
          </w:tcPr>
          <w:p>
            <w:pPr>
              <w:spacing w:after="0"/>
              <w:rPr>
                <w:sz w:val="1"/>
                <w:szCs w:val="1"/>
                <w:color w:val="auto"/>
              </w:rPr>
            </w:pPr>
          </w:p>
        </w:tc>
      </w:tr>
      <w:tr>
        <w:trPr>
          <w:trHeight w:val="15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25,834</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7,330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33,164</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148,722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16,410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26,080</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   1,534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9"/>
              </w:rPr>
              <w:t>(7,330)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183,833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147,965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16,410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26,080</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89"/>
              </w:rPr>
              <w:t>(7,330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183,076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0"/>
                <w:szCs w:val="10"/>
                <w:b w:val="1"/>
                <w:bCs w:val="1"/>
                <w:color w:val="auto"/>
              </w:rPr>
              <w:t>Three Months Ended December 31, 2022</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gridSpan w:val="4"/>
          </w:tcPr>
          <w:p>
            <w:pPr>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right="258"/>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 of</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right="258"/>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700" w:type="dxa"/>
            <w:vAlign w:val="bottom"/>
            <w:gridSpan w:val="4"/>
          </w:tcPr>
          <w:p>
            <w:pPr>
              <w:jc w:val="center"/>
              <w:ind w:right="198"/>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tcPr>
          <w:p>
            <w:pPr>
              <w:jc w:val="right"/>
              <w:ind w:right="3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purchased</w:t>
            </w:r>
          </w:p>
        </w:tc>
        <w:tc>
          <w:tcPr>
            <w:tcW w:w="800" w:type="dxa"/>
            <w:vAlign w:val="bottom"/>
            <w:gridSpan w:val="4"/>
            <w:vMerge w:val="continue"/>
          </w:tcPr>
          <w:p>
            <w:pPr>
              <w:spacing w:after="0"/>
              <w:rPr>
                <w:sz w:val="9"/>
                <w:szCs w:val="9"/>
                <w:color w:val="auto"/>
              </w:rPr>
            </w:pPr>
          </w:p>
        </w:tc>
        <w:tc>
          <w:tcPr>
            <w:tcW w:w="700" w:type="dxa"/>
            <w:vAlign w:val="bottom"/>
            <w:gridSpan w:val="4"/>
          </w:tcPr>
          <w:p>
            <w:pPr>
              <w:jc w:val="center"/>
              <w:ind w:right="198"/>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Tax</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GAAP</w:t>
            </w:r>
          </w:p>
        </w:tc>
        <w:tc>
          <w:tcPr>
            <w:tcW w:w="92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intangible assets</w:t>
            </w:r>
          </w:p>
        </w:tc>
        <w:tc>
          <w:tcPr>
            <w:tcW w:w="800" w:type="dxa"/>
            <w:vAlign w:val="bottom"/>
            <w:gridSpan w:val="4"/>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60" w:type="dxa"/>
            <w:vAlign w:val="bottom"/>
          </w:tcPr>
          <w:p>
            <w:pPr>
              <w:spacing w:after="0"/>
              <w:rPr>
                <w:sz w:val="9"/>
                <w:szCs w:val="9"/>
                <w:color w:val="auto"/>
              </w:rPr>
            </w:pPr>
          </w:p>
        </w:tc>
        <w:tc>
          <w:tcPr>
            <w:tcW w:w="640" w:type="dxa"/>
            <w:vAlign w:val="bottom"/>
            <w:gridSpan w:val="3"/>
          </w:tcPr>
          <w:p>
            <w:pPr>
              <w:jc w:val="center"/>
              <w:ind w:right="258"/>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7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80" w:type="dxa"/>
            <w:vAlign w:val="bottom"/>
          </w:tcPr>
          <w:p>
            <w:pPr>
              <w:spacing w:after="0"/>
              <w:rPr>
                <w:sz w:val="10"/>
                <w:szCs w:val="10"/>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60" w:type="dxa"/>
            <w:vAlign w:val="bottom"/>
          </w:tcPr>
          <w:p>
            <w:pPr>
              <w:spacing w:after="0"/>
              <w:rPr>
                <w:sz w:val="10"/>
                <w:szCs w:val="10"/>
                <w:color w:val="auto"/>
              </w:rPr>
            </w:pPr>
          </w:p>
        </w:tc>
        <w:tc>
          <w:tcPr>
            <w:tcW w:w="640" w:type="dxa"/>
            <w:vAlign w:val="bottom"/>
            <w:gridSpan w:val="3"/>
          </w:tcPr>
          <w:p>
            <w:pPr>
              <w:jc w:val="center"/>
              <w:ind w:right="258"/>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20" w:type="dxa"/>
            <w:vAlign w:val="bottom"/>
          </w:tcPr>
          <w:p>
            <w:pPr>
              <w:spacing w:after="0"/>
              <w:rPr>
                <w:sz w:val="10"/>
                <w:szCs w:val="1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7"/>
              </w:rPr>
              <w:t>charges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36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756,849</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(8,655)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38"/>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6"/>
              </w:rPr>
              <w:t>$ 748,069</w:t>
            </w:r>
          </w:p>
        </w:tc>
        <w:tc>
          <w:tcPr>
            <w:tcW w:w="0" w:type="dxa"/>
            <w:vAlign w:val="bottom"/>
          </w:tcPr>
          <w:p>
            <w:pPr>
              <w:spacing w:after="0"/>
              <w:rPr>
                <w:sz w:val="1"/>
                <w:szCs w:val="1"/>
                <w:color w:val="auto"/>
              </w:rPr>
            </w:pPr>
          </w:p>
        </w:tc>
      </w:tr>
      <w:tr>
        <w:trPr>
          <w:trHeight w:val="15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95,726</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(1,484)</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94,242</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143,222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(9,351)</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133,871</w:t>
            </w: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other</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15,313</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(15,313)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24,536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(24,536)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9"/>
              </w:rPr>
              <w:t>1,035,646</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(15,313)</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(19,490)</w:t>
            </w: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(24,536)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976,182</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150,074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left="200"/>
              <w:spacing w:after="0"/>
              <w:rPr>
                <w:sz w:val="20"/>
                <w:szCs w:val="20"/>
                <w:color w:val="auto"/>
              </w:rPr>
            </w:pPr>
            <w:r>
              <w:rPr>
                <w:rFonts w:ascii="Times New Roman" w:cs="Times New Roman" w:eastAsia="Times New Roman" w:hAnsi="Times New Roman"/>
                <w:sz w:val="13"/>
                <w:szCs w:val="13"/>
                <w:color w:val="auto"/>
                <w:w w:val="94"/>
              </w:rPr>
              <w:t>15,313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19,490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24,536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209,538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(4,963)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(4,963)</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15,239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12,794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28,033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129,872</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3"/>
                <w:szCs w:val="13"/>
                <w:color w:val="auto"/>
                <w:w w:val="94"/>
              </w:rPr>
              <w:t>15,313</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19,490</w:t>
            </w:r>
          </w:p>
        </w:tc>
        <w:tc>
          <w:tcPr>
            <w:tcW w:w="2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24,536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(12,794)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176,542</w:t>
            </w:r>
          </w:p>
        </w:tc>
        <w:tc>
          <w:tcPr>
            <w:tcW w:w="0" w:type="dxa"/>
            <w:vAlign w:val="bottom"/>
          </w:tcPr>
          <w:p>
            <w:pPr>
              <w:spacing w:after="0"/>
              <w:rPr>
                <w:sz w:val="1"/>
                <w:szCs w:val="1"/>
                <w:color w:val="auto"/>
              </w:rPr>
            </w:pPr>
          </w:p>
        </w:tc>
      </w:tr>
      <w:tr>
        <w:trPr>
          <w:trHeight w:val="138"/>
        </w:trPr>
        <w:tc>
          <w:tcPr>
            <w:tcW w:w="23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129,667</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3"/>
                <w:szCs w:val="13"/>
                <w:color w:val="auto"/>
                <w:w w:val="94"/>
              </w:rPr>
              <w:t>15,313</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19,490</w:t>
            </w:r>
          </w:p>
        </w:tc>
        <w:tc>
          <w:tcPr>
            <w:tcW w:w="2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24,536</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(12,794)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$ 176,337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6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63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32"/>
        </w:trPr>
        <w:tc>
          <w:tcPr>
            <w:tcW w:w="63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382,885</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520,080</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interest-bearing investments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218,043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222,451</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 including unbilled of $281,873 and $211,498, respectively</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1,029,294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944,477</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215,914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224,622</w:t>
            </w:r>
          </w:p>
        </w:tc>
        <w:tc>
          <w:tcPr>
            <w:tcW w:w="4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1,846,136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1,911,630</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776,629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790,923</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163,181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160,938</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3,040,592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2,930,580</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645,128</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631,582</w:t>
            </w:r>
          </w:p>
        </w:tc>
        <w:tc>
          <w:tcPr>
            <w:tcW w:w="40" w:type="dxa"/>
            <w:vAlign w:val="bottom"/>
            <w:shd w:val="clear" w:color="auto" w:fill="CCEEFF"/>
          </w:tcPr>
          <w:p>
            <w:pPr>
              <w:spacing w:after="0"/>
              <w:rPr>
                <w:sz w:val="13"/>
                <w:szCs w:val="13"/>
                <w:color w:val="auto"/>
              </w:rPr>
            </w:pPr>
          </w:p>
        </w:tc>
      </w:tr>
      <w:tr>
        <w:trPr>
          <w:trHeight w:val="159"/>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6,471,666</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6,425,653</w:t>
            </w:r>
          </w:p>
        </w:tc>
        <w:tc>
          <w:tcPr>
            <w:tcW w:w="40" w:type="dxa"/>
            <w:vAlign w:val="bottom"/>
          </w:tcPr>
          <w:p>
            <w:pPr>
              <w:spacing w:after="0"/>
              <w:rPr>
                <w:sz w:val="13"/>
                <w:szCs w:val="13"/>
                <w:color w:val="auto"/>
              </w:rPr>
            </w:pPr>
          </w:p>
        </w:tc>
      </w:tr>
      <w:tr>
        <w:trPr>
          <w:trHeight w:val="16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accruals and other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1,244,546</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1,142,781</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39,960</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149,826</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170,634</w:t>
            </w:r>
          </w:p>
        </w:tc>
        <w:tc>
          <w:tcPr>
            <w:tcW w:w="40" w:type="dxa"/>
            <w:vAlign w:val="bottom"/>
            <w:shd w:val="clear" w:color="auto" w:fill="CCEEFF"/>
          </w:tcPr>
          <w:p>
            <w:pPr>
              <w:spacing w:after="0"/>
              <w:rPr>
                <w:sz w:val="13"/>
                <w:szCs w:val="13"/>
                <w:color w:val="auto"/>
              </w:rPr>
            </w:pPr>
          </w:p>
        </w:tc>
      </w:tr>
      <w:tr>
        <w:trPr>
          <w:trHeight w:val="151"/>
        </w:trPr>
        <w:tc>
          <w:tcPr>
            <w:tcW w:w="63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1,435,733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1,353,375</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117,155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121,654</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unamortized debt issuance costs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645,844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645,696</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670,581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737,996</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Amdocs Limited Shareholders’ equity</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3,559,745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3,523,759</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43,173</w:t>
            </w:r>
          </w:p>
        </w:tc>
      </w:tr>
      <w:tr>
        <w:trPr>
          <w:trHeight w:val="151"/>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3,602,353</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3,566,932</w:t>
            </w:r>
          </w:p>
        </w:tc>
        <w:tc>
          <w:tcPr>
            <w:tcW w:w="4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6,471,666</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6,425,653</w:t>
            </w:r>
          </w:p>
        </w:tc>
        <w:tc>
          <w:tcPr>
            <w:tcW w:w="40" w:type="dxa"/>
            <w:vAlign w:val="bottom"/>
            <w:shd w:val="clear" w:color="auto" w:fill="CCEEFF"/>
          </w:tcPr>
          <w:p>
            <w:pPr>
              <w:spacing w:after="0"/>
              <w:rPr>
                <w:sz w:val="13"/>
                <w:szCs w:val="13"/>
                <w:color w:val="auto"/>
              </w:rPr>
            </w:pPr>
          </w:p>
        </w:tc>
      </w:tr>
      <w:tr>
        <w:trPr>
          <w:trHeight w:val="28"/>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6300"/>
        <w:spacing w:after="0" w:line="230"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63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7"/>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8"/>
                <w:szCs w:val="8"/>
                <w:color w:val="auto"/>
              </w:rPr>
            </w:pPr>
          </w:p>
        </w:tc>
      </w:tr>
      <w:tr>
        <w:trPr>
          <w:trHeight w:val="132"/>
        </w:trPr>
        <w:tc>
          <w:tcPr>
            <w:tcW w:w="63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w w:val="96"/>
              </w:rPr>
              <w:t>$ 148,722</w:t>
            </w:r>
          </w:p>
        </w:tc>
        <w:tc>
          <w:tcPr>
            <w:tcW w:w="2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6"/>
              </w:rPr>
              <w:t>$ 129,872</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net income to net cash provided by operating activities: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45,861</w:t>
            </w:r>
          </w:p>
        </w:tc>
        <w:tc>
          <w:tcPr>
            <w:tcW w:w="2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61,071</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issuance cost</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149</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26,080</w:t>
            </w:r>
          </w:p>
        </w:tc>
        <w:tc>
          <w:tcPr>
            <w:tcW w:w="2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19,490</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(6,683)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(16,973)</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Loss from short-term interest-bearing investments</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548</w:t>
            </w:r>
          </w:p>
        </w:tc>
        <w:tc>
          <w:tcPr>
            <w:tcW w:w="2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639</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operating assets and liabilities, net of amounts acquired:</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(66,657)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(197,381)</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4,452</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16,069</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(10,538)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(848)</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 and liabilities, net</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(5,340)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(1,251)</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accrued expenses and accrued personnel</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95,787</w:t>
            </w:r>
          </w:p>
        </w:tc>
        <w:tc>
          <w:tcPr>
            <w:tcW w:w="2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82,136</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(25,930)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(6,194)</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payable, net</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(18,066)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(11,242)</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(5,998)</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7,693</w:t>
            </w:r>
          </w:p>
        </w:tc>
      </w:tr>
      <w:tr>
        <w:trPr>
          <w:trHeight w:val="159"/>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182,387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83,226</w:t>
            </w:r>
          </w:p>
        </w:tc>
        <w:tc>
          <w:tcPr>
            <w:tcW w:w="80" w:type="dxa"/>
            <w:vAlign w:val="bottom"/>
          </w:tcPr>
          <w:p>
            <w:pPr>
              <w:spacing w:after="0"/>
              <w:rPr>
                <w:sz w:val="13"/>
                <w:szCs w:val="13"/>
                <w:color w:val="auto"/>
              </w:rPr>
            </w:pPr>
          </w:p>
        </w:tc>
      </w:tr>
      <w:tr>
        <w:trPr>
          <w:trHeight w:val="16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net (a)</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(43,743)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(33,703)</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short-term interest-bearing investments</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8,534</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3,734</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Net cash paid for business acquisitions</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(77,329)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928</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(835)</w:t>
            </w:r>
          </w:p>
        </w:tc>
      </w:tr>
      <w:tr>
        <w:trPr>
          <w:trHeight w:val="159"/>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(111,610)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(30,804)</w:t>
            </w:r>
          </w:p>
        </w:tc>
        <w:tc>
          <w:tcPr>
            <w:tcW w:w="80" w:type="dxa"/>
            <w:vAlign w:val="bottom"/>
          </w:tcPr>
          <w:p>
            <w:pPr>
              <w:spacing w:after="0"/>
              <w:rPr>
                <w:sz w:val="13"/>
                <w:szCs w:val="13"/>
                <w:color w:val="auto"/>
              </w:rPr>
            </w:pPr>
          </w:p>
        </w:tc>
      </w:tr>
      <w:tr>
        <w:trPr>
          <w:trHeight w:val="16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shares</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(158,525)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(100,021)</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employee stock option exercises</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4,428</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14,589</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Payments of dividends</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(51,053)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(47,735)</w:t>
            </w: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(1,322)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Payment of contingent consideration from a business acquisition</w:t>
            </w:r>
          </w:p>
        </w:tc>
        <w:tc>
          <w:tcPr>
            <w:tcW w:w="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(1,500)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(453)</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(207,972)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(133,620)</w:t>
            </w:r>
          </w:p>
        </w:tc>
      </w:tr>
      <w:tr>
        <w:trPr>
          <w:trHeight w:val="151"/>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(137,195)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(81,198)</w:t>
            </w:r>
          </w:p>
        </w:tc>
        <w:tc>
          <w:tcPr>
            <w:tcW w:w="80" w:type="dxa"/>
            <w:vAlign w:val="bottom"/>
          </w:tcPr>
          <w:p>
            <w:pPr>
              <w:spacing w:after="0"/>
              <w:rPr>
                <w:sz w:val="13"/>
                <w:szCs w:val="13"/>
                <w:color w:val="auto"/>
              </w:rPr>
            </w:pPr>
          </w:p>
        </w:tc>
      </w:tr>
      <w:tr>
        <w:trPr>
          <w:trHeight w:val="15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520,080</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573,377</w:t>
            </w:r>
          </w:p>
        </w:tc>
      </w:tr>
      <w:tr>
        <w:trPr>
          <w:trHeight w:val="159"/>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2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$ 382,885</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$ 492,179</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Supplementary Information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tcPr>
          <w:p>
            <w:pPr>
              <w:jc w:val="center"/>
              <w:ind w:left="24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5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c>
          <w:tcPr>
            <w:tcW w:w="6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21"/>
        </w:trPr>
        <w:tc>
          <w:tcPr>
            <w:tcW w:w="4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812.7</w:t>
            </w:r>
          </w:p>
        </w:tc>
        <w:tc>
          <w:tcPr>
            <w:tcW w:w="40" w:type="dxa"/>
            <w:vAlign w:val="bottom"/>
            <w:shd w:val="clear" w:color="auto" w:fill="CCEEFF"/>
          </w:tcPr>
          <w:p>
            <w:pPr>
              <w:spacing w:after="0"/>
              <w:rPr>
                <w:sz w:val="12"/>
                <w:szCs w:val="12"/>
                <w:color w:val="auto"/>
              </w:rPr>
            </w:pPr>
          </w:p>
        </w:tc>
      </w:tr>
      <w:tr>
        <w:trPr>
          <w:trHeight w:val="152"/>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175.5</w:t>
            </w: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187.3</w:t>
            </w: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40" w:type="dxa"/>
            <w:vAlign w:val="bottom"/>
          </w:tcPr>
          <w:p>
            <w:pPr>
              <w:spacing w:after="0"/>
              <w:rPr>
                <w:sz w:val="13"/>
                <w:szCs w:val="13"/>
                <w:color w:val="auto"/>
              </w:rPr>
            </w:pPr>
          </w:p>
        </w:tc>
      </w:tr>
      <w:tr>
        <w:trPr>
          <w:trHeight w:val="15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 of the World</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232.6</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217.8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40" w:type="dxa"/>
            <w:vAlign w:val="bottom"/>
            <w:shd w:val="clear" w:color="auto" w:fill="CCEEFF"/>
          </w:tcPr>
          <w:p>
            <w:pPr>
              <w:spacing w:after="0"/>
              <w:rPr>
                <w:sz w:val="13"/>
                <w:szCs w:val="13"/>
                <w:color w:val="auto"/>
              </w:rPr>
            </w:pPr>
          </w:p>
        </w:tc>
      </w:tr>
      <w:tr>
        <w:trPr>
          <w:trHeight w:val="159"/>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1,242.6</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1,236.0</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1,223.3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1,185.7</w:t>
            </w:r>
          </w:p>
        </w:tc>
        <w:tc>
          <w:tcPr>
            <w:tcW w:w="40" w:type="dxa"/>
            <w:vAlign w:val="bottom"/>
          </w:tcPr>
          <w:p>
            <w:pPr>
              <w:spacing w:after="0"/>
              <w:rPr>
                <w:sz w:val="13"/>
                <w:szCs w:val="13"/>
                <w:color w:val="auto"/>
              </w:rPr>
            </w:pPr>
          </w:p>
        </w:tc>
      </w:tr>
      <w:tr>
        <w:trPr>
          <w:trHeight w:val="237"/>
        </w:trPr>
        <w:tc>
          <w:tcPr>
            <w:tcW w:w="4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left="24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77"/>
        </w:trPr>
        <w:tc>
          <w:tcPr>
            <w:tcW w:w="4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5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c>
          <w:tcPr>
            <w:tcW w:w="6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21"/>
        </w:trPr>
        <w:tc>
          <w:tcPr>
            <w:tcW w:w="4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Managed Services Revenue</w:t>
            </w:r>
          </w:p>
        </w:tc>
        <w:tc>
          <w:tcPr>
            <w:tcW w:w="1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718.1</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719.8</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699.8</w:t>
            </w:r>
          </w:p>
        </w:tc>
        <w:tc>
          <w:tcPr>
            <w:tcW w:w="40" w:type="dxa"/>
            <w:vAlign w:val="bottom"/>
            <w:shd w:val="clear" w:color="auto" w:fill="CCEEFF"/>
          </w:tcPr>
          <w:p>
            <w:pPr>
              <w:spacing w:after="0"/>
              <w:rPr>
                <w:sz w:val="12"/>
                <w:szCs w:val="12"/>
                <w:color w:val="auto"/>
              </w:rPr>
            </w:pPr>
          </w:p>
        </w:tc>
      </w:tr>
      <w:tr>
        <w:trPr>
          <w:trHeight w:val="226"/>
        </w:trPr>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77"/>
        </w:trPr>
        <w:tc>
          <w:tcPr>
            <w:tcW w:w="4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5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80" w:type="dxa"/>
            <w:vAlign w:val="bottom"/>
          </w:tcPr>
          <w:p>
            <w:pPr>
              <w:spacing w:after="0"/>
              <w:rPr>
                <w:sz w:val="6"/>
                <w:szCs w:val="6"/>
                <w:color w:val="auto"/>
              </w:rPr>
            </w:pPr>
          </w:p>
        </w:tc>
        <w:tc>
          <w:tcPr>
            <w:tcW w:w="6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21"/>
        </w:trPr>
        <w:tc>
          <w:tcPr>
            <w:tcW w:w="4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12-Month Backlog</w:t>
            </w:r>
          </w:p>
        </w:tc>
        <w:tc>
          <w:tcPr>
            <w:tcW w:w="1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4,210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4,150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4,140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4,090</w:t>
            </w:r>
          </w:p>
        </w:tc>
        <w:tc>
          <w:tcPr>
            <w:tcW w:w="40" w:type="dxa"/>
            <w:vAlign w:val="bottom"/>
            <w:shd w:val="clear" w:color="auto" w:fill="CCEEFF"/>
          </w:tcPr>
          <w:p>
            <w:pPr>
              <w:spacing w:after="0"/>
              <w:rPr>
                <w:sz w:val="12"/>
                <w:szCs w:val="12"/>
                <w:color w:val="auto"/>
              </w:rPr>
            </w:pPr>
          </w:p>
        </w:tc>
      </w:tr>
      <w:tr>
        <w:trPr>
          <w:trHeight w:val="179"/>
        </w:trPr>
        <w:tc>
          <w:tcPr>
            <w:tcW w:w="4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 # #</w:t>
      </w:r>
    </w:p>
    <w:p>
      <w:pPr>
        <w:sectPr>
          <w:pgSz w:w="11900" w:h="16838" w:orient="portrait"/>
          <w:cols w:equalWidth="0" w:num="1">
            <w:col w:w="9019"/>
          </w:cols>
          <w:pgMar w:left="1440" w:top="229"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2024-02-07T05:17:42Z</dcterms:created>
  <dcterms:modified xsi:type="dcterms:W3CDTF">2024-02-07T05:17:42Z</dcterms:modified>
</cp:coreProperties>
</file>