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83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839"/>
        <w:spacing w:after="0"/>
        <w:rPr>
          <w:sz w:val="20"/>
          <w:szCs w:val="20"/>
          <w:color w:val="auto"/>
        </w:rPr>
      </w:pPr>
      <w:r>
        <w:rPr>
          <w:rFonts w:ascii="Arial" w:cs="Arial" w:eastAsia="Arial" w:hAnsi="Arial"/>
          <w:sz w:val="22"/>
          <w:szCs w:val="22"/>
          <w:b w:val="1"/>
          <w:bCs w:val="1"/>
          <w:color w:val="auto"/>
        </w:rPr>
        <w:t>WASHINGTON, D.C. 20549</w:t>
      </w:r>
    </w:p>
    <w:p>
      <w:pPr>
        <w:spacing w:after="0" w:line="277" w:lineRule="exact"/>
        <w:rPr>
          <w:sz w:val="20"/>
          <w:szCs w:val="20"/>
          <w:color w:val="auto"/>
        </w:rPr>
      </w:pPr>
    </w:p>
    <w:p>
      <w:pPr>
        <w:jc w:val="center"/>
        <w:ind w:right="-839"/>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0"/>
          <w:szCs w:val="20"/>
          <w:color w:val="auto"/>
        </w:rPr>
      </w:pPr>
    </w:p>
    <w:p>
      <w:pPr>
        <w:jc w:val="center"/>
        <w:ind w:right="-8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0"/>
          <w:szCs w:val="20"/>
          <w:color w:val="auto"/>
        </w:rPr>
      </w:pPr>
    </w:p>
    <w:p>
      <w:pPr>
        <w:jc w:val="center"/>
        <w:ind w:right="-839"/>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8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For the Quarter Ended December 31, 2010</w:t>
      </w:r>
    </w:p>
    <w:p>
      <w:pPr>
        <w:spacing w:after="0" w:line="225"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Commission File Number 1-14840</w:t>
      </w:r>
    </w:p>
    <w:p>
      <w:pPr>
        <w:spacing w:after="0" w:line="200" w:lineRule="exact"/>
        <w:rPr>
          <w:sz w:val="20"/>
          <w:szCs w:val="20"/>
          <w:color w:val="auto"/>
        </w:rPr>
      </w:pPr>
    </w:p>
    <w:p>
      <w:pPr>
        <w:jc w:val="center"/>
        <w:ind w:right="-839"/>
        <w:spacing w:after="0"/>
        <w:rPr>
          <w:sz w:val="20"/>
          <w:szCs w:val="20"/>
          <w:color w:val="auto"/>
        </w:rPr>
      </w:pPr>
      <w:r>
        <w:rPr>
          <w:rFonts w:ascii="Arial" w:cs="Arial" w:eastAsia="Arial" w:hAnsi="Arial"/>
          <w:sz w:val="43"/>
          <w:szCs w:val="43"/>
          <w:b w:val="1"/>
          <w:bCs w:val="1"/>
          <w:color w:val="auto"/>
        </w:rPr>
        <w:t>AMDOCS LIMITED</w:t>
      </w:r>
    </w:p>
    <w:p>
      <w:pPr>
        <w:spacing w:after="0" w:line="50" w:lineRule="exact"/>
        <w:rPr>
          <w:sz w:val="20"/>
          <w:szCs w:val="20"/>
          <w:color w:val="auto"/>
        </w:rPr>
      </w:pPr>
    </w:p>
    <w:p>
      <w:pPr>
        <w:jc w:val="center"/>
        <w:ind w:right="-839"/>
        <w:spacing w:after="0"/>
        <w:rPr>
          <w:sz w:val="20"/>
          <w:szCs w:val="20"/>
          <w:color w:val="auto"/>
        </w:rPr>
      </w:pPr>
      <w:r>
        <w:rPr>
          <w:rFonts w:ascii="Arial" w:cs="Arial" w:eastAsia="Arial" w:hAnsi="Arial"/>
          <w:sz w:val="18"/>
          <w:szCs w:val="18"/>
          <w:color w:val="auto"/>
        </w:rPr>
        <w:t>Suite 5, Tower Hill House Le Bordage</w:t>
      </w:r>
    </w:p>
    <w:p>
      <w:pPr>
        <w:spacing w:after="0" w:line="7" w:lineRule="exact"/>
        <w:rPr>
          <w:sz w:val="20"/>
          <w:szCs w:val="20"/>
          <w:color w:val="auto"/>
        </w:rPr>
      </w:pPr>
    </w:p>
    <w:p>
      <w:pPr>
        <w:jc w:val="center"/>
        <w:ind w:right="-839"/>
        <w:spacing w:after="0"/>
        <w:rPr>
          <w:sz w:val="20"/>
          <w:szCs w:val="20"/>
          <w:color w:val="auto"/>
        </w:rPr>
      </w:pPr>
      <w:r>
        <w:rPr>
          <w:rFonts w:ascii="Arial" w:cs="Arial" w:eastAsia="Arial" w:hAnsi="Arial"/>
          <w:sz w:val="18"/>
          <w:szCs w:val="18"/>
          <w:color w:val="auto"/>
        </w:rPr>
        <w:t>St. Peter Port, Island of Guernsey, GY1 3QT Channel Islands</w:t>
      </w:r>
    </w:p>
    <w:p>
      <w:pPr>
        <w:spacing w:after="0" w:line="211" w:lineRule="exact"/>
        <w:rPr>
          <w:sz w:val="20"/>
          <w:szCs w:val="20"/>
          <w:color w:val="auto"/>
        </w:rPr>
      </w:pPr>
    </w:p>
    <w:p>
      <w:pPr>
        <w:jc w:val="center"/>
        <w:ind w:right="-839"/>
        <w:spacing w:after="0"/>
        <w:rPr>
          <w:sz w:val="20"/>
          <w:szCs w:val="20"/>
          <w:color w:val="auto"/>
        </w:rPr>
      </w:pPr>
      <w:r>
        <w:rPr>
          <w:rFonts w:ascii="Arial" w:cs="Arial" w:eastAsia="Arial" w:hAnsi="Arial"/>
          <w:sz w:val="18"/>
          <w:szCs w:val="18"/>
          <w:color w:val="auto"/>
        </w:rPr>
        <w:t>Amdocs, Inc.</w:t>
      </w:r>
    </w:p>
    <w:p>
      <w:pPr>
        <w:spacing w:after="0" w:line="23" w:lineRule="exact"/>
        <w:rPr>
          <w:sz w:val="20"/>
          <w:szCs w:val="20"/>
          <w:color w:val="auto"/>
        </w:rPr>
      </w:pPr>
    </w:p>
    <w:p>
      <w:pPr>
        <w:jc w:val="center"/>
        <w:ind w:right="-839"/>
        <w:spacing w:after="0"/>
        <w:rPr>
          <w:sz w:val="20"/>
          <w:szCs w:val="20"/>
          <w:color w:val="auto"/>
        </w:rPr>
      </w:pPr>
      <w:r>
        <w:rPr>
          <w:rFonts w:ascii="Arial" w:cs="Arial" w:eastAsia="Arial" w:hAnsi="Arial"/>
          <w:sz w:val="18"/>
          <w:szCs w:val="18"/>
          <w:color w:val="auto"/>
        </w:rPr>
        <w:t>1390 Timberlake Manor Parkway, Chesterfield, Missouri 63017</w:t>
      </w:r>
    </w:p>
    <w:p>
      <w:pPr>
        <w:spacing w:after="0" w:line="21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(Address of principal executive offices)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0"/>
          <w:szCs w:val="20"/>
          <w:color w:val="auto"/>
        </w:rPr>
      </w:pPr>
    </w:p>
    <w:p>
      <w:pPr>
        <w:ind w:left="462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o</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0"/>
          <w:szCs w:val="20"/>
          <w:color w:val="auto"/>
        </w:rPr>
      </w:pPr>
    </w:p>
    <w:p>
      <w:pPr>
        <w:ind w:left="5220"/>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5297170</wp:posOffset>
            </wp:positionH>
            <wp:positionV relativeFrom="paragraph">
              <wp:posOffset>-10160</wp:posOffset>
            </wp:positionV>
            <wp:extent cx="285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5750" cy="8890"/>
                    </a:xfrm>
                    <a:prstGeom prst="rect">
                      <a:avLst/>
                    </a:prstGeom>
                    <a:noFill/>
                  </pic:spPr>
                </pic:pic>
              </a:graphicData>
            </a:graphic>
          </wp:anchor>
        </w:drawing>
      </w:r>
    </w:p>
    <w:p>
      <w:pPr>
        <w:sectPr>
          <w:pgSz w:w="11900" w:h="16838" w:orient="portrait"/>
          <w:cols w:equalWidth="0" w:num="1">
            <w:col w:w="10580"/>
          </w:cols>
          <w:pgMar w:left="240" w:top="122" w:right="10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60" w:type="dxa"/>
            <w:vAlign w:val="bottom"/>
            <w:gridSpan w:val="3"/>
          </w:tcPr>
          <w:p>
            <w:pPr>
              <w:jc w:val="center"/>
              <w:ind w:right="2540"/>
              <w:spacing w:after="0"/>
              <w:rPr>
                <w:sz w:val="20"/>
                <w:szCs w:val="20"/>
                <w:color w:val="auto"/>
              </w:rPr>
            </w:pPr>
            <w:r>
              <w:rPr>
                <w:rFonts w:ascii="Arial" w:cs="Arial" w:eastAsia="Arial" w:hAnsi="Arial"/>
                <w:sz w:val="18"/>
                <w:szCs w:val="18"/>
                <w:color w:val="auto"/>
              </w:rPr>
              <w:t>AMDOCS LIMITED</w:t>
            </w:r>
          </w:p>
        </w:tc>
        <w:tc>
          <w:tcPr>
            <w:tcW w:w="1900" w:type="dxa"/>
            <w:vAlign w:val="bottom"/>
          </w:tcPr>
          <w:p>
            <w:pPr>
              <w:spacing w:after="0"/>
              <w:rPr>
                <w:sz w:val="20"/>
                <w:szCs w:val="20"/>
                <w:color w:val="auto"/>
              </w:rPr>
            </w:pPr>
          </w:p>
        </w:tc>
      </w:tr>
      <w:tr>
        <w:trPr>
          <w:trHeight w:val="324"/>
        </w:trPr>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80" w:type="dxa"/>
            <w:vAlign w:val="bottom"/>
            <w:gridSpan w:val="2"/>
          </w:tcPr>
          <w:p>
            <w:pPr>
              <w:jc w:val="center"/>
              <w:ind w:right="2920"/>
              <w:spacing w:after="0"/>
              <w:rPr>
                <w:sz w:val="20"/>
                <w:szCs w:val="20"/>
                <w:color w:val="auto"/>
              </w:rPr>
            </w:pPr>
            <w:r>
              <w:rPr>
                <w:rFonts w:ascii="Arial" w:cs="Arial" w:eastAsia="Arial" w:hAnsi="Arial"/>
                <w:sz w:val="18"/>
                <w:szCs w:val="18"/>
                <w:color w:val="auto"/>
                <w:w w:val="97"/>
              </w:rPr>
              <w:t>FORM 6-K</w:t>
            </w:r>
          </w:p>
        </w:tc>
        <w:tc>
          <w:tcPr>
            <w:tcW w:w="1900" w:type="dxa"/>
            <w:vAlign w:val="bottom"/>
          </w:tcPr>
          <w:p>
            <w:pPr>
              <w:spacing w:after="0"/>
              <w:rPr>
                <w:sz w:val="24"/>
                <w:szCs w:val="24"/>
                <w:color w:val="auto"/>
              </w:rPr>
            </w:pPr>
          </w:p>
        </w:tc>
      </w:tr>
      <w:tr>
        <w:trPr>
          <w:trHeight w:val="324"/>
        </w:trPr>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940" w:type="dxa"/>
            <w:vAlign w:val="bottom"/>
            <w:gridSpan w:val="5"/>
          </w:tcPr>
          <w:p>
            <w:pPr>
              <w:jc w:val="center"/>
              <w:ind w:right="1460"/>
              <w:spacing w:after="0"/>
              <w:rPr>
                <w:sz w:val="20"/>
                <w:szCs w:val="20"/>
                <w:color w:val="auto"/>
              </w:rPr>
            </w:pPr>
            <w:r>
              <w:rPr>
                <w:rFonts w:ascii="Arial" w:cs="Arial" w:eastAsia="Arial" w:hAnsi="Arial"/>
                <w:sz w:val="18"/>
                <w:szCs w:val="18"/>
                <w:color w:val="auto"/>
                <w:w w:val="92"/>
              </w:rPr>
              <w:t>REPORT OF FOREIGN PRIVATE ISSUER</w:t>
            </w:r>
          </w:p>
        </w:tc>
        <w:tc>
          <w:tcPr>
            <w:tcW w:w="1900" w:type="dxa"/>
            <w:vAlign w:val="bottom"/>
          </w:tcPr>
          <w:p>
            <w:pPr>
              <w:spacing w:after="0"/>
              <w:rPr>
                <w:sz w:val="24"/>
                <w:szCs w:val="24"/>
                <w:color w:val="auto"/>
              </w:rPr>
            </w:pPr>
          </w:p>
        </w:tc>
      </w:tr>
      <w:tr>
        <w:trPr>
          <w:trHeight w:val="324"/>
        </w:trPr>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940" w:type="dxa"/>
            <w:vAlign w:val="bottom"/>
            <w:gridSpan w:val="5"/>
          </w:tcPr>
          <w:p>
            <w:pPr>
              <w:jc w:val="center"/>
              <w:ind w:right="1480"/>
              <w:spacing w:after="0"/>
              <w:rPr>
                <w:sz w:val="20"/>
                <w:szCs w:val="20"/>
                <w:color w:val="auto"/>
              </w:rPr>
            </w:pPr>
            <w:r>
              <w:rPr>
                <w:rFonts w:ascii="Arial" w:cs="Arial" w:eastAsia="Arial" w:hAnsi="Arial"/>
                <w:sz w:val="18"/>
                <w:szCs w:val="18"/>
                <w:color w:val="auto"/>
                <w:w w:val="94"/>
              </w:rPr>
              <w:t>FOR THE QUARTER ENDED DECEMBER 31, 2010</w:t>
            </w:r>
          </w:p>
        </w:tc>
        <w:tc>
          <w:tcPr>
            <w:tcW w:w="1900" w:type="dxa"/>
            <w:vAlign w:val="bottom"/>
          </w:tcPr>
          <w:p>
            <w:pPr>
              <w:spacing w:after="0"/>
              <w:rPr>
                <w:sz w:val="24"/>
                <w:szCs w:val="24"/>
                <w:color w:val="auto"/>
              </w:rPr>
            </w:pPr>
          </w:p>
        </w:tc>
      </w:tr>
      <w:tr>
        <w:trPr>
          <w:trHeight w:val="324"/>
        </w:trPr>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80" w:type="dxa"/>
            <w:vAlign w:val="bottom"/>
            <w:gridSpan w:val="2"/>
          </w:tcPr>
          <w:p>
            <w:pPr>
              <w:jc w:val="center"/>
              <w:ind w:right="2920"/>
              <w:spacing w:after="0"/>
              <w:rPr>
                <w:sz w:val="20"/>
                <w:szCs w:val="20"/>
                <w:color w:val="auto"/>
              </w:rPr>
            </w:pPr>
            <w:r>
              <w:rPr>
                <w:rFonts w:ascii="Arial" w:cs="Arial" w:eastAsia="Arial" w:hAnsi="Arial"/>
                <w:sz w:val="18"/>
                <w:szCs w:val="18"/>
                <w:color w:val="auto"/>
              </w:rPr>
              <w:t>INDEX</w:t>
            </w:r>
          </w:p>
        </w:tc>
        <w:tc>
          <w:tcPr>
            <w:tcW w:w="1900" w:type="dxa"/>
            <w:vAlign w:val="bottom"/>
          </w:tcPr>
          <w:p>
            <w:pPr>
              <w:spacing w:after="0"/>
              <w:rPr>
                <w:sz w:val="24"/>
                <w:szCs w:val="24"/>
                <w:color w:val="auto"/>
              </w:rPr>
            </w:pPr>
          </w:p>
        </w:tc>
      </w:tr>
      <w:tr>
        <w:trPr>
          <w:trHeight w:val="392"/>
        </w:trPr>
        <w:tc>
          <w:tcPr>
            <w:tcW w:w="942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1900" w:type="dxa"/>
            <w:vAlign w:val="bottom"/>
          </w:tcPr>
          <w:p>
            <w:pPr>
              <w:spacing w:after="0"/>
              <w:rPr>
                <w:sz w:val="24"/>
                <w:szCs w:val="24"/>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1540" w:type="dxa"/>
            <w:vAlign w:val="bottom"/>
            <w:tcBorders>
              <w:top w:val="single" w:sz="8" w:color="0000EE"/>
              <w:bottom w:val="single" w:sz="8" w:color="0000EE"/>
            </w:tcBorders>
            <w:gridSpan w:val="2"/>
          </w:tcPr>
          <w:p>
            <w:pPr>
              <w:ind w:left="20"/>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w:t>
              </w:r>
            </w:hyperlink>
          </w:p>
        </w:tc>
        <w:tc>
          <w:tcPr>
            <w:tcW w:w="560" w:type="dxa"/>
            <w:vAlign w:val="bottom"/>
            <w:tcBorders>
              <w:top w:val="single" w:sz="8" w:color="0000EE"/>
            </w:tcBorders>
            <w:gridSpan w:val="4"/>
          </w:tcPr>
          <w:p>
            <w:pPr>
              <w:spacing w:after="0"/>
              <w:rPr>
                <w:sz w:val="17"/>
                <w:szCs w:val="17"/>
                <w:color w:val="auto"/>
              </w:rPr>
            </w:pPr>
          </w:p>
        </w:tc>
        <w:tc>
          <w:tcPr>
            <w:tcW w:w="6580" w:type="dxa"/>
            <w:vAlign w:val="bottom"/>
            <w:gridSpan w:val="7"/>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22"/>
        </w:trPr>
        <w:tc>
          <w:tcPr>
            <w:tcW w:w="220" w:type="dxa"/>
            <w:vAlign w:val="bottom"/>
          </w:tcPr>
          <w:p>
            <w:pPr>
              <w:spacing w:after="0"/>
              <w:rPr>
                <w:sz w:val="19"/>
                <w:szCs w:val="19"/>
                <w:color w:val="auto"/>
              </w:rPr>
            </w:pPr>
          </w:p>
        </w:tc>
        <w:tc>
          <w:tcPr>
            <w:tcW w:w="9200" w:type="dxa"/>
            <w:vAlign w:val="bottom"/>
            <w:gridSpan w:val="15"/>
          </w:tcPr>
          <w:p>
            <w:pPr>
              <w:ind w:left="200"/>
              <w:spacing w:after="0"/>
              <w:rPr>
                <w:sz w:val="20"/>
                <w:szCs w:val="20"/>
                <w:color w:val="auto"/>
              </w:rPr>
            </w:pPr>
            <w:r>
              <w:rPr>
                <w:rFonts w:ascii="Arial" w:cs="Arial" w:eastAsia="Arial" w:hAnsi="Arial"/>
                <w:sz w:val="18"/>
                <w:szCs w:val="18"/>
                <w:color w:val="auto"/>
              </w:rPr>
              <w:t>Unaudited Consolidated Financial Statements</w:t>
            </w:r>
          </w:p>
        </w:tc>
        <w:tc>
          <w:tcPr>
            <w:tcW w:w="1900" w:type="dxa"/>
            <w:vAlign w:val="bottom"/>
          </w:tcPr>
          <w:p>
            <w:pPr>
              <w:spacing w:after="0"/>
              <w:rPr>
                <w:sz w:val="19"/>
                <w:szCs w:val="19"/>
                <w:color w:val="auto"/>
              </w:rPr>
            </w:pPr>
          </w:p>
        </w:tc>
      </w:tr>
      <w:tr>
        <w:trPr>
          <w:trHeight w:val="190"/>
        </w:trPr>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0" w:type="dxa"/>
            <w:vAlign w:val="bottom"/>
            <w:gridSpan w:val="14"/>
          </w:tcPr>
          <w:p>
            <w:pPr>
              <w:spacing w:after="0" w:line="190"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w:t>
              </w:r>
            </w:hyperlink>
          </w:p>
        </w:tc>
        <w:tc>
          <w:tcPr>
            <w:tcW w:w="190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r>
      <w:tr>
        <w:trPr>
          <w:trHeight w:val="20"/>
        </w:trPr>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0" w:type="dxa"/>
            <w:vAlign w:val="bottom"/>
            <w:gridSpan w:val="1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Income</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0" w:type="dxa"/>
            <w:vAlign w:val="bottom"/>
            <w:gridSpan w:val="1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 of Changes in Shareholders’ Equity</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3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w:t>
              </w:r>
            </w:hyperlink>
          </w:p>
        </w:tc>
        <w:tc>
          <w:tcPr>
            <w:tcW w:w="4480" w:type="dxa"/>
            <w:vAlign w:val="bottom"/>
            <w:gridSpan w:val="2"/>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0" w:type="dxa"/>
            <w:vAlign w:val="bottom"/>
            <w:gridSpan w:val="14"/>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Unaudited Consolidated Financial Statements</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0" w:type="dxa"/>
            <w:vAlign w:val="bottom"/>
            <w:gridSpan w:val="5"/>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Item 2.</w:t>
              </w:r>
            </w:hyperlink>
          </w:p>
        </w:tc>
        <w:tc>
          <w:tcPr>
            <w:tcW w:w="3400" w:type="dxa"/>
            <w:vAlign w:val="bottom"/>
            <w:tcBorders>
              <w:bottom w:val="single" w:sz="8" w:color="0000EE"/>
            </w:tcBorders>
            <w:gridSpan w:val="9"/>
          </w:tcPr>
          <w:p>
            <w:pPr>
              <w:ind w:left="20"/>
              <w:spacing w:after="0" w:line="19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Operating and Financial Review and Prospects</w:t>
              </w:r>
            </w:hyperlink>
          </w:p>
        </w:tc>
        <w:tc>
          <w:tcPr>
            <w:tcW w:w="5280" w:type="dxa"/>
            <w:vAlign w:val="bottom"/>
            <w:gridSpan w:val="4"/>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2540" w:type="dxa"/>
            <w:vAlign w:val="bottom"/>
            <w:tcBorders>
              <w:bottom w:val="single" w:sz="8" w:color="0000EE"/>
            </w:tcBorders>
            <w:gridSpan w:val="7"/>
          </w:tcPr>
          <w:p>
            <w:pPr>
              <w:spacing w:after="0" w:line="196" w:lineRule="exact"/>
              <w:rPr>
                <w:rFonts w:ascii="Arial" w:cs="Arial" w:eastAsia="Arial" w:hAnsi="Arial"/>
                <w:sz w:val="18"/>
                <w:szCs w:val="18"/>
                <w:color w:val="0000EE"/>
                <w:w w:val="96"/>
              </w:rPr>
            </w:pPr>
            <w:hyperlink w:anchor="page24">
              <w:r>
                <w:rPr>
                  <w:rFonts w:ascii="Arial" w:cs="Arial" w:eastAsia="Arial" w:hAnsi="Arial"/>
                  <w:sz w:val="18"/>
                  <w:szCs w:val="18"/>
                  <w:color w:val="0000EE"/>
                  <w:w w:val="96"/>
                </w:rPr>
                <w:t>PART II OTHER INFORMATION</w:t>
              </w:r>
            </w:hyperlink>
          </w:p>
        </w:tc>
        <w:tc>
          <w:tcPr>
            <w:tcW w:w="6880" w:type="dxa"/>
            <w:vAlign w:val="bottom"/>
            <w:gridSpan w:val="9"/>
          </w:tcPr>
          <w:p>
            <w:pPr>
              <w:spacing w:after="0"/>
              <w:rPr>
                <w:sz w:val="17"/>
                <w:szCs w:val="17"/>
                <w:color w:val="auto"/>
              </w:rPr>
            </w:pPr>
          </w:p>
        </w:tc>
        <w:tc>
          <w:tcPr>
            <w:tcW w:w="190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Item 1.</w:t>
              </w:r>
            </w:hyperlink>
          </w:p>
        </w:tc>
        <w:tc>
          <w:tcPr>
            <w:tcW w:w="8680" w:type="dxa"/>
            <w:vAlign w:val="bottom"/>
            <w:gridSpan w:val="13"/>
          </w:tcPr>
          <w:p>
            <w:pPr>
              <w:ind w:left="20"/>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Changes in Securities, Use of Proceeds and Issuer Purchases of Equity Securities</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220" w:type="dxa"/>
            <w:vAlign w:val="bottom"/>
          </w:tcPr>
          <w:p>
            <w:pPr>
              <w:spacing w:after="0"/>
              <w:rPr>
                <w:sz w:val="17"/>
                <w:szCs w:val="17"/>
                <w:color w:val="auto"/>
              </w:rPr>
            </w:pPr>
          </w:p>
        </w:tc>
        <w:tc>
          <w:tcPr>
            <w:tcW w:w="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Item 2.</w:t>
              </w:r>
            </w:hyperlink>
          </w:p>
        </w:tc>
        <w:tc>
          <w:tcPr>
            <w:tcW w:w="1580" w:type="dxa"/>
            <w:vAlign w:val="bottom"/>
            <w:tcBorders>
              <w:top w:val="single" w:sz="8" w:color="0000EE"/>
              <w:bottom w:val="single" w:sz="8" w:color="0000EE"/>
            </w:tcBorders>
            <w:gridSpan w:val="3"/>
          </w:tcPr>
          <w:p>
            <w:pPr>
              <w:ind w:left="20"/>
              <w:spacing w:after="0" w:line="196" w:lineRule="exact"/>
              <w:rPr>
                <w:rFonts w:ascii="Arial" w:cs="Arial" w:eastAsia="Arial" w:hAnsi="Arial"/>
                <w:sz w:val="18"/>
                <w:szCs w:val="18"/>
                <w:color w:val="0000EE"/>
                <w:w w:val="91"/>
              </w:rPr>
            </w:pPr>
            <w:hyperlink w:anchor="page24">
              <w:r>
                <w:rPr>
                  <w:rFonts w:ascii="Arial" w:cs="Arial" w:eastAsia="Arial" w:hAnsi="Arial"/>
                  <w:sz w:val="18"/>
                  <w:szCs w:val="18"/>
                  <w:color w:val="0000EE"/>
                  <w:w w:val="91"/>
                </w:rPr>
                <w:t>Reports on Form 6-K</w:t>
              </w:r>
            </w:hyperlink>
          </w:p>
        </w:tc>
        <w:tc>
          <w:tcPr>
            <w:tcW w:w="4280" w:type="dxa"/>
            <w:vAlign w:val="bottom"/>
            <w:tcBorders>
              <w:top w:val="single" w:sz="8" w:color="0000EE"/>
            </w:tcBorders>
            <w:gridSpan w:val="9"/>
          </w:tcPr>
          <w:p>
            <w:pPr>
              <w:spacing w:after="0"/>
              <w:rPr>
                <w:sz w:val="17"/>
                <w:szCs w:val="17"/>
                <w:color w:val="auto"/>
              </w:rPr>
            </w:pPr>
          </w:p>
        </w:tc>
        <w:tc>
          <w:tcPr>
            <w:tcW w:w="2820" w:type="dxa"/>
            <w:vAlign w:val="bottom"/>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9420" w:type="dxa"/>
            <w:vAlign w:val="bottom"/>
            <w:gridSpan w:val="16"/>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SIGNATURES</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This report on Form 6-K shall be incorporated by reference into the Registration Statements on Form F-3 (File Nos. 333-114079 and 333-114344) and any other Registration Statement filed by the Registrant that by its terms automatically incorporates the Registrant’s filings and submissions with the SEC under Sections 13(a), 13(c) or 15(d) of the Securities Exchange Act of 1934.</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62"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182"/>
              <w:spacing w:after="0"/>
              <w:rPr>
                <w:sz w:val="20"/>
                <w:szCs w:val="20"/>
                <w:color w:val="auto"/>
              </w:rPr>
            </w:pPr>
            <w:r>
              <w:rPr>
                <w:rFonts w:ascii="Arial" w:cs="Arial" w:eastAsia="Arial" w:hAnsi="Arial"/>
                <w:sz w:val="14"/>
                <w:szCs w:val="14"/>
                <w:b w:val="1"/>
                <w:bCs w:val="1"/>
                <w:color w:val="auto"/>
              </w:rPr>
              <w:t>As of</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8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520" w:type="dxa"/>
            <w:vAlign w:val="bottom"/>
          </w:tcPr>
          <w:p>
            <w:pPr>
              <w:spacing w:after="0"/>
              <w:rPr>
                <w:sz w:val="10"/>
                <w:szCs w:val="10"/>
                <w:color w:val="auto"/>
              </w:rPr>
            </w:pPr>
          </w:p>
        </w:tc>
        <w:tc>
          <w:tcPr>
            <w:tcW w:w="9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96"/>
              </w:rPr>
              <w:t>2010</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891,862</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1,036,195</w:t>
            </w: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Short-term interest-bearing investments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359,777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397,104</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547,867</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580,000</w:t>
            </w: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Deferred income taxes and taxes receivable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137,879</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126,083</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156,720</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112,417</w:t>
            </w:r>
          </w:p>
        </w:tc>
      </w:tr>
      <w:tr>
        <w:trPr>
          <w:trHeight w:val="223"/>
        </w:trPr>
        <w:tc>
          <w:tcPr>
            <w:tcW w:w="20" w:type="dxa"/>
            <w:vAlign w:val="bottom"/>
          </w:tcPr>
          <w:p>
            <w:pPr>
              <w:spacing w:after="0"/>
              <w:rPr>
                <w:sz w:val="19"/>
                <w:szCs w:val="19"/>
                <w:color w:val="auto"/>
              </w:rPr>
            </w:pPr>
          </w:p>
        </w:tc>
        <w:tc>
          <w:tcPr>
            <w:tcW w:w="8380" w:type="dxa"/>
            <w:vAlign w:val="bottom"/>
          </w:tcPr>
          <w:p>
            <w:pPr>
              <w:ind w:left="200"/>
              <w:spacing w:after="0"/>
              <w:rPr>
                <w:sz w:val="20"/>
                <w:szCs w:val="20"/>
                <w:color w:val="auto"/>
              </w:rPr>
            </w:pPr>
            <w:r>
              <w:rPr>
                <w:rFonts w:ascii="Arial" w:cs="Arial" w:eastAsia="Arial" w:hAnsi="Arial"/>
                <w:sz w:val="18"/>
                <w:szCs w:val="18"/>
                <w:b w:val="1"/>
                <w:bCs w:val="1"/>
                <w:color w:val="auto"/>
              </w:rPr>
              <w:t>Total current assets</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2,094,105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2,251,799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Equipment and leasehold improvements, net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250,902</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258,273</w:t>
            </w: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Deferred income taxes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111,046</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132,403</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1,637,416</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1,637,416</w:t>
            </w: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Intangible assets, net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199,306</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218,762</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354,568</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321,951</w:t>
            </w:r>
          </w:p>
        </w:tc>
      </w:tr>
      <w:tr>
        <w:trPr>
          <w:trHeight w:val="223"/>
        </w:trPr>
        <w:tc>
          <w:tcPr>
            <w:tcW w:w="20" w:type="dxa"/>
            <w:vAlign w:val="bottom"/>
          </w:tcPr>
          <w:p>
            <w:pPr>
              <w:spacing w:after="0"/>
              <w:rPr>
                <w:sz w:val="19"/>
                <w:szCs w:val="19"/>
                <w:color w:val="auto"/>
              </w:rPr>
            </w:pPr>
          </w:p>
        </w:tc>
        <w:tc>
          <w:tcPr>
            <w:tcW w:w="8380" w:type="dxa"/>
            <w:vAlign w:val="bottom"/>
          </w:tcPr>
          <w:p>
            <w:pPr>
              <w:ind w:left="200"/>
              <w:spacing w:after="0"/>
              <w:rPr>
                <w:sz w:val="20"/>
                <w:szCs w:val="20"/>
                <w:color w:val="auto"/>
              </w:rPr>
            </w:pPr>
            <w:r>
              <w:rPr>
                <w:rFonts w:ascii="Arial" w:cs="Arial" w:eastAsia="Arial" w:hAnsi="Arial"/>
                <w:sz w:val="18"/>
                <w:szCs w:val="18"/>
                <w:b w:val="1"/>
                <w:bCs w:val="1"/>
                <w:color w:val="auto"/>
              </w:rPr>
              <w:t>Total assets</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4,647,343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4,820,604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115,430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168,321</w:t>
            </w: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291,674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250,455</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Accrued personnel costs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207,044</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202,773</w:t>
            </w: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Short-term financing arrangements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200,000</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216,258</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184,481</w:t>
            </w:r>
          </w:p>
        </w:tc>
      </w:tr>
      <w:tr>
        <w:trPr>
          <w:trHeight w:val="223"/>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Deferred income taxes and taxes payable</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 current liabilities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846,863</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1,024,147</w:t>
            </w: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Deferred income taxes and taxes payable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290,589</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293,723</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290,919</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273,354</w:t>
            </w:r>
          </w:p>
        </w:tc>
      </w:tr>
      <w:tr>
        <w:trPr>
          <w:trHeight w:val="230"/>
        </w:trPr>
        <w:tc>
          <w:tcPr>
            <w:tcW w:w="20" w:type="dxa"/>
            <w:vAlign w:val="bottom"/>
          </w:tcPr>
          <w:p>
            <w:pPr>
              <w:spacing w:after="0"/>
              <w:rPr>
                <w:sz w:val="20"/>
                <w:szCs w:val="20"/>
                <w:color w:val="auto"/>
              </w:rPr>
            </w:pPr>
          </w:p>
        </w:tc>
        <w:tc>
          <w:tcPr>
            <w:tcW w:w="8380" w:type="dxa"/>
            <w:vAlign w:val="bottom"/>
          </w:tcPr>
          <w:p>
            <w:pPr>
              <w:ind w:left="200"/>
              <w:spacing w:after="0"/>
              <w:rPr>
                <w:sz w:val="20"/>
                <w:szCs w:val="20"/>
                <w:color w:val="auto"/>
              </w:rPr>
            </w:pPr>
            <w:r>
              <w:rPr>
                <w:rFonts w:ascii="Arial" w:cs="Arial" w:eastAsia="Arial" w:hAnsi="Arial"/>
                <w:sz w:val="18"/>
                <w:szCs w:val="18"/>
                <w:b w:val="1"/>
                <w:bCs w:val="1"/>
                <w:color w:val="auto"/>
              </w:rPr>
              <w:t>Total liabilities</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1,428,371</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1,591,224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Preferred Shares — Authorized 25,000 shares; £0.01 par value; 0 shares issued and outstanding</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8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Ordinary Shares — Authorized 700,000 shares; £0.01 par value; 245,255 and 244,131 issued and 190,041 and</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193,049 outstanding, respectively</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3,956</w:t>
            </w: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2,429,262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2,402,163</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—55,214 and 51,082 ordinary shares, respectively</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(1,422,592)</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(1,309,161)</w:t>
            </w: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4,466</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1,952</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2,203,861</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2,130,470</w:t>
            </w:r>
          </w:p>
        </w:tc>
      </w:tr>
      <w:tr>
        <w:trPr>
          <w:trHeight w:val="230"/>
        </w:trPr>
        <w:tc>
          <w:tcPr>
            <w:tcW w:w="20" w:type="dxa"/>
            <w:vAlign w:val="bottom"/>
          </w:tcPr>
          <w:p>
            <w:pPr>
              <w:spacing w:after="0"/>
              <w:rPr>
                <w:sz w:val="20"/>
                <w:szCs w:val="20"/>
                <w:color w:val="auto"/>
              </w:rPr>
            </w:pPr>
          </w:p>
        </w:tc>
        <w:tc>
          <w:tcPr>
            <w:tcW w:w="8380" w:type="dxa"/>
            <w:vAlign w:val="bottom"/>
          </w:tcPr>
          <w:p>
            <w:pPr>
              <w:ind w:left="200"/>
              <w:spacing w:after="0"/>
              <w:rPr>
                <w:sz w:val="20"/>
                <w:szCs w:val="20"/>
                <w:color w:val="auto"/>
              </w:rPr>
            </w:pPr>
            <w:r>
              <w:rPr>
                <w:rFonts w:ascii="Arial" w:cs="Arial" w:eastAsia="Arial" w:hAnsi="Arial"/>
                <w:sz w:val="18"/>
                <w:szCs w:val="18"/>
                <w:b w:val="1"/>
                <w:bCs w:val="1"/>
                <w:color w:val="auto"/>
              </w:rPr>
              <w:t>Total shareholders’ equity</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3,218,972</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3,229,380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 liabilities and shareholders’ equity</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4,647,343</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4,820,604</w:t>
            </w: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02"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Three months ended</w:t>
      </w:r>
    </w:p>
    <w:p>
      <w:pPr>
        <w:jc w:val="center"/>
        <w:ind w:left="91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License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29,906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745,275</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700,661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775,181</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724,811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100" w:type="dxa"/>
            <w:vAlign w:val="bottom"/>
          </w:tcPr>
          <w:p>
            <w:pPr>
              <w:spacing w:after="0"/>
              <w:rPr>
                <w:sz w:val="18"/>
                <w:szCs w:val="18"/>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700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508,138</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462,215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54,992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50,106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104,357</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91,580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19,410</w:t>
            </w:r>
          </w:p>
        </w:tc>
        <w:tc>
          <w:tcPr>
            <w:tcW w:w="340" w:type="dxa"/>
            <w:vAlign w:val="bottom"/>
            <w:gridSpan w:val="2"/>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687,597</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625,662</w:t>
            </w:r>
          </w:p>
        </w:tc>
        <w:tc>
          <w:tcPr>
            <w:tcW w:w="0" w:type="dxa"/>
            <w:vAlign w:val="bottom"/>
          </w:tcPr>
          <w:p>
            <w:pPr>
              <w:spacing w:after="0"/>
              <w:rPr>
                <w:sz w:val="1"/>
                <w:szCs w:val="1"/>
                <w:color w:val="auto"/>
              </w:rPr>
            </w:pPr>
          </w:p>
        </w:tc>
      </w:tr>
      <w:tr>
        <w:trPr>
          <w:trHeight w:val="223"/>
        </w:trPr>
        <w:tc>
          <w:tcPr>
            <w:tcW w:w="92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87,584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99,149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3,117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23"/>
        </w:trPr>
        <w:tc>
          <w:tcPr>
            <w:tcW w:w="92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84,467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98,434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11,076</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10,081</w:t>
            </w:r>
          </w:p>
        </w:tc>
        <w:tc>
          <w:tcPr>
            <w:tcW w:w="0" w:type="dxa"/>
            <w:vAlign w:val="bottom"/>
          </w:tcPr>
          <w:p>
            <w:pPr>
              <w:spacing w:after="0"/>
              <w:rPr>
                <w:sz w:val="1"/>
                <w:szCs w:val="1"/>
                <w:color w:val="auto"/>
              </w:rPr>
            </w:pPr>
          </w:p>
        </w:tc>
      </w:tr>
      <w:tr>
        <w:trPr>
          <w:trHeight w:val="223"/>
        </w:trPr>
        <w:tc>
          <w:tcPr>
            <w:tcW w:w="92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73,391</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88,353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34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gridSpan w:val="2"/>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191,599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205,430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gridSpan w:val="2"/>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192,969</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206,656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SHAREHOLDERS’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Additional</w:t>
            </w: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3"/>
              </w:rPr>
              <w:t>Accumulated</w:t>
            </w: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2200" w:type="dxa"/>
            <w:vAlign w:val="bottom"/>
            <w:gridSpan w:val="7"/>
            <w:vMerge w:val="restart"/>
          </w:tcPr>
          <w:p>
            <w:pPr>
              <w:ind w:left="380"/>
              <w:spacing w:after="0"/>
              <w:rPr>
                <w:sz w:val="20"/>
                <w:szCs w:val="20"/>
                <w:color w:val="auto"/>
              </w:rPr>
            </w:pPr>
            <w:r>
              <w:rPr>
                <w:rFonts w:ascii="Arial" w:cs="Arial" w:eastAsia="Arial" w:hAnsi="Arial"/>
                <w:sz w:val="14"/>
                <w:szCs w:val="14"/>
                <w:b w:val="1"/>
                <w:bCs w:val="1"/>
                <w:color w:val="auto"/>
              </w:rPr>
              <w:t>Ordinary Shares</w:t>
            </w:r>
          </w:p>
        </w:tc>
        <w:tc>
          <w:tcPr>
            <w:tcW w:w="1280" w:type="dxa"/>
            <w:vAlign w:val="bottom"/>
            <w:gridSpan w:val="2"/>
            <w:vMerge w:val="continue"/>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Other</w:t>
            </w: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920" w:type="dxa"/>
            <w:vAlign w:val="bottom"/>
          </w:tcPr>
          <w:p>
            <w:pPr>
              <w:spacing w:after="0"/>
              <w:rPr>
                <w:sz w:val="13"/>
                <w:szCs w:val="13"/>
                <w:color w:val="auto"/>
              </w:rPr>
            </w:pPr>
          </w:p>
        </w:tc>
        <w:tc>
          <w:tcPr>
            <w:tcW w:w="2200" w:type="dxa"/>
            <w:vAlign w:val="bottom"/>
            <w:gridSpan w:val="7"/>
            <w:vMerge w:val="continue"/>
          </w:tcPr>
          <w:p>
            <w:pPr>
              <w:spacing w:after="0"/>
              <w:rPr>
                <w:sz w:val="13"/>
                <w:szCs w:val="13"/>
                <w:color w:val="auto"/>
              </w:rPr>
            </w:pPr>
          </w:p>
        </w:tc>
        <w:tc>
          <w:tcPr>
            <w:tcW w:w="1280" w:type="dxa"/>
            <w:vAlign w:val="bottom"/>
            <w:gridSpan w:val="2"/>
          </w:tcPr>
          <w:p>
            <w:pPr>
              <w:jc w:val="right"/>
              <w:ind w:right="640"/>
              <w:spacing w:after="0" w:line="158" w:lineRule="exact"/>
              <w:rPr>
                <w:sz w:val="20"/>
                <w:szCs w:val="20"/>
                <w:color w:val="auto"/>
              </w:rPr>
            </w:pPr>
            <w:r>
              <w:rPr>
                <w:rFonts w:ascii="Arial" w:cs="Arial" w:eastAsia="Arial" w:hAnsi="Arial"/>
                <w:sz w:val="14"/>
                <w:szCs w:val="14"/>
                <w:b w:val="1"/>
                <w:bCs w:val="1"/>
                <w:color w:val="auto"/>
              </w:rPr>
              <w:t>Paid-in</w:t>
            </w:r>
          </w:p>
        </w:tc>
        <w:tc>
          <w:tcPr>
            <w:tcW w:w="1160" w:type="dxa"/>
            <w:vAlign w:val="bottom"/>
            <w:gridSpan w:val="2"/>
          </w:tcPr>
          <w:p>
            <w:pPr>
              <w:jc w:val="right"/>
              <w:ind w:right="340"/>
              <w:spacing w:after="0" w:line="158" w:lineRule="exact"/>
              <w:rPr>
                <w:sz w:val="20"/>
                <w:szCs w:val="20"/>
                <w:color w:val="auto"/>
              </w:rPr>
            </w:pPr>
            <w:r>
              <w:rPr>
                <w:rFonts w:ascii="Arial" w:cs="Arial" w:eastAsia="Arial" w:hAnsi="Arial"/>
                <w:sz w:val="14"/>
                <w:szCs w:val="14"/>
                <w:b w:val="1"/>
                <w:bCs w:val="1"/>
                <w:color w:val="auto"/>
              </w:rPr>
              <w:t>Treasury</w:t>
            </w:r>
          </w:p>
        </w:tc>
        <w:tc>
          <w:tcPr>
            <w:tcW w:w="1600" w:type="dxa"/>
            <w:vAlign w:val="bottom"/>
            <w:gridSpan w:val="4"/>
          </w:tcPr>
          <w:p>
            <w:pPr>
              <w:jc w:val="center"/>
              <w:ind w:right="240"/>
              <w:spacing w:after="0" w:line="158" w:lineRule="exact"/>
              <w:rPr>
                <w:sz w:val="20"/>
                <w:szCs w:val="20"/>
                <w:color w:val="auto"/>
              </w:rPr>
            </w:pPr>
            <w:r>
              <w:rPr>
                <w:rFonts w:ascii="Arial" w:cs="Arial" w:eastAsia="Arial" w:hAnsi="Arial"/>
                <w:sz w:val="14"/>
                <w:szCs w:val="14"/>
                <w:b w:val="1"/>
                <w:bCs w:val="1"/>
                <w:color w:val="auto"/>
                <w:w w:val="91"/>
              </w:rPr>
              <w:t>Comprehensive</w:t>
            </w:r>
          </w:p>
        </w:tc>
        <w:tc>
          <w:tcPr>
            <w:tcW w:w="1280" w:type="dxa"/>
            <w:vAlign w:val="bottom"/>
            <w:gridSpan w:val="2"/>
          </w:tcPr>
          <w:p>
            <w:pPr>
              <w:jc w:val="right"/>
              <w:ind w:right="580"/>
              <w:spacing w:after="0" w:line="158" w:lineRule="exact"/>
              <w:rPr>
                <w:sz w:val="20"/>
                <w:szCs w:val="20"/>
                <w:color w:val="auto"/>
              </w:rPr>
            </w:pPr>
            <w:r>
              <w:rPr>
                <w:rFonts w:ascii="Arial" w:cs="Arial" w:eastAsia="Arial" w:hAnsi="Arial"/>
                <w:sz w:val="14"/>
                <w:szCs w:val="14"/>
                <w:b w:val="1"/>
                <w:bCs w:val="1"/>
                <w:color w:val="auto"/>
              </w:rPr>
              <w:t>Retained</w:t>
            </w:r>
          </w:p>
        </w:tc>
        <w:tc>
          <w:tcPr>
            <w:tcW w:w="9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4"/>
              </w:rPr>
              <w:t>Shareholders’</w:t>
            </w:r>
          </w:p>
        </w:tc>
        <w:tc>
          <w:tcPr>
            <w:tcW w:w="0" w:type="dxa"/>
            <w:vAlign w:val="bottom"/>
          </w:tcPr>
          <w:p>
            <w:pPr>
              <w:spacing w:after="0"/>
              <w:rPr>
                <w:sz w:val="1"/>
                <w:szCs w:val="1"/>
                <w:color w:val="auto"/>
              </w:rPr>
            </w:pPr>
          </w:p>
        </w:tc>
      </w:tr>
      <w:tr>
        <w:trPr>
          <w:trHeight w:val="142"/>
        </w:trPr>
        <w:tc>
          <w:tcPr>
            <w:tcW w:w="29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Shares</w:t>
            </w:r>
          </w:p>
        </w:tc>
        <w:tc>
          <w:tcPr>
            <w:tcW w:w="240" w:type="dxa"/>
            <w:vAlign w:val="bottom"/>
            <w:tcBorders>
              <w:top w:val="single" w:sz="8" w:color="auto"/>
            </w:tcBorders>
            <w:gridSpan w:val="2"/>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420" w:type="dxa"/>
            <w:vAlign w:val="bottom"/>
          </w:tcPr>
          <w:p>
            <w:pPr>
              <w:spacing w:after="0"/>
              <w:rPr>
                <w:sz w:val="12"/>
                <w:szCs w:val="12"/>
                <w:color w:val="auto"/>
              </w:rPr>
            </w:pPr>
          </w:p>
        </w:tc>
        <w:tc>
          <w:tcPr>
            <w:tcW w:w="8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Capital</w:t>
            </w:r>
          </w:p>
        </w:tc>
        <w:tc>
          <w:tcPr>
            <w:tcW w:w="440" w:type="dxa"/>
            <w:vAlign w:val="bottom"/>
          </w:tcPr>
          <w:p>
            <w:pPr>
              <w:spacing w:after="0"/>
              <w:rPr>
                <w:sz w:val="12"/>
                <w:szCs w:val="12"/>
                <w:color w:val="auto"/>
              </w:rPr>
            </w:pPr>
          </w:p>
        </w:tc>
        <w:tc>
          <w:tcPr>
            <w:tcW w:w="90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Stock</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73"/>
              <w:spacing w:after="0" w:line="142" w:lineRule="exact"/>
              <w:rPr>
                <w:sz w:val="20"/>
                <w:szCs w:val="20"/>
                <w:color w:val="auto"/>
              </w:rPr>
            </w:pPr>
            <w:r>
              <w:rPr>
                <w:rFonts w:ascii="Arial" w:cs="Arial" w:eastAsia="Arial" w:hAnsi="Arial"/>
                <w:sz w:val="14"/>
                <w:szCs w:val="14"/>
                <w:b w:val="1"/>
                <w:bCs w:val="1"/>
                <w:color w:val="auto"/>
                <w:w w:val="93"/>
              </w:rPr>
              <w:t>Income</w:t>
            </w:r>
          </w:p>
        </w:tc>
        <w:tc>
          <w:tcPr>
            <w:tcW w:w="460" w:type="dxa"/>
            <w:vAlign w:val="bottom"/>
          </w:tcPr>
          <w:p>
            <w:pPr>
              <w:spacing w:after="0"/>
              <w:rPr>
                <w:sz w:val="12"/>
                <w:szCs w:val="12"/>
                <w:color w:val="auto"/>
              </w:rPr>
            </w:pPr>
          </w:p>
        </w:tc>
        <w:tc>
          <w:tcPr>
            <w:tcW w:w="84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Earnings</w:t>
            </w:r>
          </w:p>
        </w:tc>
        <w:tc>
          <w:tcPr>
            <w:tcW w:w="440" w:type="dxa"/>
            <w:vAlign w:val="bottom"/>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September 30, 2010</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193,049</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3,956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$ 2,402,163</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 (1,309,161)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4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$ 2,130,470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$ 3,229,380</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Comprehensive income:</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73,391</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73,391</w:t>
            </w:r>
          </w:p>
        </w:tc>
        <w:tc>
          <w:tcPr>
            <w:tcW w:w="0" w:type="dxa"/>
            <w:vAlign w:val="bottom"/>
          </w:tcPr>
          <w:p>
            <w:pPr>
              <w:spacing w:after="0"/>
              <w:rPr>
                <w:sz w:val="1"/>
                <w:szCs w:val="1"/>
                <w:color w:val="auto"/>
              </w:rPr>
            </w:pPr>
          </w:p>
        </w:tc>
      </w:tr>
      <w:tr>
        <w:trPr>
          <w:trHeight w:val="202"/>
        </w:trPr>
        <w:tc>
          <w:tcPr>
            <w:tcW w:w="2920" w:type="dxa"/>
            <w:vAlign w:val="bottom"/>
          </w:tcPr>
          <w:p>
            <w:pPr>
              <w:ind w:left="220"/>
              <w:spacing w:after="0" w:line="201" w:lineRule="exact"/>
              <w:rPr>
                <w:sz w:val="20"/>
                <w:szCs w:val="20"/>
                <w:color w:val="auto"/>
              </w:rPr>
            </w:pPr>
            <w:r>
              <w:rPr>
                <w:rFonts w:ascii="Arial" w:cs="Arial" w:eastAsia="Arial" w:hAnsi="Arial"/>
                <w:sz w:val="18"/>
                <w:szCs w:val="18"/>
                <w:color w:val="auto"/>
              </w:rPr>
              <w:t>Unrealized gain on foreign</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420"/>
              <w:spacing w:after="0"/>
              <w:rPr>
                <w:sz w:val="20"/>
                <w:szCs w:val="20"/>
                <w:color w:val="auto"/>
              </w:rPr>
            </w:pPr>
            <w:r>
              <w:rPr>
                <w:rFonts w:ascii="Arial" w:cs="Arial" w:eastAsia="Arial" w:hAnsi="Arial"/>
                <w:sz w:val="18"/>
                <w:szCs w:val="18"/>
                <w:color w:val="auto"/>
              </w:rPr>
              <w:t>currency hedging contracts,</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420"/>
              <w:spacing w:after="0"/>
              <w:rPr>
                <w:sz w:val="20"/>
                <w:szCs w:val="20"/>
                <w:color w:val="auto"/>
              </w:rPr>
            </w:pPr>
            <w:r>
              <w:rPr>
                <w:rFonts w:ascii="Arial" w:cs="Arial" w:eastAsia="Arial" w:hAnsi="Arial"/>
                <w:sz w:val="18"/>
                <w:szCs w:val="18"/>
                <w:color w:val="auto"/>
              </w:rPr>
              <w:t>net of $378 tax</w:t>
            </w: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2,803</w:t>
            </w:r>
          </w:p>
        </w:tc>
        <w:tc>
          <w:tcPr>
            <w:tcW w:w="460" w:type="dxa"/>
            <w:vAlign w:val="bottom"/>
          </w:tcPr>
          <w:p>
            <w:pPr>
              <w:spacing w:after="0"/>
              <w:rPr>
                <w:sz w:val="20"/>
                <w:szCs w:val="20"/>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2,803</w:t>
            </w:r>
          </w:p>
        </w:tc>
        <w:tc>
          <w:tcPr>
            <w:tcW w:w="0" w:type="dxa"/>
            <w:vAlign w:val="bottom"/>
          </w:tcPr>
          <w:p>
            <w:pPr>
              <w:spacing w:after="0"/>
              <w:rPr>
                <w:sz w:val="1"/>
                <w:szCs w:val="1"/>
                <w:color w:val="auto"/>
              </w:rPr>
            </w:pPr>
          </w:p>
        </w:tc>
      </w:tr>
      <w:tr>
        <w:trPr>
          <w:trHeight w:val="202"/>
        </w:trPr>
        <w:tc>
          <w:tcPr>
            <w:tcW w:w="29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Unrealized loss on short-term</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interest-bearing investments,</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of $(2) tax</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(300)</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2"/>
        </w:trPr>
        <w:tc>
          <w:tcPr>
            <w:tcW w:w="2920" w:type="dxa"/>
            <w:vAlign w:val="bottom"/>
          </w:tcPr>
          <w:p>
            <w:pPr>
              <w:ind w:left="220"/>
              <w:spacing w:after="0" w:line="201" w:lineRule="exact"/>
              <w:rPr>
                <w:sz w:val="20"/>
                <w:szCs w:val="20"/>
                <w:color w:val="auto"/>
              </w:rPr>
            </w:pPr>
            <w:r>
              <w:rPr>
                <w:rFonts w:ascii="Arial" w:cs="Arial" w:eastAsia="Arial" w:hAnsi="Arial"/>
                <w:sz w:val="18"/>
                <w:szCs w:val="18"/>
                <w:color w:val="auto"/>
              </w:rPr>
              <w:t>Unrealized gain on defined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920" w:type="dxa"/>
            <w:vAlign w:val="bottom"/>
          </w:tcPr>
          <w:p>
            <w:pPr>
              <w:ind w:left="420"/>
              <w:spacing w:after="0"/>
              <w:rPr>
                <w:sz w:val="20"/>
                <w:szCs w:val="20"/>
                <w:color w:val="auto"/>
              </w:rPr>
            </w:pPr>
            <w:r>
              <w:rPr>
                <w:rFonts w:ascii="Arial" w:cs="Arial" w:eastAsia="Arial" w:hAnsi="Arial"/>
                <w:sz w:val="18"/>
                <w:szCs w:val="18"/>
                <w:color w:val="auto"/>
              </w:rPr>
              <w:t>benefit plan, net of $3 tax</w:t>
            </w: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20"/>
                <w:szCs w:val="20"/>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Comprehensive income</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75,905</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Employee stock options exercised</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690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11</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13,825</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13,836</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(4,132)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(113,431)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(113,431)</w:t>
            </w:r>
          </w:p>
        </w:tc>
        <w:tc>
          <w:tcPr>
            <w:tcW w:w="0" w:type="dxa"/>
            <w:vAlign w:val="bottom"/>
          </w:tcPr>
          <w:p>
            <w:pPr>
              <w:spacing w:after="0"/>
              <w:rPr>
                <w:sz w:val="1"/>
                <w:szCs w:val="1"/>
                <w:color w:val="auto"/>
              </w:rPr>
            </w:pPr>
          </w:p>
        </w:tc>
      </w:tr>
      <w:tr>
        <w:trPr>
          <w:trHeight w:val="202"/>
        </w:trPr>
        <w:tc>
          <w:tcPr>
            <w:tcW w:w="2920" w:type="dxa"/>
            <w:vAlign w:val="bottom"/>
          </w:tcPr>
          <w:p>
            <w:pPr>
              <w:spacing w:after="0" w:line="201" w:lineRule="exact"/>
              <w:rPr>
                <w:sz w:val="20"/>
                <w:szCs w:val="20"/>
                <w:color w:val="auto"/>
              </w:rPr>
            </w:pPr>
            <w:r>
              <w:rPr>
                <w:rFonts w:ascii="Arial" w:cs="Arial" w:eastAsia="Arial" w:hAnsi="Arial"/>
                <w:sz w:val="18"/>
                <w:szCs w:val="18"/>
                <w:color w:val="auto"/>
              </w:rPr>
              <w:t>Issuance of restricted stock, net of</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220"/>
              <w:spacing w:after="0"/>
              <w:rPr>
                <w:sz w:val="20"/>
                <w:szCs w:val="20"/>
                <w:color w:val="auto"/>
              </w:rPr>
            </w:pPr>
            <w:r>
              <w:rPr>
                <w:rFonts w:ascii="Arial" w:cs="Arial" w:eastAsia="Arial" w:hAnsi="Arial"/>
                <w:sz w:val="18"/>
                <w:szCs w:val="18"/>
                <w:color w:val="auto"/>
              </w:rPr>
              <w:t>forfeitures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434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8</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2"/>
        </w:trPr>
        <w:tc>
          <w:tcPr>
            <w:tcW w:w="2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Equity-based compensation</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 related to employees</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13,274</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13,274</w:t>
            </w:r>
          </w:p>
        </w:tc>
        <w:tc>
          <w:tcPr>
            <w:tcW w:w="0" w:type="dxa"/>
            <w:vAlign w:val="bottom"/>
          </w:tcPr>
          <w:p>
            <w:pPr>
              <w:spacing w:after="0"/>
              <w:rPr>
                <w:sz w:val="1"/>
                <w:szCs w:val="1"/>
                <w:color w:val="auto"/>
              </w:rPr>
            </w:pPr>
          </w:p>
        </w:tc>
      </w:tr>
      <w:tr>
        <w:trPr>
          <w:trHeight w:val="223"/>
        </w:trPr>
        <w:tc>
          <w:tcPr>
            <w:tcW w:w="2920" w:type="dxa"/>
            <w:vAlign w:val="bottom"/>
          </w:tcPr>
          <w:p>
            <w:pPr>
              <w:spacing w:after="0"/>
              <w:rPr>
                <w:sz w:val="20"/>
                <w:szCs w:val="20"/>
                <w:color w:val="auto"/>
              </w:rPr>
            </w:pPr>
            <w:r>
              <w:rPr>
                <w:rFonts w:ascii="Arial" w:cs="Arial" w:eastAsia="Arial" w:hAnsi="Arial"/>
                <w:sz w:val="18"/>
                <w:szCs w:val="18"/>
                <w:b w:val="1"/>
                <w:bCs w:val="1"/>
                <w:color w:val="auto"/>
              </w:rPr>
              <w:t>Balance as of December 31, 2010</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190,041</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3,975</w:t>
            </w:r>
          </w:p>
        </w:tc>
        <w:tc>
          <w:tcPr>
            <w:tcW w:w="4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$ 2,429,262</w:t>
            </w:r>
          </w:p>
        </w:tc>
        <w:tc>
          <w:tcPr>
            <w:tcW w:w="4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(1,422,592</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4,466</w:t>
            </w:r>
          </w:p>
        </w:tc>
        <w:tc>
          <w:tcPr>
            <w:tcW w:w="4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$ 2,203,861</w:t>
            </w:r>
          </w:p>
        </w:tc>
        <w:tc>
          <w:tcPr>
            <w:tcW w:w="4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$ 3,218,972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As of December 31, 2010 and September 30, 2010, accumulated other comprehensive income is comprised of unrealized gain on derivatives, net of tax, of $8,805 and $6,002, respectively, unrealized loss on cash equivalents and short-term interest-bearing investments, net of tax, of $(1,567) and $(1,267), respectively, and unrealized loss on defined benefit plan, net of tax, of $(2,772) and $(2,783), respectively.</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Net income</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73,391</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88,353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49,153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50,050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Equity-based compensation expense</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13,274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6,903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tax benefit from equity-based compensation</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Loss (gain) from short-term interest-bearing investments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832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34,330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(40,891)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Other noncurrent assets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(26,751)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accrued expenses and accrued personnel</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5,462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39,015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47,599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payable, net</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(2,515)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Other noncurrent liabilities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10,122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3,118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162,301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193,507</w:t>
            </w:r>
          </w:p>
        </w:tc>
        <w:tc>
          <w:tcPr>
            <w:tcW w:w="0" w:type="dxa"/>
            <w:vAlign w:val="bottom"/>
          </w:tcPr>
          <w:p>
            <w:pPr>
              <w:spacing w:after="0"/>
              <w:rPr>
                <w:sz w:val="1"/>
                <w:szCs w:val="1"/>
                <w:color w:val="auto"/>
              </w:rPr>
            </w:pPr>
          </w:p>
        </w:tc>
      </w:tr>
      <w:tr>
        <w:trPr>
          <w:trHeight w:val="223"/>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8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Payments for purchase of equipment and leasehold improvements, net</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(35,340)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124,797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278,183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interest-bearing investments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(88,605)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(348,662)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Net cash paid for acquisitions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(56,454)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(7,672)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2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8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(6,820)</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(150,522)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Repurchase of shares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(113,431)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financing arrangements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Proceeds from employee stock options exercised</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13,844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capital lease, short-term financing arrangements and other</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7220" w:type="dxa"/>
            <w:vAlign w:val="bottom"/>
            <w:gridSpan w:val="2"/>
          </w:tcPr>
          <w:p>
            <w:pPr>
              <w:spacing w:after="0"/>
              <w:rPr>
                <w:sz w:val="20"/>
                <w:szCs w:val="20"/>
                <w:color w:val="auto"/>
              </w:rPr>
            </w:pPr>
            <w:r>
              <w:rPr>
                <w:rFonts w:ascii="Arial" w:cs="Arial" w:eastAsia="Arial" w:hAnsi="Arial"/>
                <w:sz w:val="18"/>
                <w:szCs w:val="18"/>
                <w:color w:val="auto"/>
              </w:rPr>
              <w:t>Net cash (used in) provided by financing activities</w:t>
            </w:r>
          </w:p>
        </w:tc>
        <w:tc>
          <w:tcPr>
            <w:tcW w:w="18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(299,814)</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(144,333)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1,036,195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728,762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891,862</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776,784</w:t>
            </w: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20" w:type="dxa"/>
            <w:vAlign w:val="bottom"/>
            <w:gridSpan w:val="2"/>
            <w:vMerge w:val="continue"/>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Cash paid for:</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Income taxes, net of refunds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6,066</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Entity and Basis of Presentation</w:t>
      </w:r>
    </w:p>
    <w:p>
      <w:pPr>
        <w:spacing w:after="0" w:line="121" w:lineRule="exact"/>
        <w:rPr>
          <w:sz w:val="20"/>
          <w:szCs w:val="20"/>
          <w:color w:val="auto"/>
        </w:rPr>
      </w:pPr>
    </w:p>
    <w:p>
      <w:pPr>
        <w:ind w:right="20" w:firstLine="215"/>
        <w:spacing w:after="0" w:line="276" w:lineRule="auto"/>
        <w:rPr>
          <w:sz w:val="20"/>
          <w:szCs w:val="20"/>
          <w:color w:val="auto"/>
        </w:rPr>
      </w:pPr>
      <w:r>
        <w:rPr>
          <w:rFonts w:ascii="Arial" w:cs="Arial" w:eastAsia="Arial" w:hAnsi="Arial"/>
          <w:sz w:val="17"/>
          <w:szCs w:val="17"/>
          <w:color w:val="auto"/>
        </w:rPr>
        <w:t>Amdocs Limited (the “Company”) is a leading provider of software and services for communications, media and entertainment industry service providers. The Company and its subsidiaries operate in one segment, providing integrated products and services. The Company designs, develops, markets, supports, implements and operates customer experience systems, including revenue management, customer management, service and resource management , service delivery, portfolio enablers, consulting, system integration, managed services and product support, primarily to leading wireless, wireline, cable and satellite service providers throughout the world. Amdocs also offers a full range of directory sales and publishing systems.</w:t>
      </w:r>
    </w:p>
    <w:p>
      <w:pPr>
        <w:spacing w:after="0" w:line="64"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Company is a Guernsey corporation, which directly or indirectly holds numerous wholly-owned subsidiaries around the world. The majority of the Company’s customers are in North America, Europe, Latin America and the Asia-Pacific region. The Company’s main production and operating facilities are located in Brazil, Canada, Cyprus, India, Ireland, Israel, and the United States.</w:t>
      </w:r>
    </w:p>
    <w:p>
      <w:pPr>
        <w:spacing w:after="0" w:line="73"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unaudited consolidated financial statements of the Company have been prepared in accordance with U.S. generally accepted accounting principles, or GAAP. In the opinion of the Company’s management, all adjustments considered necessary for a fair presentation of the unaudited interim consolidated financial statements have been included herein and are of a normal recurring nature.</w:t>
      </w:r>
    </w:p>
    <w:p>
      <w:pPr>
        <w:spacing w:after="0" w:line="73" w:lineRule="exact"/>
        <w:rPr>
          <w:sz w:val="20"/>
          <w:szCs w:val="20"/>
          <w:color w:val="auto"/>
        </w:rPr>
      </w:pPr>
    </w:p>
    <w:p>
      <w:pPr>
        <w:jc w:val="both"/>
        <w:ind w:firstLine="222"/>
        <w:spacing w:after="0" w:line="264" w:lineRule="auto"/>
        <w:rPr>
          <w:sz w:val="20"/>
          <w:szCs w:val="20"/>
          <w:color w:val="auto"/>
        </w:rPr>
      </w:pPr>
      <w:r>
        <w:rPr>
          <w:rFonts w:ascii="Arial" w:cs="Arial" w:eastAsia="Arial" w:hAnsi="Arial"/>
          <w:sz w:val="18"/>
          <w:szCs w:val="18"/>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of the interim periods in which changes are determined to be necessary.</w:t>
      </w:r>
    </w:p>
    <w:p>
      <w:pPr>
        <w:spacing w:after="0" w:line="73"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2010, set forth in the Company’s Annual Report on Form 20-F filed on December 7, 2010 with the U.S. Securities and Exchange Commission, or the SEC.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Certain immaterial amounts in prior year financial statements have been reclassified to conform to the current year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Standards</w:t>
      </w:r>
    </w:p>
    <w:p>
      <w:pPr>
        <w:spacing w:after="0" w:line="121" w:lineRule="exact"/>
        <w:rPr>
          <w:sz w:val="20"/>
          <w:szCs w:val="20"/>
          <w:color w:val="auto"/>
        </w:rPr>
      </w:pPr>
    </w:p>
    <w:p>
      <w:pPr>
        <w:jc w:val="both"/>
        <w:ind w:right="20" w:firstLine="225"/>
        <w:spacing w:after="0" w:line="259" w:lineRule="auto"/>
        <w:rPr>
          <w:sz w:val="20"/>
          <w:szCs w:val="20"/>
          <w:color w:val="auto"/>
        </w:rPr>
      </w:pPr>
      <w:r>
        <w:rPr>
          <w:rFonts w:ascii="Arial" w:cs="Arial" w:eastAsia="Arial" w:hAnsi="Arial"/>
          <w:sz w:val="18"/>
          <w:szCs w:val="18"/>
          <w:color w:val="auto"/>
        </w:rPr>
        <w:t>In January 2010, the Financial Accounting Standards Board, or FASB, issued guidance to amend the disclosure requirements of fair value measurements. The guidance requires the disclosure on the roll forward activities for assets and liabilities measured using significant unobservable inputs (Level 3 fair value measurements), and will become effective for the Company beginning October 1, 2011. The adoption of this new guidance will not have a material impact on the Company’s financial statements.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Adoption of New Accounting Standards</w:t>
      </w:r>
    </w:p>
    <w:p>
      <w:pPr>
        <w:spacing w:after="0" w:line="121" w:lineRule="exact"/>
        <w:rPr>
          <w:sz w:val="20"/>
          <w:szCs w:val="20"/>
          <w:color w:val="auto"/>
        </w:rPr>
      </w:pPr>
    </w:p>
    <w:p>
      <w:pPr>
        <w:jc w:val="both"/>
        <w:ind w:right="140" w:firstLine="225"/>
        <w:spacing w:after="0" w:line="259" w:lineRule="auto"/>
        <w:rPr>
          <w:sz w:val="20"/>
          <w:szCs w:val="20"/>
          <w:color w:val="auto"/>
        </w:rPr>
      </w:pPr>
      <w:r>
        <w:rPr>
          <w:rFonts w:ascii="Arial" w:cs="Arial" w:eastAsia="Arial" w:hAnsi="Arial"/>
          <w:sz w:val="18"/>
          <w:szCs w:val="18"/>
          <w:color w:val="auto"/>
        </w:rPr>
        <w:t>In June 2009, the FASB issued authoritative guidance on the consolidation of variable interest entities, which was effective for the Company beginning October 1, 2010. The new guidance requires revised evaluations of whether entities represent variable interest entities, ongoing assessments of control over such entities, and additional disclosures for variable interests. The adoption of this new guidance did not have a material impact on the Company’s financial statements.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w:t>
      </w:r>
    </w:p>
    <w:p>
      <w:pPr>
        <w:spacing w:after="0" w:line="121" w:lineRule="exact"/>
        <w:rPr>
          <w:sz w:val="20"/>
          <w:szCs w:val="20"/>
          <w:color w:val="auto"/>
        </w:rPr>
      </w:pPr>
    </w:p>
    <w:p>
      <w:pPr>
        <w:jc w:val="both"/>
        <w:ind w:right="180" w:firstLine="222"/>
        <w:spacing w:after="0" w:line="279" w:lineRule="auto"/>
        <w:rPr>
          <w:sz w:val="20"/>
          <w:szCs w:val="20"/>
          <w:color w:val="auto"/>
        </w:rPr>
      </w:pPr>
      <w:r>
        <w:rPr>
          <w:rFonts w:ascii="Arial" w:cs="Arial" w:eastAsia="Arial" w:hAnsi="Arial"/>
          <w:sz w:val="17"/>
          <w:szCs w:val="17"/>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63" w:lineRule="exact"/>
        <w:rPr>
          <w:sz w:val="20"/>
          <w:szCs w:val="20"/>
          <w:color w:val="auto"/>
        </w:rPr>
      </w:pPr>
    </w:p>
    <w:p>
      <w:pPr>
        <w:ind w:right="440" w:firstLine="222"/>
        <w:spacing w:after="0" w:line="264" w:lineRule="auto"/>
        <w:rPr>
          <w:sz w:val="20"/>
          <w:szCs w:val="20"/>
          <w:color w:val="auto"/>
        </w:rPr>
      </w:pPr>
      <w:r>
        <w:rPr>
          <w:rFonts w:ascii="Arial" w:cs="Arial" w:eastAsia="Arial" w:hAnsi="Arial"/>
          <w:sz w:val="18"/>
          <w:szCs w:val="18"/>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73" w:lineRule="exact"/>
        <w:rPr>
          <w:sz w:val="20"/>
          <w:szCs w:val="20"/>
          <w:color w:val="auto"/>
        </w:rPr>
      </w:pPr>
    </w:p>
    <w:p>
      <w:pPr>
        <w:jc w:val="center"/>
        <w:ind w:right="5220"/>
        <w:spacing w:after="0"/>
        <w:rPr>
          <w:sz w:val="20"/>
          <w:szCs w:val="20"/>
          <w:color w:val="auto"/>
        </w:rPr>
      </w:pPr>
      <w:r>
        <w:rPr>
          <w:rFonts w:ascii="Arial" w:cs="Arial" w:eastAsia="Arial" w:hAnsi="Arial"/>
          <w:sz w:val="17"/>
          <w:szCs w:val="17"/>
          <w:color w:val="auto"/>
        </w:rPr>
        <w:t>The three levels of inputs that may be used to measure fair value are as follows: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117"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Level 2: Observable inputs other than quoted prices included in Level 1, such as quoted prices for similar assets or liabilities in active markets, 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Level 3: Unobservable inputs that are supported by little or no market activity and that are significant to the fair value of the assets or liabilities.</w:t>
      </w:r>
    </w:p>
    <w:p>
      <w:pPr>
        <w:spacing w:after="0" w:line="129"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The following tables present the Company’s assets and liabilities measured at fair value on a recurring basis as of December 31, 2010 and September 30, 2010: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As of December 31, 2010</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6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Level 1</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2"/>
                <w:szCs w:val="12"/>
                <w:color w:val="auto"/>
              </w:rPr>
            </w:pPr>
          </w:p>
        </w:tc>
        <w:tc>
          <w:tcPr>
            <w:tcW w:w="74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31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3980" w:type="dxa"/>
            <w:vAlign w:val="bottom"/>
            <w:gridSpan w:val="3"/>
          </w:tcPr>
          <w:p>
            <w:pPr>
              <w:jc w:val="right"/>
              <w:ind w:right="160"/>
              <w:spacing w:after="0"/>
              <w:rPr>
                <w:sz w:val="20"/>
                <w:szCs w:val="20"/>
                <w:color w:val="auto"/>
              </w:rPr>
            </w:pPr>
            <w:r>
              <w:rPr>
                <w:rFonts w:ascii="Arial" w:cs="Arial" w:eastAsia="Arial" w:hAnsi="Arial"/>
                <w:sz w:val="18"/>
                <w:szCs w:val="18"/>
                <w:color w:val="auto"/>
              </w:rPr>
              <w:t>$ 713,267</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713,267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government treasuries</w:t>
            </w:r>
          </w:p>
        </w:tc>
        <w:tc>
          <w:tcPr>
            <w:tcW w:w="3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96,399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U.S. agencies</w:t>
            </w:r>
          </w:p>
        </w:tc>
        <w:tc>
          <w:tcPr>
            <w:tcW w:w="3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57,424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57,424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Government guaranteed debt</w:t>
            </w:r>
          </w:p>
        </w:tc>
        <w:tc>
          <w:tcPr>
            <w:tcW w:w="3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89,363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Supranational and sovereign debt</w:t>
            </w:r>
          </w:p>
        </w:tc>
        <w:tc>
          <w:tcPr>
            <w:tcW w:w="3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19,344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 bonds</w:t>
            </w:r>
          </w:p>
        </w:tc>
        <w:tc>
          <w:tcPr>
            <w:tcW w:w="3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57,180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Asset backed obligations</w:t>
            </w:r>
          </w:p>
        </w:tc>
        <w:tc>
          <w:tcPr>
            <w:tcW w:w="3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6,220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Mortgages (including agencies and corporate)</w:t>
            </w:r>
          </w:p>
        </w:tc>
        <w:tc>
          <w:tcPr>
            <w:tcW w:w="3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17,284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Commercial paper and certificates of deposit</w:t>
            </w:r>
          </w:p>
        </w:tc>
        <w:tc>
          <w:tcPr>
            <w:tcW w:w="3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10,060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7,959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18,019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3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819,726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254,774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1,074,500</w:t>
            </w: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Derivative financial instruments, net</w:t>
            </w:r>
          </w:p>
        </w:tc>
        <w:tc>
          <w:tcPr>
            <w:tcW w:w="31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11,441</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$ 819,726</w:t>
            </w:r>
          </w:p>
        </w:tc>
        <w:tc>
          <w:tcPr>
            <w:tcW w:w="19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$ 266,215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1,085,941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As of September 30, 2010</w:t>
            </w: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6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Level 1</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2"/>
                <w:szCs w:val="12"/>
                <w:color w:val="auto"/>
              </w:rPr>
            </w:pPr>
          </w:p>
        </w:tc>
        <w:tc>
          <w:tcPr>
            <w:tcW w:w="74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31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3980" w:type="dxa"/>
            <w:vAlign w:val="bottom"/>
            <w:gridSpan w:val="3"/>
          </w:tcPr>
          <w:p>
            <w:pPr>
              <w:jc w:val="right"/>
              <w:ind w:right="160"/>
              <w:spacing w:after="0"/>
              <w:rPr>
                <w:sz w:val="20"/>
                <w:szCs w:val="20"/>
                <w:color w:val="auto"/>
              </w:rPr>
            </w:pPr>
            <w:r>
              <w:rPr>
                <w:rFonts w:ascii="Arial" w:cs="Arial" w:eastAsia="Arial" w:hAnsi="Arial"/>
                <w:sz w:val="18"/>
                <w:szCs w:val="18"/>
                <w:color w:val="auto"/>
              </w:rPr>
              <w:t>$ 867,335</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867,335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government treasuries</w:t>
            </w:r>
          </w:p>
        </w:tc>
        <w:tc>
          <w:tcPr>
            <w:tcW w:w="3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111,912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U.S. agencies</w:t>
            </w:r>
          </w:p>
        </w:tc>
        <w:tc>
          <w:tcPr>
            <w:tcW w:w="3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65,724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65,724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Government guaranteed debt</w:t>
            </w:r>
          </w:p>
        </w:tc>
        <w:tc>
          <w:tcPr>
            <w:tcW w:w="3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102,112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Supranational and sovereign debt</w:t>
            </w:r>
          </w:p>
        </w:tc>
        <w:tc>
          <w:tcPr>
            <w:tcW w:w="3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23,771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 bonds</w:t>
            </w:r>
          </w:p>
        </w:tc>
        <w:tc>
          <w:tcPr>
            <w:tcW w:w="3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58,742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Asset backed obligations</w:t>
            </w:r>
          </w:p>
        </w:tc>
        <w:tc>
          <w:tcPr>
            <w:tcW w:w="3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7,147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Mortgages (including agencies and corporate)</w:t>
            </w:r>
          </w:p>
        </w:tc>
        <w:tc>
          <w:tcPr>
            <w:tcW w:w="3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18,948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Commercial paper and certificates of deposit</w:t>
            </w:r>
          </w:p>
        </w:tc>
        <w:tc>
          <w:tcPr>
            <w:tcW w:w="3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10,048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9,254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19,302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3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989,295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285,698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1,274,993</w:t>
            </w: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Derivative financial instruments, net</w:t>
            </w:r>
          </w:p>
        </w:tc>
        <w:tc>
          <w:tcPr>
            <w:tcW w:w="31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4,333</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$ 989,295</w:t>
            </w:r>
          </w:p>
        </w:tc>
        <w:tc>
          <w:tcPr>
            <w:tcW w:w="19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$ 290,031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1,279,326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3120" w:type="dxa"/>
            <w:vAlign w:val="bottom"/>
            <w:vMerge w:val="restart"/>
          </w:tcPr>
          <w:p>
            <w:pPr>
              <w:jc w:val="right"/>
              <w:ind w:right="1870"/>
              <w:spacing w:after="0"/>
              <w:rPr>
                <w:sz w:val="20"/>
                <w:szCs w:val="20"/>
                <w:color w:val="auto"/>
              </w:rPr>
            </w:pPr>
            <w:r>
              <w:rPr>
                <w:rFonts w:ascii="Arial" w:cs="Arial" w:eastAsia="Arial" w:hAnsi="Arial"/>
                <w:sz w:val="18"/>
                <w:szCs w:val="18"/>
                <w:color w:val="auto"/>
              </w:rPr>
              <w:t>8</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80" w:type="dxa"/>
            <w:vAlign w:val="bottom"/>
            <w:tcBorders>
              <w:bottom w:val="single" w:sz="8" w:color="808080"/>
            </w:tcBorders>
          </w:tcPr>
          <w:p>
            <w:pPr>
              <w:spacing w:after="0"/>
              <w:rPr>
                <w:sz w:val="19"/>
                <w:szCs w:val="19"/>
                <w:color w:val="auto"/>
              </w:rPr>
            </w:pPr>
          </w:p>
        </w:tc>
        <w:tc>
          <w:tcPr>
            <w:tcW w:w="31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215"/>
        <w:spacing w:after="0" w:line="276" w:lineRule="auto"/>
        <w:rPr>
          <w:sz w:val="20"/>
          <w:szCs w:val="20"/>
          <w:color w:val="auto"/>
        </w:rPr>
      </w:pPr>
      <w:r>
        <w:rPr>
          <w:rFonts w:ascii="Arial" w:cs="Arial" w:eastAsia="Arial" w:hAnsi="Arial"/>
          <w:sz w:val="17"/>
          <w:szCs w:val="17"/>
          <w:color w:val="auto"/>
        </w:rPr>
        <w:t>Available for sale securities that are classified as Level 2 assets are priced using observable data that may include quoted market prices for similar instruments, market dealer quotes, market spreads, non-binding market prices that are corroborated by observable market data and other observable market information and discounted cash flow techniques. The Company’s derivative instruments are classified as Level 2 as they represent foreign currency forward and option contracts valued primarily based on observable inputs including forward rates and yield curves. The Company did not have any transfers between Level 1 and Level 2 fair value measurements during the three months ended December 31, 2010.</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240" w:firstLine="222"/>
        <w:spacing w:after="0" w:line="342" w:lineRule="auto"/>
        <w:rPr>
          <w:sz w:val="20"/>
          <w:szCs w:val="20"/>
          <w:color w:val="auto"/>
        </w:rPr>
      </w:pPr>
      <w:r>
        <w:rPr>
          <w:rFonts w:ascii="Arial" w:cs="Arial" w:eastAsia="Arial" w:hAnsi="Arial"/>
          <w:sz w:val="16"/>
          <w:szCs w:val="16"/>
          <w:color w:val="auto"/>
        </w:rPr>
        <w:t>The carrying amounts of the Company’s cash and cash equivalents, accounts receivable, other current assets, accounts payable, accrued personnel costs, short-term financing arrangements and other current liabilities approximates their fair value because of the relatively short maturity of these items.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Available-For-Sale Securities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Available-for-sale securities consist of the following interest-bearing investments: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5"/>
          </w:tcPr>
          <w:p>
            <w:pPr>
              <w:jc w:val="right"/>
              <w:ind w:right="1260"/>
              <w:spacing w:after="0"/>
              <w:rPr>
                <w:sz w:val="20"/>
                <w:szCs w:val="20"/>
                <w:color w:val="auto"/>
              </w:rPr>
            </w:pPr>
            <w:r>
              <w:rPr>
                <w:rFonts w:ascii="Arial" w:cs="Arial" w:eastAsia="Arial" w:hAnsi="Arial"/>
                <w:sz w:val="14"/>
                <w:szCs w:val="14"/>
                <w:b w:val="1"/>
                <w:bCs w:val="1"/>
                <w:color w:val="auto"/>
              </w:rPr>
              <w:t>As of December 31, 2010</w:t>
            </w: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20" w:type="dxa"/>
            <w:vAlign w:val="bottom"/>
          </w:tcPr>
          <w:p>
            <w:pPr>
              <w:spacing w:after="0"/>
              <w:rPr>
                <w:sz w:val="10"/>
                <w:szCs w:val="10"/>
                <w:color w:val="auto"/>
              </w:rPr>
            </w:pPr>
          </w:p>
        </w:tc>
        <w:tc>
          <w:tcPr>
            <w:tcW w:w="1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16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 Unrealized</w:t>
            </w:r>
          </w:p>
        </w:tc>
        <w:tc>
          <w:tcPr>
            <w:tcW w:w="16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 Unrealized</w:t>
            </w:r>
          </w:p>
        </w:tc>
        <w:tc>
          <w:tcPr>
            <w:tcW w:w="80" w:type="dxa"/>
            <w:vAlign w:val="bottom"/>
          </w:tcPr>
          <w:p>
            <w:pPr>
              <w:spacing w:after="0"/>
              <w:rPr>
                <w:sz w:val="10"/>
                <w:szCs w:val="10"/>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4"/>
                <w:szCs w:val="14"/>
                <w:color w:val="auto"/>
              </w:rPr>
            </w:pPr>
          </w:p>
        </w:tc>
        <w:tc>
          <w:tcPr>
            <w:tcW w:w="144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Losses</w:t>
            </w: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713,267</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713,267</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U.S. government treasuries</w:t>
            </w:r>
          </w:p>
        </w:tc>
        <w:tc>
          <w:tcPr>
            <w:tcW w:w="16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96,450</w:t>
            </w:r>
          </w:p>
        </w:tc>
        <w:tc>
          <w:tcPr>
            <w:tcW w:w="22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151</w:t>
            </w:r>
          </w:p>
        </w:tc>
        <w:tc>
          <w:tcPr>
            <w:tcW w:w="22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96,399</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U.S. agencies</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56,717</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707</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57,424</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Government guaranteed debt</w:t>
            </w:r>
          </w:p>
        </w:tc>
        <w:tc>
          <w:tcPr>
            <w:tcW w:w="16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88,440</w:t>
            </w:r>
          </w:p>
        </w:tc>
        <w:tc>
          <w:tcPr>
            <w:tcW w:w="22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923</w:t>
            </w:r>
          </w:p>
        </w:tc>
        <w:tc>
          <w:tcPr>
            <w:tcW w:w="22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89,363</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Supranational and sovereign debt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19,286</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19,344</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57,761</w:t>
            </w:r>
          </w:p>
        </w:tc>
        <w:tc>
          <w:tcPr>
            <w:tcW w:w="22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575</w:t>
            </w:r>
          </w:p>
        </w:tc>
        <w:tc>
          <w:tcPr>
            <w:tcW w:w="22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1,156</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57,180</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Asset backed obligations</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7,245</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1,025</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6,220</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Mortgages (including agencies and corporate)</w:t>
            </w:r>
          </w:p>
        </w:tc>
        <w:tc>
          <w:tcPr>
            <w:tcW w:w="16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18,825</w:t>
            </w:r>
          </w:p>
        </w:tc>
        <w:tc>
          <w:tcPr>
            <w:tcW w:w="22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329</w:t>
            </w:r>
          </w:p>
        </w:tc>
        <w:tc>
          <w:tcPr>
            <w:tcW w:w="22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1,870</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17,284</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 and certificates of deposit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18,132</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18,019</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Total(1)</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1,076,123</w:t>
            </w:r>
          </w:p>
        </w:tc>
        <w:tc>
          <w:tcPr>
            <w:tcW w:w="6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2,743</w:t>
            </w:r>
          </w:p>
        </w:tc>
        <w:tc>
          <w:tcPr>
            <w:tcW w:w="5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4,366</w:t>
            </w:r>
          </w:p>
        </w:tc>
        <w:tc>
          <w:tcPr>
            <w:tcW w:w="6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1,074,500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80" w:hanging="452"/>
        <w:spacing w:after="0" w:line="308"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Available-for-sale securities are classified as short term interest-bearing investments on the Company’s balance sheet, except for $714,723 of securities with maturities from date of acquisition of 90 days or less which are included in cash and cash equivalents as of December 31, 2010.</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As of September 30, 2010</w:t>
            </w: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0"/>
                <w:szCs w:val="10"/>
                <w:color w:val="auto"/>
              </w:rPr>
            </w:pPr>
          </w:p>
        </w:tc>
        <w:tc>
          <w:tcPr>
            <w:tcW w:w="122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0"/>
                <w:szCs w:val="10"/>
                <w:color w:val="auto"/>
              </w:rPr>
            </w:pPr>
          </w:p>
        </w:tc>
        <w:tc>
          <w:tcPr>
            <w:tcW w:w="122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12"/>
                <w:szCs w:val="12"/>
                <w:color w:val="auto"/>
              </w:rPr>
            </w:pPr>
          </w:p>
        </w:tc>
        <w:tc>
          <w:tcPr>
            <w:tcW w:w="76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Cost</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Gains</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82"/>
              </w:rPr>
              <w:t>Losses</w:t>
            </w:r>
          </w:p>
        </w:tc>
        <w:tc>
          <w:tcPr>
            <w:tcW w:w="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867,335</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867,335</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U.S. government treasuries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111,685</w:t>
            </w:r>
          </w:p>
        </w:tc>
        <w:tc>
          <w:tcPr>
            <w:tcW w:w="1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111,912</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U.S. agencies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64,837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887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65,724</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Government guaranteed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100,832</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1,280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102,112</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Supranational and sovereign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23,672</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23,771</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59,247</w:t>
            </w:r>
          </w:p>
        </w:tc>
        <w:tc>
          <w:tcPr>
            <w:tcW w:w="1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1,233</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58,742</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Asset backed obligations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1,083</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7,147</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Mortgages (including agencies and corporate)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21,062</w:t>
            </w:r>
          </w:p>
        </w:tc>
        <w:tc>
          <w:tcPr>
            <w:tcW w:w="1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2,486</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18,948</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 and certificates of deposit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19,414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19,302</w:t>
            </w:r>
          </w:p>
        </w:tc>
        <w:tc>
          <w:tcPr>
            <w:tcW w:w="0" w:type="dxa"/>
            <w:vAlign w:val="bottom"/>
          </w:tcPr>
          <w:p>
            <w:pPr>
              <w:spacing w:after="0"/>
              <w:rPr>
                <w:sz w:val="1"/>
                <w:szCs w:val="1"/>
                <w:color w:val="auto"/>
              </w:rPr>
            </w:pPr>
          </w:p>
        </w:tc>
      </w:tr>
      <w:tr>
        <w:trPr>
          <w:trHeight w:val="223"/>
        </w:trPr>
        <w:tc>
          <w:tcPr>
            <w:tcW w:w="6300" w:type="dxa"/>
            <w:vAlign w:val="bottom"/>
          </w:tcPr>
          <w:p>
            <w:pPr>
              <w:spacing w:after="0"/>
              <w:rPr>
                <w:sz w:val="20"/>
                <w:szCs w:val="20"/>
                <w:color w:val="auto"/>
              </w:rPr>
            </w:pPr>
            <w:r>
              <w:rPr>
                <w:rFonts w:ascii="Arial" w:cs="Arial" w:eastAsia="Arial" w:hAnsi="Arial"/>
                <w:sz w:val="18"/>
                <w:szCs w:val="18"/>
                <w:color w:val="auto"/>
              </w:rPr>
              <w:t>Total(2)</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1,276,314</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3,593</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4,914</w:t>
            </w:r>
          </w:p>
        </w:tc>
        <w:tc>
          <w:tcPr>
            <w:tcW w:w="6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1,274,993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80" w:hanging="452"/>
        <w:spacing w:after="0" w:line="308" w:lineRule="auto"/>
        <w:tabs>
          <w:tab w:leader="none" w:pos="4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Available-for-sale securities are classified as short term interest-bearing investments on the Company’s balance sheet, except for $877,889 of securities with maturities from date of acquisition of 90 days or less which are included in cash and cash equivalents as of September 30, 2010.</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215"/>
        <w:spacing w:after="0" w:line="257" w:lineRule="auto"/>
        <w:rPr>
          <w:sz w:val="20"/>
          <w:szCs w:val="20"/>
          <w:color w:val="auto"/>
        </w:rPr>
      </w:pPr>
      <w:r>
        <w:rPr>
          <w:rFonts w:ascii="Arial" w:cs="Arial" w:eastAsia="Arial" w:hAnsi="Arial"/>
          <w:sz w:val="18"/>
          <w:szCs w:val="18"/>
          <w:color w:val="auto"/>
        </w:rPr>
        <w:t>As of December 31, 2010, the unrealized losses were primarily due to credit market conditions and interest rate movements. A significant portion of the unrealized losses has been in a continuous loss position for 12 months or greater. The Company assessed whether such unrealized losses for the investments in its portfolio were other-than-temporary. Based on this assessment, the Company recognized through earnings a credit loss of $284 and $280 in the three months ended December 31, 2010 and 2009, respectively. As of December 31, 2010, unrealized losses of $1,361 related to other-than-temporarily impaired securities are included in accumulated other comprehensive income.</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a cumulative roll forward of credit losses recognized in earnings as of December 31, 2010:</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October 1, 2010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Credit loss on debt securities for which an other-than-temporary impairment was not previously recognized</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Additional credit loss on debt securities for which an other-than-temporary impairment was previously recognized</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Reductions for securities realized during the period</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20" w:type="dxa"/>
            <w:vAlign w:val="bottom"/>
            <w:vMerge w:val="restart"/>
          </w:tcPr>
          <w:p>
            <w:pPr>
              <w:ind w:left="200"/>
              <w:spacing w:after="0"/>
              <w:rPr>
                <w:sz w:val="20"/>
                <w:szCs w:val="20"/>
                <w:color w:val="auto"/>
              </w:rPr>
            </w:pPr>
            <w:r>
              <w:rPr>
                <w:rFonts w:ascii="Arial" w:cs="Arial" w:eastAsia="Arial" w:hAnsi="Arial"/>
                <w:sz w:val="18"/>
                <w:szCs w:val="18"/>
                <w:color w:val="auto"/>
              </w:rPr>
              <w:t>As of December 31, 2010, the Company’s available-for-sale securities had the following maturity dates:</w:t>
            </w: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04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0420" w:type="dxa"/>
            <w:vAlign w:val="bottom"/>
          </w:tcPr>
          <w:p>
            <w:pPr>
              <w:spacing w:after="0"/>
              <w:rPr>
                <w:sz w:val="24"/>
                <w:szCs w:val="24"/>
                <w:color w:val="auto"/>
              </w:rPr>
            </w:pPr>
          </w:p>
        </w:tc>
        <w:tc>
          <w:tcPr>
            <w:tcW w:w="8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7"/>
              </w:rPr>
              <w:t>Market Value</w:t>
            </w:r>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859,590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1 to 2 years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131,436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2 to 3 years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50,775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3 to 4 years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4,928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20" w:type="dxa"/>
            <w:vAlign w:val="bottom"/>
          </w:tcPr>
          <w:p>
            <w:pPr>
              <w:spacing w:after="0"/>
              <w:rPr>
                <w:sz w:val="19"/>
                <w:szCs w:val="19"/>
                <w:color w:val="auto"/>
              </w:rPr>
            </w:pP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0"/>
              </w:rPr>
              <w:t>$ 1,074,500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Financial Instruments</w:t>
      </w:r>
    </w:p>
    <w:p>
      <w:pPr>
        <w:spacing w:after="0" w:line="121" w:lineRule="exact"/>
        <w:rPr>
          <w:sz w:val="20"/>
          <w:szCs w:val="20"/>
          <w:color w:val="auto"/>
        </w:rPr>
      </w:pPr>
    </w:p>
    <w:p>
      <w:pPr>
        <w:jc w:val="both"/>
        <w:ind w:right="20" w:firstLine="222"/>
        <w:spacing w:after="0" w:line="308" w:lineRule="auto"/>
        <w:rPr>
          <w:sz w:val="20"/>
          <w:szCs w:val="20"/>
          <w:color w:val="auto"/>
        </w:rPr>
      </w:pPr>
      <w:r>
        <w:rPr>
          <w:rFonts w:ascii="Arial" w:cs="Arial" w:eastAsia="Arial" w:hAnsi="Arial"/>
          <w:sz w:val="17"/>
          <w:szCs w:val="17"/>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38"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The Company’s derivatives expose it to credit risks from possible non-performance by counterparties. The maximum amount of loss due to credit risk that the Company would incur if counterparties to the derivative financial instruments failed completely to perform according to the terms of the contracts, based on the gross fair value of the Company’s derivative contracts that are favorable to the Company, was approximately $17,305 as of December 31, 2010. The Company has limited its credit risk by entering into derivative transactions exclusively with investment-grade rated financial institutions and monitors the creditworthiness of these financial institutions on an ongoing basis.</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classifies cash flows from its derivative transactions as cash flows from operating activities in the consolidated statements of cash flow.</w:t>
      </w:r>
    </w:p>
    <w:p>
      <w:pPr>
        <w:spacing w:after="0" w:line="140"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The table below presents the total volume or notional amounts of the Company’s derivative instruments as of December 31, 2010. Notional values are U.S. dollar translated and calculated based on forward rates as of December 31, 2010 for forward contracts, and based on spot rates as of December 31, 2010 for options.</w:t>
      </w:r>
    </w:p>
    <w:p>
      <w:pPr>
        <w:spacing w:after="0" w:line="173" w:lineRule="exact"/>
        <w:rPr>
          <w:sz w:val="20"/>
          <w:szCs w:val="20"/>
          <w:color w:val="auto"/>
        </w:rPr>
      </w:pPr>
    </w:p>
    <w:p>
      <w:pPr>
        <w:ind w:left="10340"/>
        <w:spacing w:after="0"/>
        <w:rPr>
          <w:sz w:val="20"/>
          <w:szCs w:val="20"/>
          <w:color w:val="auto"/>
        </w:rPr>
      </w:pPr>
      <w:r>
        <w:rPr>
          <w:rFonts w:ascii="Arial" w:cs="Arial" w:eastAsia="Arial" w:hAnsi="Arial"/>
          <w:sz w:val="14"/>
          <w:szCs w:val="14"/>
          <w:b w:val="1"/>
          <w:bCs w:val="1"/>
          <w:u w:val="single" w:color="auto"/>
          <w:color w:val="auto"/>
        </w:rPr>
        <w:t>Notional Value*</w:t>
      </w:r>
    </w:p>
    <w:p>
      <w:pPr>
        <w:spacing w:after="0" w:line="25" w:lineRule="exact"/>
        <w:rPr>
          <w:sz w:val="20"/>
          <w:szCs w:val="20"/>
          <w:color w:val="auto"/>
        </w:rPr>
      </w:pPr>
    </w:p>
    <w:p>
      <w:pPr>
        <w:spacing w:after="0"/>
        <w:tabs>
          <w:tab w:leader="none" w:pos="10320" w:val="left"/>
          <w:tab w:leader="none" w:pos="10700" w:val="left"/>
        </w:tabs>
        <w:rPr>
          <w:sz w:val="20"/>
          <w:szCs w:val="20"/>
          <w:color w:val="auto"/>
        </w:rPr>
      </w:pPr>
      <w:r>
        <w:rPr>
          <w:rFonts w:ascii="Arial" w:cs="Arial" w:eastAsia="Arial" w:hAnsi="Arial"/>
          <w:sz w:val="18"/>
          <w:szCs w:val="18"/>
          <w:color w:val="auto"/>
        </w:rPr>
        <w:t>Foreign exchange contracts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805,366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13036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1" w:lineRule="exact"/>
        <w:rPr>
          <w:sz w:val="20"/>
          <w:szCs w:val="20"/>
          <w:color w:val="auto"/>
        </w:rPr>
      </w:pPr>
    </w:p>
    <w:p>
      <w:pPr>
        <w:ind w:left="460" w:right="30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notional amounts do not quantify risk or represent assets or liabilities of the Company, but are used in the calculation of settlements under the contracts.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222"/>
        <w:spacing w:after="0" w:line="264" w:lineRule="auto"/>
        <w:rPr>
          <w:sz w:val="20"/>
          <w:szCs w:val="20"/>
          <w:color w:val="auto"/>
        </w:rPr>
      </w:pPr>
      <w:r>
        <w:rPr>
          <w:rFonts w:ascii="Arial" w:cs="Arial" w:eastAsia="Arial" w:hAnsi="Arial"/>
          <w:sz w:val="18"/>
          <w:szCs w:val="18"/>
          <w:color w:val="auto"/>
        </w:rPr>
        <w:t>The Company records all derivative instruments on the balance sheet at fair value. Please see Note 4 to the consolidated financial statements. The fair value of the open foreign exchange contracts recorded by the Company on its consolidated balance sheets as of December 31, 2010 and September 30, 2010, as an asset or a liability is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30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9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540" w:type="dxa"/>
            <w:vAlign w:val="bottom"/>
          </w:tcPr>
          <w:p>
            <w:pPr>
              <w:spacing w:after="0"/>
              <w:rPr>
                <w:sz w:val="10"/>
                <w:szCs w:val="10"/>
                <w:color w:val="auto"/>
              </w:rPr>
            </w:pPr>
          </w:p>
        </w:tc>
        <w:tc>
          <w:tcPr>
            <w:tcW w:w="9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Derivatives designated as hedging instruments</w:t>
            </w:r>
          </w:p>
        </w:tc>
        <w:tc>
          <w:tcPr>
            <w:tcW w:w="2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780" w:type="dxa"/>
            <w:vAlign w:val="bottom"/>
            <w:gridSpan w:val="2"/>
          </w:tcPr>
          <w:p>
            <w:pPr>
              <w:ind w:left="26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13,459</w:t>
            </w:r>
          </w:p>
        </w:tc>
        <w:tc>
          <w:tcPr>
            <w:tcW w:w="7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assets</w:t>
            </w:r>
          </w:p>
        </w:tc>
        <w:tc>
          <w:tcPr>
            <w:tcW w:w="2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758</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(2,150)</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liabilities</w:t>
            </w:r>
          </w:p>
        </w:tc>
        <w:tc>
          <w:tcPr>
            <w:tcW w:w="2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(470)</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11,597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2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3,088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(3,244)</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fair value</w:t>
            </w:r>
          </w:p>
        </w:tc>
        <w:tc>
          <w:tcPr>
            <w:tcW w:w="2780" w:type="dxa"/>
            <w:vAlign w:val="bottom"/>
            <w:gridSpan w:val="2"/>
            <w:shd w:val="clear" w:color="auto" w:fill="CCEEFF"/>
          </w:tcPr>
          <w:p>
            <w:pPr>
              <w:ind w:left="26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11,441</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17" w:lineRule="exact"/>
        <w:rPr>
          <w:sz w:val="20"/>
          <w:szCs w:val="20"/>
          <w:color w:val="auto"/>
        </w:rPr>
      </w:pPr>
    </w:p>
    <w:p>
      <w:pPr>
        <w:ind w:right="60" w:firstLine="225"/>
        <w:spacing w:after="0" w:line="297" w:lineRule="auto"/>
        <w:rPr>
          <w:sz w:val="20"/>
          <w:szCs w:val="20"/>
          <w:color w:val="auto"/>
        </w:rPr>
      </w:pPr>
      <w:r>
        <w:rPr>
          <w:rFonts w:ascii="Arial" w:cs="Arial" w:eastAsia="Arial" w:hAnsi="Arial"/>
          <w:sz w:val="16"/>
          <w:szCs w:val="16"/>
          <w:color w:val="auto"/>
        </w:rPr>
        <w:t>In order to reduce the impact of changes in foreign currency exchange rates on its results, the Company enters into foreign currency exchange forward contracts and options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two years (a significant portion of the forward contracts and options outstanding as of December 31, 2010 are expected to mature within the next 12 months).</w:t>
      </w:r>
    </w:p>
    <w:p>
      <w:pPr>
        <w:spacing w:after="0" w:line="50" w:lineRule="exact"/>
        <w:rPr>
          <w:sz w:val="20"/>
          <w:szCs w:val="20"/>
          <w:color w:val="auto"/>
        </w:rPr>
      </w:pPr>
    </w:p>
    <w:p>
      <w:pPr>
        <w:ind w:right="160" w:firstLine="222"/>
        <w:spacing w:after="0" w:line="272" w:lineRule="auto"/>
        <w:rPr>
          <w:sz w:val="20"/>
          <w:szCs w:val="20"/>
          <w:color w:val="auto"/>
        </w:rPr>
      </w:pPr>
      <w:r>
        <w:rPr>
          <w:rFonts w:ascii="Arial" w:cs="Arial" w:eastAsia="Arial" w:hAnsi="Arial"/>
          <w:sz w:val="17"/>
          <w:szCs w:val="17"/>
          <w:color w:val="auto"/>
        </w:rPr>
        <w:t>The effective portion of the gain or loss on the derivative instruments is initially recorded as a component of other comprehensive income, a separate component of shareholders’ equity, and subsequently reclassified into earnings to the same line item as the related forecasted transaction and in the same period or periods during which the hedged exposure affects earnings. The cash flow hedges are evaluated for effectiveness at least quarterly. As the critical terms of the forward contract or options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and hedge components, such as time value, excluded from assessment of effectiveness testing for hedges of revenue, are recognized immediately in interest and other expense, net.</w:t>
      </w:r>
    </w:p>
    <w:p>
      <w:pPr>
        <w:spacing w:after="0" w:line="70" w:lineRule="exact"/>
        <w:rPr>
          <w:sz w:val="20"/>
          <w:szCs w:val="20"/>
          <w:color w:val="auto"/>
        </w:rPr>
      </w:pPr>
    </w:p>
    <w:p>
      <w:pPr>
        <w:ind w:right="240" w:firstLine="222"/>
        <w:spacing w:after="0" w:line="277" w:lineRule="auto"/>
        <w:rPr>
          <w:sz w:val="20"/>
          <w:szCs w:val="20"/>
          <w:color w:val="auto"/>
        </w:rPr>
      </w:pPr>
      <w:r>
        <w:rPr>
          <w:rFonts w:ascii="Arial" w:cs="Arial" w:eastAsia="Arial" w:hAnsi="Arial"/>
          <w:sz w:val="18"/>
          <w:szCs w:val="18"/>
          <w:color w:val="auto"/>
        </w:rPr>
        <w:t>The effect of the Company’s cash flow hedging instruments in the consolidated statement of income for the three months ended December 31, 2010 and 2009, which partially offset the foreign currency impact from the underlying exposures, is summarized as follows:</w:t>
      </w:r>
    </w:p>
    <w:p>
      <w:pPr>
        <w:spacing w:after="0" w:line="162"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GAINS (LOSSES) RECLASSIFIED FROM</w:t>
      </w:r>
    </w:p>
    <w:p>
      <w:pPr>
        <w:jc w:val="center"/>
        <w:ind w:left="7080"/>
        <w:spacing w:after="0" w:line="226" w:lineRule="auto"/>
        <w:rPr>
          <w:sz w:val="20"/>
          <w:szCs w:val="20"/>
          <w:color w:val="auto"/>
        </w:rPr>
      </w:pPr>
      <w:r>
        <w:rPr>
          <w:rFonts w:ascii="Arial" w:cs="Arial" w:eastAsia="Arial" w:hAnsi="Arial"/>
          <w:sz w:val="14"/>
          <w:szCs w:val="14"/>
          <w:b w:val="1"/>
          <w:bCs w:val="1"/>
          <w:color w:val="auto"/>
        </w:rPr>
        <w:t>OTHER COMPREHENSIVE INCOME (EFFECTIVE PORTION)</w:t>
      </w:r>
    </w:p>
    <w:p>
      <w:pPr>
        <w:jc w:val="center"/>
        <w:ind w:left="7080"/>
        <w:spacing w:after="0" w:line="232" w:lineRule="auto"/>
        <w:rPr>
          <w:sz w:val="20"/>
          <w:szCs w:val="20"/>
          <w:color w:val="auto"/>
        </w:rPr>
      </w:pPr>
      <w:r>
        <w:rPr>
          <w:rFonts w:ascii="Arial" w:cs="Arial" w:eastAsia="Arial" w:hAnsi="Arial"/>
          <w:sz w:val="14"/>
          <w:szCs w:val="14"/>
          <w:b w:val="1"/>
          <w:bCs w:val="1"/>
          <w:color w:val="auto"/>
        </w:rPr>
        <w:t>Three months ended</w:t>
      </w:r>
    </w:p>
    <w:tbl>
      <w:tblPr>
        <w:tblLayout w:type="fixed"/>
        <w:tblInd w:w="0" w:type="dxa"/>
        <w:tblCellMar>
          <w:top w:w="0" w:type="dxa"/>
          <w:left w:w="0" w:type="dxa"/>
          <w:bottom w:w="0" w:type="dxa"/>
          <w:right w:w="0" w:type="dxa"/>
        </w:tblCellMar>
      </w:tblPr>
      <w:tr>
        <w:trPr>
          <w:trHeight w:val="142"/>
        </w:trPr>
        <w:tc>
          <w:tcPr>
            <w:tcW w:w="7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60" w:type="dxa"/>
            <w:vAlign w:val="bottom"/>
            <w:tcBorders>
              <w:top w:val="single" w:sz="8" w:color="auto"/>
            </w:tcBorders>
            <w:gridSpan w:val="3"/>
          </w:tcPr>
          <w:p>
            <w:pPr>
              <w:jc w:val="right"/>
              <w:ind w:right="1500"/>
              <w:spacing w:after="0" w:line="142" w:lineRule="exact"/>
              <w:rPr>
                <w:sz w:val="20"/>
                <w:szCs w:val="20"/>
                <w:color w:val="auto"/>
              </w:rPr>
            </w:pPr>
            <w:r>
              <w:rPr>
                <w:rFonts w:ascii="Arial" w:cs="Arial" w:eastAsia="Arial" w:hAnsi="Arial"/>
                <w:sz w:val="14"/>
                <w:szCs w:val="14"/>
                <w:b w:val="1"/>
                <w:bCs w:val="1"/>
                <w:color w:val="auto"/>
                <w:w w:val="90"/>
              </w:rPr>
              <w:t>December 31, 2010</w:t>
            </w:r>
          </w:p>
        </w:tc>
        <w:tc>
          <w:tcPr>
            <w:tcW w:w="1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90"/>
              </w:rPr>
              <w:t>December 31, 2009</w:t>
            </w:r>
          </w:p>
        </w:tc>
        <w:tc>
          <w:tcPr>
            <w:tcW w:w="100" w:type="dxa"/>
            <w:vAlign w:val="bottom"/>
          </w:tcPr>
          <w:p>
            <w:pPr>
              <w:spacing w:after="0"/>
              <w:rPr>
                <w:sz w:val="12"/>
                <w:szCs w:val="12"/>
                <w:color w:val="auto"/>
              </w:rPr>
            </w:pPr>
          </w:p>
        </w:tc>
      </w:tr>
      <w:tr>
        <w:trPr>
          <w:trHeight w:val="210"/>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Line item in statement of income:</w:t>
            </w: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80" w:type="dxa"/>
            <w:vAlign w:val="bottom"/>
          </w:tcPr>
          <w:p>
            <w:pPr>
              <w:ind w:left="220"/>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660" w:type="dxa"/>
            <w:vAlign w:val="bottom"/>
            <w:gridSpan w:val="3"/>
          </w:tcPr>
          <w:p>
            <w:pPr>
              <w:jc w:val="right"/>
              <w:ind w:right="1320"/>
              <w:spacing w:after="0"/>
              <w:rPr>
                <w:sz w:val="20"/>
                <w:szCs w:val="20"/>
                <w:color w:val="auto"/>
              </w:rPr>
            </w:pPr>
            <w:r>
              <w:rPr>
                <w:rFonts w:ascii="Arial" w:cs="Arial" w:eastAsia="Arial" w:hAnsi="Arial"/>
                <w:sz w:val="18"/>
                <w:szCs w:val="18"/>
                <w:color w:val="auto"/>
              </w:rPr>
              <w:t>(317)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(1,950)</w:t>
            </w:r>
          </w:p>
        </w:tc>
      </w:tr>
      <w:tr>
        <w:trPr>
          <w:trHeight w:val="216"/>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service</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2,539</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w:t>
            </w:r>
          </w:p>
        </w:tc>
      </w:tr>
      <w:tr>
        <w:trPr>
          <w:trHeight w:val="216"/>
        </w:trPr>
        <w:tc>
          <w:tcPr>
            <w:tcW w:w="718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607</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696</w:t>
            </w:r>
          </w:p>
        </w:tc>
      </w:tr>
      <w:tr>
        <w:trPr>
          <w:trHeight w:val="216"/>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642</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w:t>
            </w:r>
          </w:p>
        </w:tc>
      </w:tr>
      <w:tr>
        <w:trPr>
          <w:trHeight w:val="223"/>
        </w:trPr>
        <w:tc>
          <w:tcPr>
            <w:tcW w:w="71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3,471</w:t>
            </w:r>
          </w:p>
        </w:tc>
        <w:tc>
          <w:tcPr>
            <w:tcW w:w="20" w:type="dxa"/>
            <w:vAlign w:val="bottom"/>
            <w:tcBorders>
              <w:bottom w:val="single" w:sz="8" w:color="auto"/>
            </w:tcBorders>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1,552</w:t>
            </w:r>
          </w:p>
        </w:tc>
        <w:tc>
          <w:tcPr>
            <w:tcW w:w="100" w:type="dxa"/>
            <w:vAlign w:val="bottom"/>
          </w:tcPr>
          <w:p>
            <w:pPr>
              <w:spacing w:after="0"/>
              <w:rPr>
                <w:sz w:val="19"/>
                <w:szCs w:val="19"/>
                <w:color w:val="auto"/>
              </w:rPr>
            </w:pPr>
          </w:p>
        </w:tc>
      </w:tr>
      <w:tr>
        <w:trPr>
          <w:trHeight w:val="20"/>
        </w:trPr>
        <w:tc>
          <w:tcPr>
            <w:tcW w:w="7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215"/>
        <w:spacing w:after="0" w:line="264" w:lineRule="auto"/>
        <w:rPr>
          <w:sz w:val="20"/>
          <w:szCs w:val="20"/>
          <w:color w:val="auto"/>
        </w:rPr>
      </w:pPr>
      <w:r>
        <w:rPr>
          <w:rFonts w:ascii="Arial" w:cs="Arial" w:eastAsia="Arial" w:hAnsi="Arial"/>
          <w:sz w:val="18"/>
          <w:szCs w:val="18"/>
          <w:color w:val="auto"/>
        </w:rPr>
        <w:t>Aggregate gains of $3,012 and $1,285, net of taxes, were reclassified from other comprehensive income in the three months ended December 31, 2010 and 2009, respectively. The ineffective portion of the change in fair value of a cash flow hedge, including the time value portion excluded from effectiveness testing for the three months ended December 31, 2010 and 2009, was not material.</w:t>
      </w:r>
    </w:p>
    <w:p>
      <w:pPr>
        <w:spacing w:after="0" w:line="73" w:lineRule="exact"/>
        <w:rPr>
          <w:sz w:val="20"/>
          <w:szCs w:val="20"/>
          <w:color w:val="auto"/>
        </w:rPr>
      </w:pPr>
    </w:p>
    <w:p>
      <w:pPr>
        <w:jc w:val="both"/>
        <w:ind w:right="20" w:firstLine="215"/>
        <w:spacing w:after="0" w:line="264" w:lineRule="auto"/>
        <w:rPr>
          <w:sz w:val="20"/>
          <w:szCs w:val="20"/>
          <w:color w:val="auto"/>
        </w:rPr>
      </w:pPr>
      <w:r>
        <w:rPr>
          <w:rFonts w:ascii="Arial" w:cs="Arial" w:eastAsia="Arial" w:hAnsi="Arial"/>
          <w:sz w:val="18"/>
          <w:szCs w:val="18"/>
          <w:color w:val="auto"/>
        </w:rPr>
        <w:t>As of December 31, 2010, amounts related to derivatives designated as cash flow hedges and recorded in accumulated other comprehensive income totaled $8,805 which will be reclassified into earnings within the next 12 months and will partially offset the foreign currency impact from the underlying exposures. The amount ultimately realized in earnings will likely differ due to future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changes in foreign exchange rates. Gains (losses) from cash flow hedges recognized in other comprehensive income during the three months ended December 31, 2010 and 2009, respectively, were $6,652 and $(6,933), or $5,815 and $(5,909), net of taxes.</w:t>
      </w:r>
    </w:p>
    <w:p>
      <w:pPr>
        <w:spacing w:after="0" w:line="62" w:lineRule="exact"/>
        <w:rPr>
          <w:sz w:val="20"/>
          <w:szCs w:val="20"/>
          <w:color w:val="auto"/>
        </w:rPr>
      </w:pPr>
    </w:p>
    <w:p>
      <w:pPr>
        <w:ind w:right="260" w:firstLine="225"/>
        <w:spacing w:after="0" w:line="264" w:lineRule="auto"/>
        <w:rPr>
          <w:sz w:val="20"/>
          <w:szCs w:val="20"/>
          <w:color w:val="auto"/>
        </w:rPr>
      </w:pPr>
      <w:r>
        <w:rPr>
          <w:rFonts w:ascii="Arial" w:cs="Arial" w:eastAsia="Arial" w:hAnsi="Arial"/>
          <w:sz w:val="18"/>
          <w:szCs w:val="18"/>
          <w:color w:val="auto"/>
        </w:rPr>
        <w:t>Cash flow hedges are required to be discontinued in the event it becomes probable that the underlying forecasted hedged transaction will not occur. The Company did not discontinue any cash flow hedges during any of the periods presented nor does the Company anticipate any such discontinuance in the normal course of business.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activity related to the changes in net unrealized gains on cash flow hedges, net of tax, in accumulated other comprehensive income was as follows:</w:t>
      </w:r>
    </w:p>
    <w:p>
      <w:pPr>
        <w:spacing w:after="0" w:line="240"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Three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gains on cash flow hedges, net of tax, beginning of period</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6,002</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12,936</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Changes associated with hedging transactions, net of tax</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5,815</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(5,909)</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into earnings, net of tax</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(3,012)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(1,285)</w:t>
            </w: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Net unrealized gains on cash flow hedges, net of tax, end of period</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8,805</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5,742</w:t>
            </w:r>
          </w:p>
        </w:tc>
        <w:tc>
          <w:tcPr>
            <w:tcW w:w="10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Risk Management Derivatives</w:t>
      </w:r>
    </w:p>
    <w:p>
      <w:pPr>
        <w:spacing w:after="0" w:line="117" w:lineRule="exact"/>
        <w:rPr>
          <w:sz w:val="20"/>
          <w:szCs w:val="20"/>
          <w:color w:val="auto"/>
        </w:rPr>
      </w:pPr>
    </w:p>
    <w:p>
      <w:pPr>
        <w:jc w:val="both"/>
        <w:ind w:right="40" w:firstLine="222"/>
        <w:spacing w:after="0" w:line="277" w:lineRule="auto"/>
        <w:rPr>
          <w:sz w:val="20"/>
          <w:szCs w:val="20"/>
          <w:color w:val="auto"/>
        </w:rPr>
      </w:pPr>
      <w:r>
        <w:rPr>
          <w:rFonts w:ascii="Arial" w:cs="Arial" w:eastAsia="Arial" w:hAnsi="Arial"/>
          <w:sz w:val="18"/>
          <w:szCs w:val="18"/>
          <w:color w:val="auto"/>
        </w:rPr>
        <w:t>The Company also enters into foreign currency exchange forward contracts that are not designated as hedging instruments under hedge accounting and are used to reduce the impact of foreign currency on certain balance sheet exposures and certain revenue and expense.</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These instruments are generally short term in nature, with typical maturities of less than one year, and are subject to fluctuations in foreign exchange rates.</w:t>
      </w:r>
    </w:p>
    <w:p>
      <w:pPr>
        <w:spacing w:after="0" w:line="140" w:lineRule="exact"/>
        <w:rPr>
          <w:sz w:val="20"/>
          <w:szCs w:val="20"/>
          <w:color w:val="auto"/>
        </w:rPr>
      </w:pPr>
    </w:p>
    <w:p>
      <w:pPr>
        <w:ind w:right="220" w:firstLine="222"/>
        <w:spacing w:after="0" w:line="342" w:lineRule="auto"/>
        <w:rPr>
          <w:sz w:val="20"/>
          <w:szCs w:val="20"/>
          <w:color w:val="auto"/>
        </w:rPr>
      </w:pPr>
      <w:r>
        <w:rPr>
          <w:rFonts w:ascii="Arial" w:cs="Arial" w:eastAsia="Arial" w:hAnsi="Arial"/>
          <w:sz w:val="16"/>
          <w:szCs w:val="16"/>
          <w:color w:val="auto"/>
        </w:rPr>
        <w:t>The effect of the Company’s derivative instruments not designated as hedging instruments in the consolidated statements of income for the three months ended December 31, 2010 and 2009, which partially offset the foreign currency impact from the underlying exposure, is summarized as follows:</w:t>
      </w:r>
    </w:p>
    <w:p>
      <w:pPr>
        <w:spacing w:after="0" w:line="116"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Gains (Losses)</w:t>
      </w:r>
    </w:p>
    <w:p>
      <w:pPr>
        <w:jc w:val="center"/>
        <w:ind w:left="9160"/>
        <w:spacing w:after="0" w:line="226" w:lineRule="auto"/>
        <w:rPr>
          <w:sz w:val="20"/>
          <w:szCs w:val="20"/>
          <w:color w:val="auto"/>
        </w:rPr>
      </w:pPr>
      <w:r>
        <w:rPr>
          <w:rFonts w:ascii="Arial" w:cs="Arial" w:eastAsia="Arial" w:hAnsi="Arial"/>
          <w:sz w:val="14"/>
          <w:szCs w:val="14"/>
          <w:b w:val="1"/>
          <w:bCs w:val="1"/>
          <w:color w:val="auto"/>
        </w:rPr>
        <w:t>Recognized in Income for the</w:t>
      </w:r>
    </w:p>
    <w:p>
      <w:pPr>
        <w:jc w:val="center"/>
        <w:ind w:left="9160"/>
        <w:spacing w:after="0" w:line="222" w:lineRule="auto"/>
        <w:rPr>
          <w:sz w:val="20"/>
          <w:szCs w:val="20"/>
          <w:color w:val="auto"/>
        </w:rPr>
      </w:pPr>
      <w:r>
        <w:rPr>
          <w:rFonts w:ascii="Arial" w:cs="Arial" w:eastAsia="Arial" w:hAnsi="Arial"/>
          <w:sz w:val="14"/>
          <w:szCs w:val="14"/>
          <w:b w:val="1"/>
          <w:bCs w:val="1"/>
          <w:color w:val="auto"/>
        </w:rPr>
        <w:t>Three months Ended</w:t>
      </w:r>
    </w:p>
    <w:p>
      <w:pPr>
        <w:jc w:val="center"/>
        <w:ind w:left="9160"/>
        <w:spacing w:after="0" w:line="231"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474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gridSpan w:val="2"/>
          </w:tcPr>
          <w:p>
            <w:pPr>
              <w:jc w:val="right"/>
              <w:ind w:right="128"/>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Line item in statement of income:</w:t>
            </w:r>
          </w:p>
        </w:tc>
        <w:tc>
          <w:tcPr>
            <w:tcW w:w="4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220"/>
              <w:spacing w:after="0"/>
              <w:rPr>
                <w:sz w:val="20"/>
                <w:szCs w:val="20"/>
                <w:color w:val="auto"/>
              </w:rPr>
            </w:pPr>
            <w:r>
              <w:rPr>
                <w:rFonts w:ascii="Arial" w:cs="Arial" w:eastAsia="Arial" w:hAnsi="Arial"/>
                <w:sz w:val="18"/>
                <w:szCs w:val="18"/>
                <w:color w:val="auto"/>
              </w:rPr>
              <w:t>Revenue</w:t>
            </w:r>
          </w:p>
        </w:tc>
        <w:tc>
          <w:tcPr>
            <w:tcW w:w="4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(1,304)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service</w:t>
            </w:r>
          </w:p>
        </w:tc>
        <w:tc>
          <w:tcPr>
            <w:tcW w:w="4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2,075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474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4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460"/>
              <w:spacing w:after="0"/>
              <w:rPr>
                <w:sz w:val="20"/>
                <w:szCs w:val="20"/>
                <w:color w:val="auto"/>
              </w:rPr>
            </w:pPr>
            <w:r>
              <w:rPr>
                <w:rFonts w:ascii="Arial" w:cs="Arial" w:eastAsia="Arial" w:hAnsi="Arial"/>
                <w:sz w:val="18"/>
                <w:szCs w:val="18"/>
                <w:color w:val="auto"/>
              </w:rPr>
              <w:t>434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4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437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ind w:left="220"/>
              <w:spacing w:after="0"/>
              <w:rPr>
                <w:sz w:val="20"/>
                <w:szCs w:val="20"/>
                <w:color w:val="auto"/>
              </w:rPr>
            </w:pPr>
            <w:r>
              <w:rPr>
                <w:rFonts w:ascii="Arial" w:cs="Arial" w:eastAsia="Arial" w:hAnsi="Arial"/>
                <w:sz w:val="18"/>
                <w:szCs w:val="18"/>
                <w:color w:val="auto"/>
              </w:rPr>
              <w:t>Interest and other expense, net</w:t>
            </w:r>
          </w:p>
        </w:tc>
        <w:tc>
          <w:tcPr>
            <w:tcW w:w="4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(642)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w:t>
            </w:r>
          </w:p>
        </w:tc>
        <w:tc>
          <w:tcPr>
            <w:tcW w:w="4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(265)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Total</w:t>
            </w:r>
          </w:p>
        </w:tc>
        <w:tc>
          <w:tcPr>
            <w:tcW w:w="4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735</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b w:val="1"/>
                <w:bCs w:val="1"/>
                <w:color w:val="auto"/>
              </w:rPr>
              <w:t>7. Accounts Receivable, Net</w:t>
            </w:r>
          </w:p>
        </w:tc>
        <w:tc>
          <w:tcPr>
            <w:tcW w:w="4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740" w:type="dxa"/>
            <w:vAlign w:val="bottom"/>
            <w:vMerge w:val="continue"/>
          </w:tcPr>
          <w:p>
            <w:pPr>
              <w:spacing w:after="0"/>
              <w:rPr>
                <w:sz w:val="24"/>
                <w:szCs w:val="24"/>
                <w:color w:val="auto"/>
              </w:rPr>
            </w:pPr>
          </w:p>
        </w:tc>
        <w:tc>
          <w:tcPr>
            <w:tcW w:w="4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740" w:type="dxa"/>
            <w:vAlign w:val="bottom"/>
          </w:tcPr>
          <w:p>
            <w:pPr>
              <w:ind w:left="220"/>
              <w:spacing w:after="0"/>
              <w:rPr>
                <w:sz w:val="20"/>
                <w:szCs w:val="20"/>
                <w:color w:val="auto"/>
              </w:rPr>
            </w:pPr>
            <w:r>
              <w:rPr>
                <w:rFonts w:ascii="Arial" w:cs="Arial" w:eastAsia="Arial" w:hAnsi="Arial"/>
                <w:sz w:val="18"/>
                <w:szCs w:val="18"/>
                <w:color w:val="auto"/>
              </w:rPr>
              <w:t>Accounts receivable, net consists of the following:</w:t>
            </w:r>
          </w:p>
        </w:tc>
        <w:tc>
          <w:tcPr>
            <w:tcW w:w="4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7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As of</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74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1500" w:type="dxa"/>
            <w:vAlign w:val="bottom"/>
            <w:gridSpan w:val="6"/>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9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Borders>
              <w:bottom w:val="single" w:sz="8" w:color="auto"/>
            </w:tcBorders>
            <w:gridSpan w:val="3"/>
          </w:tcPr>
          <w:p>
            <w:pPr>
              <w:jc w:val="right"/>
              <w:ind w:right="211"/>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 billed</w:t>
            </w:r>
          </w:p>
        </w:tc>
        <w:tc>
          <w:tcPr>
            <w:tcW w:w="4360" w:type="dxa"/>
            <w:vAlign w:val="bottom"/>
            <w:gridSpan w:val="2"/>
            <w:shd w:val="clear" w:color="auto" w:fill="CCEEFF"/>
          </w:tcPr>
          <w:p>
            <w:pPr>
              <w:ind w:left="418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493,120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529,182</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Accounts receivable — unbilled</w:t>
            </w:r>
          </w:p>
        </w:tc>
        <w:tc>
          <w:tcPr>
            <w:tcW w:w="4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4"/>
          </w:tcPr>
          <w:p>
            <w:pPr>
              <w:jc w:val="right"/>
              <w:ind w:right="128"/>
              <w:spacing w:after="0"/>
              <w:rPr>
                <w:sz w:val="20"/>
                <w:szCs w:val="20"/>
                <w:color w:val="auto"/>
              </w:rPr>
            </w:pPr>
            <w:r>
              <w:rPr>
                <w:rFonts w:ascii="Arial" w:cs="Arial" w:eastAsia="Arial" w:hAnsi="Arial"/>
                <w:sz w:val="18"/>
                <w:szCs w:val="18"/>
                <w:color w:val="auto"/>
              </w:rPr>
              <w:t>65,634</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62,246</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Less—allowances</w:t>
            </w:r>
          </w:p>
        </w:tc>
        <w:tc>
          <w:tcPr>
            <w:tcW w:w="4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68"/>
              <w:spacing w:after="0"/>
              <w:rPr>
                <w:sz w:val="20"/>
                <w:szCs w:val="20"/>
                <w:color w:val="auto"/>
              </w:rPr>
            </w:pPr>
            <w:r>
              <w:rPr>
                <w:rFonts w:ascii="Arial" w:cs="Arial" w:eastAsia="Arial" w:hAnsi="Arial"/>
                <w:sz w:val="18"/>
                <w:szCs w:val="18"/>
                <w:color w:val="auto"/>
              </w:rPr>
              <w:t>(10,887)</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(11,428)</w:t>
            </w: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4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8"/>
              </w:rPr>
              <w:t>547,867</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580,000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4180" w:type="dxa"/>
            <w:vAlign w:val="bottom"/>
            <w:vMerge w:val="restart"/>
          </w:tcPr>
          <w:p>
            <w:pPr>
              <w:jc w:val="right"/>
              <w:ind w:right="3030"/>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74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740" w:type="dxa"/>
            <w:vAlign w:val="bottom"/>
            <w:tcBorders>
              <w:bottom w:val="single" w:sz="8" w:color="808080"/>
            </w:tcBorders>
          </w:tcPr>
          <w:p>
            <w:pPr>
              <w:spacing w:after="0"/>
              <w:rPr>
                <w:sz w:val="19"/>
                <w:szCs w:val="19"/>
                <w:color w:val="auto"/>
              </w:rPr>
            </w:pPr>
          </w:p>
        </w:tc>
        <w:tc>
          <w:tcPr>
            <w:tcW w:w="4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Comprehensive Income</w:t>
      </w:r>
    </w:p>
    <w:p>
      <w:pPr>
        <w:spacing w:after="0" w:line="121" w:lineRule="exact"/>
        <w:rPr>
          <w:sz w:val="20"/>
          <w:szCs w:val="20"/>
          <w:color w:val="auto"/>
        </w:rPr>
      </w:pPr>
    </w:p>
    <w:p>
      <w:pPr>
        <w:ind w:right="760" w:firstLine="225"/>
        <w:spacing w:after="0" w:line="342" w:lineRule="auto"/>
        <w:rPr>
          <w:sz w:val="20"/>
          <w:szCs w:val="20"/>
          <w:color w:val="auto"/>
        </w:rPr>
      </w:pPr>
      <w:r>
        <w:rPr>
          <w:rFonts w:ascii="Arial" w:cs="Arial" w:eastAsia="Arial" w:hAnsi="Arial"/>
          <w:sz w:val="16"/>
          <w:szCs w:val="16"/>
          <w:color w:val="auto"/>
        </w:rPr>
        <w:t>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the reconciliation from net income to comprehensive income for the following periods:</w:t>
      </w:r>
    </w:p>
    <w:p>
      <w:pPr>
        <w:spacing w:after="0" w:line="217"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Three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73,391</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88,353</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gain (loss) on foreign currency hedging contracts, net of tax</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(7,194)</w:t>
            </w: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color w:val="auto"/>
              </w:rPr>
              <w:t>Unrealized (loss) gain on short-term interest-bearing investments, net of tax</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(300)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329</w:t>
            </w: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gain on defined benefit plan, net of tax</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75,905</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81,488</w:t>
            </w:r>
          </w:p>
        </w:tc>
        <w:tc>
          <w:tcPr>
            <w:tcW w:w="10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provision for income taxes for the following periods consisted of:</w:t>
      </w:r>
    </w:p>
    <w:p>
      <w:pPr>
        <w:spacing w:after="0" w:line="217"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Three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4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4,173</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18,582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Deferred</w:t>
            </w:r>
          </w:p>
        </w:tc>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6,903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(8,501)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4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11,076</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10,081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Company’s effective income tax rate varied from the statutory Guernsey tax rate as follows for the following periods:</w:t>
      </w:r>
    </w:p>
    <w:p>
      <w:pPr>
        <w:spacing w:after="0" w:line="217" w:lineRule="exact"/>
        <w:rPr>
          <w:sz w:val="20"/>
          <w:szCs w:val="20"/>
          <w:color w:val="auto"/>
        </w:rPr>
      </w:pPr>
    </w:p>
    <w:p>
      <w:pPr>
        <w:jc w:val="center"/>
        <w:ind w:left="9020"/>
        <w:spacing w:after="0"/>
        <w:rPr>
          <w:sz w:val="20"/>
          <w:szCs w:val="20"/>
          <w:color w:val="auto"/>
        </w:rPr>
      </w:pPr>
      <w:r>
        <w:rPr>
          <w:rFonts w:ascii="Arial" w:cs="Arial" w:eastAsia="Arial" w:hAnsi="Arial"/>
          <w:sz w:val="14"/>
          <w:szCs w:val="14"/>
          <w:b w:val="1"/>
          <w:bCs w:val="1"/>
          <w:color w:val="auto"/>
        </w:rPr>
        <w:t>Three months ended</w:t>
      </w:r>
    </w:p>
    <w:p>
      <w:pPr>
        <w:jc w:val="center"/>
        <w:ind w:left="90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180" w:type="dxa"/>
            <w:vAlign w:val="bottom"/>
            <w:gridSpan w:val="2"/>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Statutory Guernsey tax rate</w:t>
            </w:r>
          </w:p>
        </w:tc>
        <w:tc>
          <w:tcPr>
            <w:tcW w:w="9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23"/>
        </w:trPr>
        <w:tc>
          <w:tcPr>
            <w:tcW w:w="20" w:type="dxa"/>
            <w:vAlign w:val="bottom"/>
          </w:tcPr>
          <w:p>
            <w:pPr>
              <w:spacing w:after="0"/>
              <w:rPr>
                <w:sz w:val="19"/>
                <w:szCs w:val="19"/>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Foreign taxes</w:t>
            </w:r>
          </w:p>
        </w:tc>
        <w:tc>
          <w:tcPr>
            <w:tcW w:w="4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w:t>
            </w:r>
          </w:p>
        </w:tc>
        <w:tc>
          <w:tcPr>
            <w:tcW w:w="7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9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8"/>
              </w:rPr>
              <w:t>13%</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r>
      <w:tr>
        <w:trPr>
          <w:trHeight w:val="20"/>
        </w:trPr>
        <w:tc>
          <w:tcPr>
            <w:tcW w:w="2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As a Guernsey company subject to a corporate tax rate of zero percent, the Company’s overall effective tax rate is attributable to foreign taxes.</w:t>
      </w:r>
    </w:p>
    <w:p>
      <w:pPr>
        <w:spacing w:after="0" w:line="129" w:lineRule="exact"/>
        <w:rPr>
          <w:sz w:val="20"/>
          <w:szCs w:val="20"/>
          <w:color w:val="auto"/>
        </w:rPr>
      </w:pPr>
    </w:p>
    <w:p>
      <w:pPr>
        <w:jc w:val="both"/>
        <w:ind w:right="420" w:firstLine="215"/>
        <w:spacing w:after="0" w:line="264" w:lineRule="auto"/>
        <w:rPr>
          <w:sz w:val="20"/>
          <w:szCs w:val="20"/>
          <w:color w:val="auto"/>
        </w:rPr>
      </w:pPr>
      <w:r>
        <w:rPr>
          <w:rFonts w:ascii="Arial" w:cs="Arial" w:eastAsia="Arial" w:hAnsi="Arial"/>
          <w:sz w:val="18"/>
          <w:szCs w:val="18"/>
          <w:color w:val="auto"/>
        </w:rPr>
        <w:t>As of December 31, 2010, deferred tax assets of $108,193, derived primarily from net capital and operating loss carry forwards related to some of the Company’s subsidiaries, were offset by valuation allowances related to the uncertainty of realizing tax benefit for such losses. Releases of the valuation allowances will be recognized through earnings.</w:t>
      </w:r>
    </w:p>
    <w:p>
      <w:pPr>
        <w:spacing w:after="0" w:line="73"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The total amount of gross unrecognized tax benefits, which includes interest and penalties, was $118,318 as of December 31, 2010, all of which would affect the effective tax rate if realized.</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As of December 31, 2010, the Company has accrued $13,953 in income taxes payable for interest and penalties relating to unrecognized tax benefits.</w:t>
      </w:r>
    </w:p>
    <w:p>
      <w:pPr>
        <w:spacing w:after="0" w:line="140" w:lineRule="exact"/>
        <w:rPr>
          <w:sz w:val="20"/>
          <w:szCs w:val="20"/>
          <w:color w:val="auto"/>
        </w:rPr>
      </w:pPr>
    </w:p>
    <w:p>
      <w:pPr>
        <w:ind w:right="300" w:firstLine="222"/>
        <w:spacing w:after="0" w:line="342" w:lineRule="auto"/>
        <w:rPr>
          <w:sz w:val="20"/>
          <w:szCs w:val="20"/>
          <w:color w:val="auto"/>
        </w:rPr>
      </w:pPr>
      <w:r>
        <w:rPr>
          <w:rFonts w:ascii="Arial" w:cs="Arial" w:eastAsia="Arial" w:hAnsi="Arial"/>
          <w:sz w:val="16"/>
          <w:szCs w:val="16"/>
          <w:color w:val="auto"/>
        </w:rPr>
        <w:t>The Company is currently under audit in several jurisdictions for the tax years 2005 and onwards. Timing of the resolution of audits is highly uncertain and therefore the Company generally cannot estimate the change in unrecognized tax benefits resulting from these audits within the next 12 months.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17"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Three months ended</w:t>
      </w:r>
    </w:p>
    <w:p>
      <w:pPr>
        <w:jc w:val="center"/>
        <w:ind w:left="91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220"/>
              <w:spacing w:after="0"/>
              <w:rPr>
                <w:sz w:val="20"/>
                <w:szCs w:val="20"/>
                <w:color w:val="auto"/>
              </w:rPr>
            </w:pPr>
            <w:r>
              <w:rPr>
                <w:rFonts w:ascii="Arial" w:cs="Arial" w:eastAsia="Arial" w:hAnsi="Arial"/>
                <w:sz w:val="18"/>
                <w:szCs w:val="18"/>
                <w:color w:val="auto"/>
              </w:rPr>
              <w:t>Numerator for basic and diluted earnings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73,391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88,353</w:t>
            </w: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220"/>
              <w:spacing w:after="0"/>
              <w:rPr>
                <w:sz w:val="20"/>
                <w:szCs w:val="20"/>
                <w:color w:val="auto"/>
              </w:rPr>
            </w:pPr>
            <w:r>
              <w:rPr>
                <w:rFonts w:ascii="Arial" w:cs="Arial" w:eastAsia="Arial" w:hAnsi="Arial"/>
                <w:sz w:val="18"/>
                <w:szCs w:val="18"/>
                <w:color w:val="auto"/>
              </w:rPr>
              <w:t>Denominator for basic earnings per share— weighted average number of shares outstanding</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191,599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205,430</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 of assumed conversion of 0.5% convertible notes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9240" w:type="dxa"/>
            <w:vAlign w:val="bottom"/>
          </w:tcPr>
          <w:p>
            <w:pPr>
              <w:ind w:left="220"/>
              <w:spacing w:after="0"/>
              <w:rPr>
                <w:sz w:val="20"/>
                <w:szCs w:val="20"/>
                <w:color w:val="auto"/>
              </w:rPr>
            </w:pPr>
            <w:r>
              <w:rPr>
                <w:rFonts w:ascii="Arial" w:cs="Arial" w:eastAsia="Arial" w:hAnsi="Arial"/>
                <w:sz w:val="18"/>
                <w:szCs w:val="18"/>
                <w:color w:val="auto"/>
              </w:rPr>
              <w:t>Effect of dilutive stock options granted</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Denominator for diluted earnings per share — adjusted weighted average shares and assumed conversions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192,969</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206,656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Basic earnings per share</w:t>
            </w: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520" w:firstLine="225"/>
        <w:spacing w:after="0" w:line="277" w:lineRule="auto"/>
        <w:rPr>
          <w:sz w:val="20"/>
          <w:szCs w:val="20"/>
          <w:color w:val="auto"/>
        </w:rPr>
      </w:pPr>
      <w:r>
        <w:rPr>
          <w:rFonts w:ascii="Arial" w:cs="Arial" w:eastAsia="Arial" w:hAnsi="Arial"/>
          <w:sz w:val="18"/>
          <w:szCs w:val="18"/>
          <w:color w:val="auto"/>
        </w:rPr>
        <w:t>For the three months ended December 31, 2010 and 2009, 15,077 and 16,955 shares, respectively, were attributable to antidilutive outstanding stock options and therefore were not included in the calculation of diluted earnings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Repurchase of Securities</w:t>
      </w:r>
    </w:p>
    <w:p>
      <w:pPr>
        <w:spacing w:after="0" w:line="121" w:lineRule="exact"/>
        <w:rPr>
          <w:sz w:val="20"/>
          <w:szCs w:val="20"/>
          <w:color w:val="auto"/>
        </w:rPr>
      </w:pPr>
    </w:p>
    <w:p>
      <w:pPr>
        <w:ind w:right="140" w:firstLine="225"/>
        <w:spacing w:after="0" w:line="293" w:lineRule="auto"/>
        <w:rPr>
          <w:sz w:val="20"/>
          <w:szCs w:val="20"/>
          <w:color w:val="auto"/>
        </w:rPr>
      </w:pPr>
      <w:r>
        <w:rPr>
          <w:rFonts w:ascii="Arial" w:cs="Arial" w:eastAsia="Arial" w:hAnsi="Arial"/>
          <w:sz w:val="16"/>
          <w:szCs w:val="16"/>
          <w:color w:val="auto"/>
        </w:rPr>
        <w:t>In April 2010, the Company’s board of directors authorized a share repurchase plan allowing the repurchase of up to $700,000 of its outstanding ordinary shares over the following 12 months. The authorization permits the Company to purchase its ordinary shares in open market or privately negotiated transactions at times and prices that it considers appropriate. In the three months ended December 31, 2010, the Company repurchased approximately 4,132 ordinary shares at an average price of $27.43 per share (excluding broker and transaction fees). As of December 31, 2010, the Company had remaining authority to repurchase up to $197,635 of its outstanding ordinary shares under this plan. From January 1, 2011 through February 4, 2011, the Company repurchased approximately 2,236 ordinary shares at an average price of $28.37 per share (excluding broker and transaction fees).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Financing Arrangements</w:t>
      </w:r>
    </w:p>
    <w:p>
      <w:pPr>
        <w:spacing w:after="0" w:line="121"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In November 2007, the Company entered into an unsecured $500,000 five-year revolving credit facility with a syndicate of banks, which is available for general corporate purposes, including acquisitions and repurchases of ordinary shares that the Company may consider from time to time. The interest rate for borrowings under the revolving credit facility is chosen at the Company’s option from several pre-defined alternatives, depends on the circumstances of any advance and is based on the Company’s credit ratings. In September 2010, the Company borrowed an aggregate of $200,000 under the facility and repaid it in October 2010. As of December 31, 2010, the Company was in compliance with the financial covenants under the revolving credit facility and had no outstanding borrowings under this facility.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 Option and Incentive Plan</w:t>
      </w:r>
    </w:p>
    <w:p>
      <w:pPr>
        <w:spacing w:after="0" w:line="121"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In January 1998, the Company adopted the 1998 Stock Option and Incentive Plan (the “Plan”), which provides for the grant of restricted stock awards, stock options and other equity-based awards to employees, officers, directors and consultants. The purpose of the Plan is to enable the Company to attract and retain qualified personnel and to motivate such persons by providing them with an equity participation in the Company. Since its adoption, the Plan has been amended on several occasions to, among other things, increase the number of ordinary shares issuable under the Plan. The maximum number of ordinary shares authorized to be granted under the Plan is 55,300. Awards granted under the Plan generally vest over a period of four years and stock options have a term of ten years.</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table summarizes information about options to purchase the Company’s ordinary shares, as well as changes during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3"/>
            <w:vMerge w:val="restart"/>
          </w:tcPr>
          <w:p>
            <w:pPr>
              <w:jc w:val="center"/>
              <w:ind w:right="680"/>
              <w:spacing w:after="0"/>
              <w:rPr>
                <w:sz w:val="20"/>
                <w:szCs w:val="20"/>
                <w:color w:val="auto"/>
              </w:rPr>
            </w:pPr>
            <w:r>
              <w:rPr>
                <w:rFonts w:ascii="Arial" w:cs="Arial" w:eastAsia="Arial" w:hAnsi="Arial"/>
                <w:sz w:val="14"/>
                <w:szCs w:val="14"/>
                <w:b w:val="1"/>
                <w:bCs w:val="1"/>
                <w:color w:val="auto"/>
                <w:w w:val="91"/>
              </w:rPr>
              <w:t>Weighted</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106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w w:val="94"/>
              </w:rPr>
              <w:t>Number of</w:t>
            </w:r>
          </w:p>
        </w:tc>
        <w:tc>
          <w:tcPr>
            <w:tcW w:w="300" w:type="dxa"/>
            <w:vAlign w:val="bottom"/>
          </w:tcPr>
          <w:p>
            <w:pPr>
              <w:spacing w:after="0"/>
              <w:rPr>
                <w:sz w:val="12"/>
                <w:szCs w:val="12"/>
                <w:color w:val="auto"/>
              </w:rPr>
            </w:pPr>
          </w:p>
        </w:tc>
        <w:tc>
          <w:tcPr>
            <w:tcW w:w="134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Average</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Exercise</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Options</w:t>
            </w:r>
          </w:p>
        </w:tc>
        <w:tc>
          <w:tcPr>
            <w:tcW w:w="380" w:type="dxa"/>
            <w:vAlign w:val="bottom"/>
            <w:gridSpan w:val="2"/>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3"/>
              </w:rPr>
              <w:t>Price</w:t>
            </w:r>
          </w:p>
        </w:tc>
        <w:tc>
          <w:tcPr>
            <w:tcW w:w="6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October 1, 2010</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22,198</w:t>
            </w: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29.50</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Granted</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1,763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26.61</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(690)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20.04</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Forfeited</w:t>
            </w: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(394)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35.84</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29.45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color w:val="auto"/>
              </w:rPr>
              <w:t>Exercisable as of December 31, 2010</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gridSpan w:val="2"/>
            <w:vMerge w:val="continue"/>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14,048</w:t>
            </w:r>
          </w:p>
        </w:tc>
        <w:tc>
          <w:tcPr>
            <w:tcW w:w="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31.35</w:t>
            </w:r>
          </w:p>
        </w:tc>
        <w:tc>
          <w:tcPr>
            <w:tcW w:w="6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table summarizes information relating to awards of restricted shares, as well as changes to such awards during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134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Shares</w:t>
            </w:r>
          </w:p>
        </w:tc>
        <w:tc>
          <w:tcPr>
            <w:tcW w:w="660" w:type="dxa"/>
            <w:vAlign w:val="bottom"/>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Date 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Outstanding unvested shares as of October 1, 2010</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1,252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451</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Outstanding unvested shares as of December 31, 2010</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40" w:firstLine="215"/>
        <w:spacing w:after="0" w:line="286" w:lineRule="auto"/>
        <w:rPr>
          <w:sz w:val="20"/>
          <w:szCs w:val="20"/>
          <w:color w:val="auto"/>
        </w:rPr>
      </w:pPr>
      <w:r>
        <w:rPr>
          <w:rFonts w:ascii="Arial" w:cs="Arial" w:eastAsia="Arial" w:hAnsi="Arial"/>
          <w:sz w:val="17"/>
          <w:szCs w:val="17"/>
          <w:color w:val="auto"/>
        </w:rPr>
        <w:t>As of December 31, 2010, there was $45,358 of unrecognized compensation expense related to nonvested stock options and nonvested restricted stock awards. The Company recognizes compensation costs using the graded vesting attribution method which results in a weighted average period of approximately one year over which the unrecognized compensation expense is expected to be recognized.</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Equity-based payments to employees, including grants of employee stock options, are recognized in the statements of income based on their fair values.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Employee equity-based compensation pre-tax expense for the three months ended December 31, 2010 and 2009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8980" w:type="dxa"/>
            <w:vAlign w:val="bottom"/>
          </w:tcPr>
          <w:p>
            <w:pPr>
              <w:spacing w:after="0"/>
              <w:rPr>
                <w:sz w:val="10"/>
                <w:szCs w:val="10"/>
                <w:color w:val="auto"/>
              </w:rPr>
            </w:pPr>
          </w:p>
        </w:tc>
        <w:tc>
          <w:tcPr>
            <w:tcW w:w="150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r>
      <w:tr>
        <w:trPr>
          <w:trHeight w:val="171"/>
        </w:trPr>
        <w:tc>
          <w:tcPr>
            <w:tcW w:w="89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4,484</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4,785</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849</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1,133</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7,941</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4,935</w:t>
            </w: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13,274</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10,853</w:t>
            </w:r>
          </w:p>
        </w:tc>
        <w:tc>
          <w:tcPr>
            <w:tcW w:w="100" w:type="dxa"/>
            <w:vAlign w:val="bottom"/>
          </w:tcPr>
          <w:p>
            <w:pPr>
              <w:spacing w:after="0"/>
              <w:rPr>
                <w:sz w:val="19"/>
                <w:szCs w:val="19"/>
                <w:color w:val="auto"/>
              </w:rPr>
            </w:pPr>
          </w:p>
        </w:tc>
      </w:tr>
      <w:tr>
        <w:trPr>
          <w:trHeight w:val="20"/>
        </w:trPr>
        <w:tc>
          <w:tcPr>
            <w:tcW w:w="8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40" w:firstLine="222"/>
        <w:spacing w:after="0" w:line="277" w:lineRule="auto"/>
        <w:rPr>
          <w:sz w:val="20"/>
          <w:szCs w:val="20"/>
          <w:color w:val="auto"/>
        </w:rPr>
      </w:pPr>
      <w:r>
        <w:rPr>
          <w:rFonts w:ascii="Arial" w:cs="Arial" w:eastAsia="Arial" w:hAnsi="Arial"/>
          <w:sz w:val="18"/>
          <w:szCs w:val="18"/>
          <w:color w:val="auto"/>
        </w:rPr>
        <w:t>The total income tax benefit recognized in the income statement for stock-based compensation (including restricted shares) for the three months ended December 31, 2010 and 2009 was $1,105 and $1,183, respectively.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222"/>
        <w:spacing w:after="0" w:line="308" w:lineRule="auto"/>
        <w:rPr>
          <w:sz w:val="20"/>
          <w:szCs w:val="20"/>
          <w:color w:val="auto"/>
        </w:rPr>
      </w:pPr>
      <w:r>
        <w:rPr>
          <w:rFonts w:ascii="Arial" w:cs="Arial" w:eastAsia="Arial" w:hAnsi="Arial"/>
          <w:sz w:val="17"/>
          <w:szCs w:val="17"/>
          <w:color w:val="auto"/>
        </w:rPr>
        <w:t>The Company selected the Black-Scholes option pricing model as the most appropriate fair value method for its equity-based awards. The Black-Scholes option pricing model assumptions used are noted in the following table (all in weighted averages for options granted during the period):</w:t>
      </w:r>
    </w:p>
    <w:p>
      <w:pPr>
        <w:spacing w:after="0" w:line="138" w:lineRule="exact"/>
        <w:rPr>
          <w:sz w:val="20"/>
          <w:szCs w:val="20"/>
          <w:color w:val="auto"/>
        </w:rPr>
      </w:pPr>
    </w:p>
    <w:p>
      <w:pPr>
        <w:jc w:val="center"/>
        <w:ind w:left="9020"/>
        <w:spacing w:after="0"/>
        <w:rPr>
          <w:sz w:val="20"/>
          <w:szCs w:val="20"/>
          <w:color w:val="auto"/>
        </w:rPr>
      </w:pPr>
      <w:r>
        <w:rPr>
          <w:rFonts w:ascii="Arial" w:cs="Arial" w:eastAsia="Arial" w:hAnsi="Arial"/>
          <w:sz w:val="14"/>
          <w:szCs w:val="14"/>
          <w:b w:val="1"/>
          <w:bCs w:val="1"/>
          <w:color w:val="auto"/>
        </w:rPr>
        <w:t>Three months ended</w:t>
      </w:r>
    </w:p>
    <w:p>
      <w:pPr>
        <w:jc w:val="center"/>
        <w:ind w:left="90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8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(1)</w:t>
            </w:r>
          </w:p>
        </w:tc>
        <w:tc>
          <w:tcPr>
            <w:tcW w:w="3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Expected life of stock options (2)</w:t>
            </w:r>
          </w:p>
        </w:tc>
        <w:tc>
          <w:tcPr>
            <w:tcW w:w="3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4.50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4.24</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(3)</w:t>
            </w:r>
          </w:p>
        </w:tc>
        <w:tc>
          <w:tcPr>
            <w:tcW w:w="3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0.32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0.32</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Expected dividend yield (4)</w:t>
            </w:r>
          </w:p>
        </w:tc>
        <w:tc>
          <w:tcPr>
            <w:tcW w:w="3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Fair value per option</w:t>
            </w:r>
          </w:p>
        </w:tc>
        <w:tc>
          <w:tcPr>
            <w:tcW w:w="3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7.56</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Risk-free interest rate is based upon U.S. Treasury yield curve appropriate for the term of the Company’s employee stock options.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Expected life of stock options is based upon historical experience.</w:t>
      </w:r>
    </w:p>
    <w:p>
      <w:pPr>
        <w:spacing w:after="0" w:line="76" w:lineRule="exact"/>
        <w:rPr>
          <w:rFonts w:ascii="Arial" w:cs="Arial" w:eastAsia="Arial" w:hAnsi="Arial"/>
          <w:sz w:val="18"/>
          <w:szCs w:val="18"/>
          <w:color w:val="auto"/>
        </w:rPr>
      </w:pPr>
    </w:p>
    <w:p>
      <w:pPr>
        <w:ind w:left="460" w:right="50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Expected volatility is based on a combination of implied volatility of the Company’s traded options and historical stock price volatility (“blended volatility”).</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Expected dividend yield is based on the Company’s history and future expectation of dividend payouts.</w:t>
      </w:r>
    </w:p>
    <w:p>
      <w:pPr>
        <w:spacing w:after="0" w:line="117"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Equity-based compensation recognized is reduced for estimated forfeitures and revised, if necessary, in subsequent periods if actual forfeitures differ from those estimates.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Contingencies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ind w:right="200" w:firstLine="222"/>
        <w:spacing w:after="0" w:line="264" w:lineRule="auto"/>
        <w:rPr>
          <w:sz w:val="20"/>
          <w:szCs w:val="20"/>
          <w:color w:val="auto"/>
        </w:rPr>
      </w:pPr>
      <w:r>
        <w:rPr>
          <w:rFonts w:ascii="Arial" w:cs="Arial" w:eastAsia="Arial" w:hAnsi="Arial"/>
          <w:sz w:val="18"/>
          <w:szCs w:val="18"/>
          <w:color w:val="auto"/>
        </w:rPr>
        <w:t>The Company is involved in various legal proceedings arising in the normal course of its business. Based upon the advice of counsel, the Company does not believe that the ultimate resolution of these matters will have a material adverse effect on the Company’s consolidated financial position, results of operations, or cash flows.</w:t>
      </w:r>
    </w:p>
    <w:p>
      <w:pPr>
        <w:spacing w:after="0" w:line="73" w:lineRule="exact"/>
        <w:rPr>
          <w:sz w:val="20"/>
          <w:szCs w:val="20"/>
          <w:color w:val="auto"/>
        </w:rPr>
      </w:pPr>
    </w:p>
    <w:p>
      <w:pPr>
        <w:ind w:right="240" w:firstLine="222"/>
        <w:spacing w:after="0" w:line="259" w:lineRule="auto"/>
        <w:rPr>
          <w:sz w:val="20"/>
          <w:szCs w:val="20"/>
          <w:color w:val="auto"/>
        </w:rPr>
      </w:pPr>
      <w:r>
        <w:rPr>
          <w:rFonts w:ascii="Arial" w:cs="Arial" w:eastAsia="Arial" w:hAnsi="Arial"/>
          <w:sz w:val="18"/>
          <w:szCs w:val="18"/>
          <w:color w:val="auto"/>
        </w:rPr>
        <w:t>The Company generally offers its products with a limited warranty for a period of 90 days. The Company’s policy is to accrue for warranty costs, if needed, based on historical trends in product failure. Based on the Company’s experience, only minimal warranty charges have been required after revenue was fully recognized and, as a result, the Company did not accrue any amounts for product warranty liability during the three months ended December 31, 2010 and 2009.</w:t>
      </w:r>
    </w:p>
    <w:p>
      <w:pPr>
        <w:spacing w:after="0" w:line="79" w:lineRule="exact"/>
        <w:rPr>
          <w:sz w:val="20"/>
          <w:szCs w:val="20"/>
          <w:color w:val="auto"/>
        </w:rPr>
      </w:pPr>
    </w:p>
    <w:p>
      <w:pPr>
        <w:ind w:right="320" w:firstLine="222"/>
        <w:spacing w:after="0" w:line="264" w:lineRule="auto"/>
        <w:rPr>
          <w:sz w:val="20"/>
          <w:szCs w:val="20"/>
          <w:color w:val="auto"/>
        </w:rPr>
      </w:pPr>
      <w:r>
        <w:rPr>
          <w:rFonts w:ascii="Arial" w:cs="Arial" w:eastAsia="Arial" w:hAnsi="Arial"/>
          <w:sz w:val="18"/>
          <w:szCs w:val="18"/>
          <w:color w:val="auto"/>
        </w:rPr>
        <w:t>The Company generally indemnifies its customers against claims of intellectual property infringement made by third parties arising from the use of the Company’s software. To date, the Company has incurred and recorded only minimal costs as a result of such obligations in its consolidated financial statements.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Operating and Financial Review and Prospects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20" w:firstLine="222"/>
        <w:spacing w:after="0" w:line="290" w:lineRule="auto"/>
        <w:rPr>
          <w:sz w:val="20"/>
          <w:szCs w:val="20"/>
          <w:color w:val="auto"/>
        </w:rPr>
      </w:pPr>
      <w:r>
        <w:rPr>
          <w:rFonts w:ascii="Arial" w:cs="Arial" w:eastAsia="Arial" w:hAnsi="Arial"/>
          <w:sz w:val="16"/>
          <w:szCs w:val="16"/>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58"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and other risks, please read the information set forth under the caption “Risk Factors” in our Annual Report on Form 20-F for fiscal 2010, filed on December 7, 2010 with the U.S. Securities and Exchange Commission.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and Trend Information</w:t>
      </w:r>
    </w:p>
    <w:p>
      <w:pPr>
        <w:spacing w:after="0" w:line="121" w:lineRule="exact"/>
        <w:rPr>
          <w:sz w:val="20"/>
          <w:szCs w:val="20"/>
          <w:color w:val="auto"/>
        </w:rPr>
      </w:pPr>
    </w:p>
    <w:p>
      <w:pPr>
        <w:ind w:right="20" w:firstLine="215"/>
        <w:spacing w:after="0" w:line="255" w:lineRule="auto"/>
        <w:rPr>
          <w:sz w:val="20"/>
          <w:szCs w:val="20"/>
          <w:color w:val="auto"/>
        </w:rPr>
      </w:pPr>
      <w:r>
        <w:rPr>
          <w:rFonts w:ascii="Arial" w:cs="Arial" w:eastAsia="Arial" w:hAnsi="Arial"/>
          <w:sz w:val="18"/>
          <w:szCs w:val="18"/>
          <w:color w:val="auto"/>
        </w:rPr>
        <w:t>Amdocs is a leading provider of software and services for communications, media and entertainment industry service providers. Although our market focus has traditionally been primarily on Tier-1 and Tier-2 service providers in developed markets, we have also focused in the last several years on Tier-3 and Tier-4 service providers in developed markets, and on providers in emerging markets, such as the Commonwealth of Independent States, India, Latin America and Southeast Asia. Regardless of whether service providers are bringing their first offerings to market, scaling for growth, consolidating systems or transforming the way they do business, we believe that service providers seek to differentiate their offerings by delivering a customer experience that is simple, personalized and valuable at every point of service.</w:t>
      </w:r>
    </w:p>
    <w:p>
      <w:pPr>
        <w:spacing w:after="0" w:line="85" w:lineRule="exact"/>
        <w:rPr>
          <w:sz w:val="20"/>
          <w:szCs w:val="20"/>
          <w:color w:val="auto"/>
        </w:rPr>
      </w:pPr>
    </w:p>
    <w:p>
      <w:pPr>
        <w:ind w:right="360" w:firstLine="222"/>
        <w:spacing w:after="0" w:line="279" w:lineRule="auto"/>
        <w:rPr>
          <w:sz w:val="20"/>
          <w:szCs w:val="20"/>
          <w:color w:val="auto"/>
        </w:rPr>
      </w:pPr>
      <w:r>
        <w:rPr>
          <w:rFonts w:ascii="Arial" w:cs="Arial" w:eastAsia="Arial" w:hAnsi="Arial"/>
          <w:sz w:val="17"/>
          <w:szCs w:val="17"/>
          <w:color w:val="auto"/>
        </w:rPr>
        <w:t>We develop, implement and manage software and services associated with business support systems (BSS) and operational support systems (OSS), to enable service providers to introduce new products and business models more quickly, understand their customers more deeply, process orders more efficiently, bill more accurately, and service their end customers more effectively. We refer to these systems collectively as customer experience systems because of the crucial impact that these systems have on the service providers’ end-user experience.</w:t>
      </w:r>
    </w:p>
    <w:p>
      <w:pPr>
        <w:spacing w:after="0" w:line="63"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In a global communications industry impacted by unprecedented growth in data demand, increasing number of connected devices, and improvement in machine-to-machine (M2M) technologies, consumers expect immediate and constant connectivity to personalized services, information and applications. We refer to these developments as the evolution to the “connected world.” We seek to address these market forces through a strategy of innovation from the network and business support systems to the device and end user. Our goal is to supply cost-effective, scalable software products and services that provide functionality and flexibility to service providers as they—and their markets—grow and change.</w:t>
      </w:r>
    </w:p>
    <w:p>
      <w:pPr>
        <w:spacing w:after="0" w:line="64" w:lineRule="exact"/>
        <w:rPr>
          <w:sz w:val="20"/>
          <w:szCs w:val="20"/>
          <w:color w:val="auto"/>
        </w:rPr>
      </w:pPr>
    </w:p>
    <w:p>
      <w:pPr>
        <w:ind w:right="100" w:firstLine="222"/>
        <w:spacing w:after="0" w:line="264" w:lineRule="auto"/>
        <w:rPr>
          <w:sz w:val="20"/>
          <w:szCs w:val="20"/>
          <w:color w:val="auto"/>
        </w:rPr>
      </w:pPr>
      <w:r>
        <w:rPr>
          <w:rFonts w:ascii="Arial" w:cs="Arial" w:eastAsia="Arial" w:hAnsi="Arial"/>
          <w:sz w:val="18"/>
          <w:szCs w:val="18"/>
          <w:color w:val="auto"/>
        </w:rPr>
        <w:t>We also offer advertising and media services for directory publishers which are comprised of a comprehensive set of products and services designed to enable local search and directory publishers to manage the entire media selling, fulfillment, consumer experience and financial processes across online, print and mobile media.</w:t>
      </w:r>
    </w:p>
    <w:p>
      <w:pPr>
        <w:spacing w:after="0" w:line="73" w:lineRule="exact"/>
        <w:rPr>
          <w:sz w:val="20"/>
          <w:szCs w:val="20"/>
          <w:color w:val="auto"/>
        </w:rPr>
      </w:pPr>
    </w:p>
    <w:p>
      <w:pPr>
        <w:ind w:right="120" w:firstLine="222"/>
        <w:spacing w:after="0" w:line="259" w:lineRule="auto"/>
        <w:rPr>
          <w:sz w:val="20"/>
          <w:szCs w:val="20"/>
          <w:color w:val="auto"/>
        </w:rPr>
      </w:pPr>
      <w:r>
        <w:rPr>
          <w:rFonts w:ascii="Arial" w:cs="Arial" w:eastAsia="Arial" w:hAnsi="Arial"/>
          <w:sz w:val="18"/>
          <w:szCs w:val="18"/>
          <w:color w:val="auto"/>
        </w:rPr>
        <w:t>We conduct our business globally, and as a result we are subject to the effects of global economic conditions and, in particular, market conditions in the communications, media and entertainment industry. In the three months ended December 31, 2010, customers in North America accounted for 72.8% of our revenue, while customers in Europe and the rest of the world accounted for 12.7% and 14.5%, respectively. We maintain development facilities in Brazil, Cyprus, India, Ireland, Israel and the United States.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derive our revenue principally from:</w:t>
      </w:r>
    </w:p>
    <w:p>
      <w:pPr>
        <w:spacing w:after="0" w:line="117" w:lineRule="exact"/>
        <w:rPr>
          <w:sz w:val="20"/>
          <w:szCs w:val="20"/>
          <w:color w:val="auto"/>
        </w:rPr>
      </w:pPr>
    </w:p>
    <w:p>
      <w:pPr>
        <w:ind w:left="660" w:hanging="314"/>
        <w:spacing w:after="0"/>
        <w:tabs>
          <w:tab w:leader="none" w:pos="66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the initial sales of licenses to use our products and related services, including modification, implementation, integration and customization services,</w:t>
      </w:r>
    </w:p>
    <w:p>
      <w:pPr>
        <w:spacing w:after="0" w:line="140" w:lineRule="exact"/>
        <w:rPr>
          <w:rFonts w:ascii="Arial" w:cs="Arial" w:eastAsia="Arial" w:hAnsi="Arial"/>
          <w:sz w:val="16"/>
          <w:szCs w:val="16"/>
          <w:b w:val="1"/>
          <w:bCs w:val="1"/>
          <w:color w:val="auto"/>
        </w:rPr>
      </w:pPr>
    </w:p>
    <w:p>
      <w:pPr>
        <w:ind w:left="660" w:hanging="314"/>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managed services in our domain expertise and other related services, and</w:t>
      </w:r>
    </w:p>
    <w:p>
      <w:pPr>
        <w:spacing w:after="0" w:line="117" w:lineRule="exact"/>
        <w:rPr>
          <w:rFonts w:ascii="Arial" w:cs="Arial" w:eastAsia="Arial" w:hAnsi="Arial"/>
          <w:sz w:val="18"/>
          <w:szCs w:val="18"/>
          <w:b w:val="1"/>
          <w:bCs w:val="1"/>
          <w:color w:val="auto"/>
        </w:rPr>
      </w:pPr>
    </w:p>
    <w:p>
      <w:pPr>
        <w:ind w:left="660" w:right="260" w:hanging="314"/>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recurring revenue from ongoing support, maintenance and enhancements provided to our customers, and from incremental license fees resulting from increases in a customer’s business volume.</w:t>
      </w:r>
    </w:p>
    <w:p>
      <w:pPr>
        <w:spacing w:after="0" w:line="62" w:lineRule="exact"/>
        <w:rPr>
          <w:sz w:val="20"/>
          <w:szCs w:val="20"/>
          <w:color w:val="auto"/>
        </w:rPr>
      </w:pPr>
    </w:p>
    <w:p>
      <w:pPr>
        <w:ind w:right="20" w:firstLine="225"/>
        <w:spacing w:after="0" w:line="269" w:lineRule="auto"/>
        <w:rPr>
          <w:sz w:val="20"/>
          <w:szCs w:val="20"/>
          <w:color w:val="auto"/>
        </w:rPr>
      </w:pPr>
      <w:r>
        <w:rPr>
          <w:rFonts w:ascii="Arial" w:cs="Arial" w:eastAsia="Arial" w:hAnsi="Arial"/>
          <w:sz w:val="17"/>
          <w:szCs w:val="17"/>
          <w:color w:val="auto"/>
        </w:rPr>
        <w:t>Revenue is recognized only when all of the following conditions have been met: (i) there is persuasive evidence of an arrangement; (ii) delivery has occurred; (iii) the fee is fixed and determinable; and (iv) collectability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Those services are deemed essential to the software. As a result, we generally recognize initial license fee and related service revenue over the course of these long-term projects, using the percentage of completion method of accounting. Subsequent license fee revenue is recognized upon completion of specified conditions in each contract, based on a customer’s subscriber or transaction volume or other measurements when greater than the level specified in the contract for the initial license fee. Revenue from software solutions that do not require significant customization, implementation and modification is recognized upon delivery. Revenue from services that do not involve significant ongoing obligations is recognized as services are rendered. In managed services contracts, we typically recognize revenue from the operation of a customer’s system as services are performed based on time elapsed, output produced or volume of data processed, depending on the specific contract terms of the managed services arrangement. Typically, managed services contracts are long-term in duration and are not subject to seasonality. Revenue from ongoing support services is recognized as work is performed.</w:t>
      </w:r>
    </w:p>
    <w:p>
      <w:pPr>
        <w:spacing w:after="0" w:line="72"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Revenue from third-party hardware sales is recognized upon delivery and installation, and revenue from third-party software sales is recognized upon delivery. Maintenance revenue is recognized ratably over the term of the maintenance agreement.</w:t>
      </w:r>
    </w:p>
    <w:p>
      <w:pPr>
        <w:spacing w:after="0" w:line="62" w:lineRule="exact"/>
        <w:rPr>
          <w:sz w:val="20"/>
          <w:szCs w:val="20"/>
          <w:color w:val="auto"/>
        </w:rPr>
      </w:pPr>
    </w:p>
    <w:p>
      <w:pPr>
        <w:ind w:right="80" w:firstLine="215"/>
        <w:spacing w:after="0" w:line="257" w:lineRule="auto"/>
        <w:rPr>
          <w:sz w:val="20"/>
          <w:szCs w:val="20"/>
          <w:color w:val="auto"/>
        </w:rPr>
      </w:pPr>
      <w:r>
        <w:rPr>
          <w:rFonts w:ascii="Arial" w:cs="Arial" w:eastAsia="Arial" w:hAnsi="Arial"/>
          <w:sz w:val="18"/>
          <w:szCs w:val="18"/>
          <w:color w:val="auto"/>
        </w:rPr>
        <w:t>A significant portion of our revenue is recognized over the course of long-term implementation and integration projects under the percentage of completion method of accounting. When total cost estimates exceed revenues in a fixed-price arrangement, the estimated losses are recognized immediately based upon the cost applicable to the project. The percentage of completion method requires the exercise of judgment on a quarterly basis, such as with respect to estimations of progress-to-completion, contract revenue, loss contracts and contract costs. Progress in completing such projects may significantly affect our annual and quarterly operating results.</w:t>
      </w:r>
    </w:p>
    <w:p>
      <w:pPr>
        <w:spacing w:after="0" w:line="80"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Revenue from managed services arrangements is included in both license and service revenue and includes IT and infrastructure management, application management and ongoing support, systems modernization and consolidation, business process operations support and end-to-end transformational business process outsourcing. Revenue generated in connection with managed services arrangements is a significant part of our business, accounting for more than 45% and approximately 45% of our total revenue in the three months ended December 31, 2010 and 2009, respectively and generating substantial, long-term revenue streams, cash flow and operating income. In the initial period of our managed services projects, we generally invest in modernization and consolidation of the customer’s systems. Invoices are usually structured on a periodic fixed or unit charge basis. Managed services engagements can be less profitable in their early stages, however, margins tend to improve over time, especially in the initial period of an engagement, as we derive benefit from the operational efficiencies and from changes in the geographical mix of our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121"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In January 2010, the Financial Accounting Standards Board, or FASB, issued guidance to amend the disclosure requirements of fair value measurements. The guidance requires the disclosure on the roll forward activities for assets and liabilities measured using significant unobservable inputs (Level 3 fair value measurements), and will become effective for us beginning October 1, 2011. The adoption of this new guidance will not have a material impact on our financial statements.</w:t>
      </w:r>
    </w:p>
    <w:p>
      <w:pPr>
        <w:spacing w:after="0" w:line="1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Standards</w:t>
      </w:r>
    </w:p>
    <w:p>
      <w:pPr>
        <w:spacing w:after="0" w:line="121" w:lineRule="exact"/>
        <w:rPr>
          <w:sz w:val="20"/>
          <w:szCs w:val="20"/>
          <w:color w:val="auto"/>
        </w:rPr>
      </w:pPr>
    </w:p>
    <w:p>
      <w:pPr>
        <w:ind w:right="40" w:firstLine="225"/>
        <w:spacing w:after="0" w:line="312" w:lineRule="auto"/>
        <w:rPr>
          <w:sz w:val="20"/>
          <w:szCs w:val="20"/>
          <w:color w:val="auto"/>
        </w:rPr>
      </w:pPr>
      <w:r>
        <w:rPr>
          <w:rFonts w:ascii="Arial" w:cs="Arial" w:eastAsia="Arial" w:hAnsi="Arial"/>
          <w:sz w:val="16"/>
          <w:szCs w:val="16"/>
          <w:color w:val="auto"/>
        </w:rPr>
        <w:t>In June 2009, the FASB issued authoritative guidance on the consolidation of variable interest entities, which was effective for us beginning October 1, 2010. The new guidance requires revised evaluations of whether entities represent variable interest entities, ongoing assessments of control over such entities, and additional disclosures for variable interests. The adoption of this new guidance did not have a material impact on our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The following table sets forth for the three months ended December 31, 2010 and 2009, certain items in our consolidated statements of income reflected as a percentage of total revenue:</w:t>
      </w:r>
    </w:p>
    <w:p>
      <w:pPr>
        <w:spacing w:after="0" w:line="162" w:lineRule="exact"/>
        <w:rPr>
          <w:sz w:val="20"/>
          <w:szCs w:val="20"/>
          <w:color w:val="auto"/>
        </w:rPr>
      </w:pPr>
    </w:p>
    <w:p>
      <w:pPr>
        <w:jc w:val="center"/>
        <w:ind w:left="9020"/>
        <w:spacing w:after="0"/>
        <w:rPr>
          <w:sz w:val="20"/>
          <w:szCs w:val="20"/>
          <w:color w:val="auto"/>
        </w:rPr>
      </w:pPr>
      <w:r>
        <w:rPr>
          <w:rFonts w:ascii="Arial" w:cs="Arial" w:eastAsia="Arial" w:hAnsi="Arial"/>
          <w:sz w:val="14"/>
          <w:szCs w:val="14"/>
          <w:b w:val="1"/>
          <w:bCs w:val="1"/>
          <w:color w:val="auto"/>
        </w:rPr>
        <w:t>Three months ended</w:t>
      </w:r>
    </w:p>
    <w:p>
      <w:pPr>
        <w:jc w:val="center"/>
        <w:ind w:left="90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72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200"/>
              <w:spacing w:after="0"/>
              <w:rPr>
                <w:sz w:val="20"/>
                <w:szCs w:val="20"/>
                <w:color w:val="auto"/>
              </w:rPr>
            </w:pPr>
            <w:r>
              <w:rPr>
                <w:rFonts w:ascii="Arial" w:cs="Arial" w:eastAsia="Arial" w:hAnsi="Arial"/>
                <w:sz w:val="18"/>
                <w:szCs w:val="18"/>
                <w:color w:val="auto"/>
              </w:rPr>
              <w:t>License</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3.9%</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96.1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7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0.1</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65.5</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7.1</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13.5</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6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 and other</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7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88.7</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23"/>
        </w:trPr>
        <w:tc>
          <w:tcPr>
            <w:tcW w:w="91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7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0.4</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91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7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7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9.5%</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Three Months Ended December 31, 2010 and 2009</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is a tabular presentation of our results of operations for the three months ended December 31, 2010 compared to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2009. Following the table is a discussion and analysis of our business and results of operations for such periods: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w w:val="89"/>
              </w:rPr>
              <w:t>Increase (Decrease)</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6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Borders>
              <w:bottom w:val="single" w:sz="8" w:color="auto"/>
            </w:tcBorders>
            <w:gridSpan w:val="2"/>
          </w:tcPr>
          <w:p>
            <w:pPr>
              <w:jc w:val="right"/>
              <w:ind w:right="11"/>
              <w:spacing w:after="0" w:line="142" w:lineRule="exact"/>
              <w:rPr>
                <w:sz w:val="20"/>
                <w:szCs w:val="20"/>
                <w:color w:val="auto"/>
              </w:rPr>
            </w:pPr>
            <w:r>
              <w:rPr>
                <w:rFonts w:ascii="Arial" w:cs="Arial" w:eastAsia="Arial" w:hAnsi="Arial"/>
                <w:sz w:val="14"/>
                <w:szCs w:val="14"/>
                <w:b w:val="1"/>
                <w:bCs w:val="1"/>
                <w:color w:val="auto"/>
              </w:rPr>
              <w:t>Amount</w:t>
            </w:r>
          </w:p>
        </w:tc>
        <w:tc>
          <w:tcPr>
            <w:tcW w:w="6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w w:val="96"/>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License</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29,906</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24,150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5,756</w:t>
            </w:r>
          </w:p>
        </w:tc>
        <w:tc>
          <w:tcPr>
            <w:tcW w:w="2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745,275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700,661</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44,614</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775,181</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724,811</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50,370</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8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700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442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258</w:t>
            </w:r>
          </w:p>
        </w:tc>
        <w:tc>
          <w:tcPr>
            <w:tcW w:w="2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508,138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462,215</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45,923</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54,992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50,106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4,886</w:t>
            </w:r>
          </w:p>
        </w:tc>
        <w:tc>
          <w:tcPr>
            <w:tcW w:w="2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104,357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91,580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12,777</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 and other</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19,410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21,319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(1,909)</w:t>
            </w:r>
          </w:p>
        </w:tc>
        <w:tc>
          <w:tcPr>
            <w:tcW w:w="2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687,597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625,662</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61,935</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Operating income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87,584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99,149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w w:val="92"/>
              </w:rPr>
              <w:t>(11,565)</w:t>
            </w:r>
          </w:p>
        </w:tc>
        <w:tc>
          <w:tcPr>
            <w:tcW w:w="2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3,117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2,402</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335.9</w:t>
            </w:r>
          </w:p>
        </w:tc>
        <w:tc>
          <w:tcPr>
            <w:tcW w:w="0" w:type="dxa"/>
            <w:vAlign w:val="bottom"/>
          </w:tcPr>
          <w:p>
            <w:pPr>
              <w:spacing w:after="0"/>
              <w:rPr>
                <w:sz w:val="1"/>
                <w:szCs w:val="1"/>
                <w:color w:val="auto"/>
              </w:rPr>
            </w:pPr>
          </w:p>
        </w:tc>
      </w:tr>
      <w:tr>
        <w:trPr>
          <w:trHeight w:val="223"/>
        </w:trPr>
        <w:tc>
          <w:tcPr>
            <w:tcW w:w="48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84,467</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98,434</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(13,967)</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11,076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10,081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995</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3"/>
        </w:trPr>
        <w:tc>
          <w:tcPr>
            <w:tcW w:w="48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73,391</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88,353</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(14,962</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5"/>
              </w:rPr>
              <w:t>(16.9)%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560" w:type="dxa"/>
            <w:vAlign w:val="bottom"/>
            <w:vMerge w:val="restart"/>
          </w:tcPr>
          <w:p>
            <w:pPr>
              <w:jc w:val="right"/>
              <w:ind w:right="5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84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color w:val="auto"/>
        </w:rPr>
        <w:t>. Total revenue increased by $50.4 million, or 6.9%, to $775.2 million in the three months ended December 31, 2010, from $724.8 million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December 31, 2009. The increase in revenue was primarily attributable to revenue related to existing and new managed services arrangements and, to a lesser extent, implementation and integration projects.</w:t>
      </w:r>
    </w:p>
    <w:p>
      <w:pPr>
        <w:spacing w:after="0" w:line="73" w:lineRule="exact"/>
        <w:rPr>
          <w:sz w:val="20"/>
          <w:szCs w:val="20"/>
          <w:color w:val="auto"/>
        </w:rPr>
      </w:pPr>
    </w:p>
    <w:p>
      <w:pPr>
        <w:ind w:right="860" w:firstLine="225"/>
        <w:spacing w:after="0" w:line="277" w:lineRule="auto"/>
        <w:rPr>
          <w:sz w:val="20"/>
          <w:szCs w:val="20"/>
          <w:color w:val="auto"/>
        </w:rPr>
      </w:pPr>
      <w:r>
        <w:rPr>
          <w:rFonts w:ascii="Arial" w:cs="Arial" w:eastAsia="Arial" w:hAnsi="Arial"/>
          <w:sz w:val="18"/>
          <w:szCs w:val="18"/>
          <w:color w:val="auto"/>
        </w:rPr>
        <w:t>License revenue in the three months ended December 31, 2010 increased by $5.8 million, or 23.8%, to $29.9 million in the three months ended December 31, 2010, from $24.2 million in the three months ended December 31, 2009.</w:t>
      </w:r>
    </w:p>
    <w:p>
      <w:pPr>
        <w:spacing w:after="0" w:line="62" w:lineRule="exact"/>
        <w:rPr>
          <w:sz w:val="20"/>
          <w:szCs w:val="20"/>
          <w:color w:val="auto"/>
        </w:rPr>
      </w:pPr>
    </w:p>
    <w:p>
      <w:pPr>
        <w:ind w:right="320" w:firstLine="225"/>
        <w:spacing w:after="0" w:line="302" w:lineRule="auto"/>
        <w:rPr>
          <w:sz w:val="20"/>
          <w:szCs w:val="20"/>
          <w:color w:val="auto"/>
        </w:rPr>
      </w:pPr>
      <w:r>
        <w:rPr>
          <w:rFonts w:ascii="Arial" w:cs="Arial" w:eastAsia="Arial" w:hAnsi="Arial"/>
          <w:sz w:val="16"/>
          <w:szCs w:val="16"/>
          <w:color w:val="auto"/>
        </w:rPr>
        <w:t>License and service revenue attributable to the sale of customer experience systems increased by $47.0 million, or 6.9%, to $725.4 million in the three months ended December 31, 2010, from $678.4 million in the three months ended December 31, 2009. The increase was primarily attributable to revenue related to existing and new managed services arrangements and, to a lesser extent, implementation and integration projects. License and service revenue resulting from the sale of customer experience systems represented 93.6% of our total revenue in the three months ended December 31, 2010 and 2009.</w:t>
      </w:r>
    </w:p>
    <w:p>
      <w:pPr>
        <w:spacing w:after="0" w:line="46"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License and service revenue attributable to the sale of directory systems increased by $3.4 million, or 7.3%, to $49.8 million in the three months ended December 31, 2010 from $46.4 million in the three months ended December 31, 2009. The increase was primarily attributable to revenue from an existing directory systems customer. License and service revenue from the sale of directory systems represented 6.4% of our total revenue in the three months ended December 31, 2010 and 2009.</w:t>
      </w:r>
    </w:p>
    <w:p>
      <w:pPr>
        <w:spacing w:after="0" w:line="79" w:lineRule="exact"/>
        <w:rPr>
          <w:sz w:val="20"/>
          <w:szCs w:val="20"/>
          <w:color w:val="auto"/>
        </w:rPr>
      </w:pPr>
    </w:p>
    <w:p>
      <w:pPr>
        <w:ind w:right="80" w:firstLine="225"/>
        <w:spacing w:after="0" w:line="297" w:lineRule="auto"/>
        <w:rPr>
          <w:sz w:val="20"/>
          <w:szCs w:val="20"/>
          <w:color w:val="auto"/>
        </w:rPr>
      </w:pPr>
      <w:r>
        <w:rPr>
          <w:rFonts w:ascii="Arial" w:cs="Arial" w:eastAsia="Arial" w:hAnsi="Arial"/>
          <w:sz w:val="16"/>
          <w:szCs w:val="16"/>
          <w:color w:val="auto"/>
        </w:rPr>
        <w:t>In the three months ended December 31, 2010, revenue from customers in North America, Europe and the rest of the world accounted for 72.8%, 12.7% and 14.5%, respectively, of total revenue compared to 75.6%, 12.3% and 12.1%, respectively, in the three months ended December 31, 2009. The increase in total revenue in the three months ended December 31, 2010 compared to the three months ended December 31, 2009 was primarily attributable to revenue from customers in the rest of the world, primarily in emerging markets. The increase in revenue from customers in North America in absolute amounts was less than the 6.9% increase in total revenue and resulted in a decrease in revenue from customers in North America as a percentage of total revenue.</w:t>
      </w:r>
    </w:p>
    <w:p>
      <w:pPr>
        <w:spacing w:after="0" w:line="50" w:lineRule="exact"/>
        <w:rPr>
          <w:sz w:val="20"/>
          <w:szCs w:val="20"/>
          <w:color w:val="auto"/>
        </w:rPr>
      </w:pPr>
    </w:p>
    <w:p>
      <w:pPr>
        <w:ind w:right="20" w:firstLine="225"/>
        <w:spacing w:after="0" w:line="253" w:lineRule="auto"/>
        <w:rPr>
          <w:sz w:val="20"/>
          <w:szCs w:val="20"/>
          <w:color w:val="auto"/>
        </w:rPr>
      </w:pPr>
      <w:r>
        <w:rPr>
          <w:rFonts w:ascii="Arial" w:cs="Arial" w:eastAsia="Arial" w:hAnsi="Arial"/>
          <w:sz w:val="18"/>
          <w:szCs w:val="18"/>
          <w:b w:val="1"/>
          <w:bCs w:val="1"/>
          <w:i w:val="1"/>
          <w:iCs w:val="1"/>
          <w:color w:val="auto"/>
        </w:rPr>
        <w:t>Cost of License and Service</w:t>
      </w:r>
      <w:r>
        <w:rPr>
          <w:rFonts w:ascii="Arial" w:cs="Arial" w:eastAsia="Arial" w:hAnsi="Arial"/>
          <w:sz w:val="18"/>
          <w:szCs w:val="18"/>
          <w:color w:val="auto"/>
        </w:rPr>
        <w:t>. Cost of license includes fees and royalty payments to software suppliers. Cost of service consists primarily of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associated with providing services to customers, including compensation expense and costs of third-party products. Cost of license and service increased by $46.2 million, or 10.0%, to $508.8 million in the three months ended December 31, 2010, from $462.7 million in the three months ended December 31, 2009. As a percentage of revenue, cost of license and service was 65.6% in the three months ended December 31, 2010, compared to 63.9% in the three months ended December 31, 2009. The increase in our cost of license and service was primarily attributable to increase in our headcount to support the growth in the size of our operations as well as to an upfront charge related to a new contract win with an emerging market service provider. Our cost of service as a percentage of revenue, in the three months ended December 31, 2010, was also affected by our investment in internal training and knowledge building programs for our employees, as well as several key customer implementations that required, and may continue to require, incremental spending in the near-term.</w:t>
      </w:r>
    </w:p>
    <w:p>
      <w:pPr>
        <w:spacing w:after="0" w:line="89" w:lineRule="exact"/>
        <w:rPr>
          <w:sz w:val="20"/>
          <w:szCs w:val="20"/>
          <w:color w:val="auto"/>
        </w:rPr>
      </w:pPr>
    </w:p>
    <w:p>
      <w:pPr>
        <w:ind w:right="160" w:firstLine="225"/>
        <w:spacing w:after="0" w:line="293" w:lineRule="auto"/>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color w:val="auto"/>
        </w:rPr>
        <w:t>. Research and development expense is primarily comprised of compensation expense. Research and development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increased by $4.9 million, or 9.8%, to $55.0 million in the three months ended December 31, 2010, from $50.1 million in the three months ended December 31, 2009. Research and development expense increased as a percentage of revenue from 6.9% in the three months ended December 31, 2009 to 7.1% in the three months ended December 31, 2010. Our research and development efforts are a key element of our strategy and are essential to our success and we intend to maintain our commitment to research and development. An increase or a decrease in our total revenue would not necessarily result in a proportional increase or decrease in the levels of our research and development expenditures, which could affect our operating margin.</w:t>
      </w:r>
    </w:p>
    <w:p>
      <w:pPr>
        <w:spacing w:after="0" w:line="57"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b w:val="1"/>
          <w:bCs w:val="1"/>
          <w:i w:val="1"/>
          <w:iCs w:val="1"/>
          <w:color w:val="auto"/>
        </w:rPr>
        <w:t>Selling, General and Administrative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Selling, general and administrative expense increased by $12.8 million, or 14.0%, to $104.4 million in the three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months ended December 31, 2010, from $91.6 million in the three months ended December 31, 2009. Selling, general and administrative expense is primarily comprised of compensation expense. The increase in selling, general and administrative expense was primarily attributable to transition costs, as well as to increased selling efforts, a significant portion of which were in emerging markets and in managed services arrangements.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Operating Income</w:t>
      </w:r>
      <w:r>
        <w:rPr>
          <w:rFonts w:ascii="Arial" w:cs="Arial" w:eastAsia="Arial" w:hAnsi="Arial"/>
          <w:sz w:val="17"/>
          <w:szCs w:val="17"/>
          <w:color w:val="auto"/>
        </w:rPr>
        <w:t>. Operating income decreased by $11.6 million, or 11.7%, to $87.6 million in the three months ended December 31, 2010,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$99.1 million in the three months ended December 31, 2009. The decrease in operating income as a percentage of revenue was primarily attributable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 of cost of service and selling, general and administrative, which was higher than the increase in revenue.</w:t>
      </w:r>
    </w:p>
    <w:p>
      <w:pPr>
        <w:spacing w:after="0" w:line="103"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b w:val="1"/>
          <w:bCs w:val="1"/>
          <w:i w:val="1"/>
          <w:iCs w:val="1"/>
          <w:color w:val="auto"/>
        </w:rPr>
        <w:t xml:space="preserve">Interest and Other Expense, Net. </w:t>
      </w:r>
      <w:r>
        <w:rPr>
          <w:rFonts w:ascii="Arial" w:cs="Arial" w:eastAsia="Arial" w:hAnsi="Arial"/>
          <w:sz w:val="18"/>
          <w:szCs w:val="18"/>
          <w:color w:val="auto"/>
        </w:rPr>
        <w:t>Interest and other expense, net increased by $2.4 million to $3.1 million in the three months ended December 31, 2010,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$0.7 million in the three months ended December 31, 2009. The increase in interest and other expense, net, was primarily attributable to foreign exchange impacts.</w:t>
      </w:r>
    </w:p>
    <w:p>
      <w:pPr>
        <w:spacing w:after="0" w:line="73" w:lineRule="exact"/>
        <w:rPr>
          <w:sz w:val="20"/>
          <w:szCs w:val="20"/>
          <w:color w:val="auto"/>
        </w:rPr>
      </w:pPr>
    </w:p>
    <w:p>
      <w:pPr>
        <w:ind w:right="380" w:firstLine="225"/>
        <w:spacing w:after="0" w:line="264"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 Income taxes for the three months ended December 31, 2010 were $11.1 million on pretax income of $84.5 million, resulting 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tax rate of 13.1%, compared to 10.2% in the three months ended December 31, 2009. Our effective tax rate may fluctuate between quarters as a result of discrete items that may affect a specific quarter.</w:t>
      </w:r>
    </w:p>
    <w:p>
      <w:pPr>
        <w:spacing w:after="0" w:line="73"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was $73.4 million in the three months ended December 31, 2010, compared to $88.4 million in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2009. The decrease in net income was attributable primarily to the decrease in operating income and the increase in interest and other expense, net.</w:t>
      </w:r>
    </w:p>
    <w:p>
      <w:pPr>
        <w:spacing w:after="0" w:line="73"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b w:val="1"/>
          <w:bCs w:val="1"/>
          <w:i w:val="1"/>
          <w:iCs w:val="1"/>
          <w:color w:val="auto"/>
        </w:rPr>
        <w:t xml:space="preserve">Diluted Earnings Per Share. </w:t>
      </w:r>
      <w:r>
        <w:rPr>
          <w:rFonts w:ascii="Arial" w:cs="Arial" w:eastAsia="Arial" w:hAnsi="Arial"/>
          <w:sz w:val="18"/>
          <w:szCs w:val="18"/>
          <w:color w:val="auto"/>
        </w:rPr>
        <w:t>Diluted earnings per share decreased by $0.05, or 11.6%, to $0.38 in the three months ended December 31, 2010, from $0.43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three months ended December 31, 2009. The decrease in diluted earnings per share resulted primarily from the decrease in net income, which was partially offset by the decrease in diluted weighted average numbers of shares outstanding resulting primarily from our repurchase of ordinary shares in fiscal 2010 and the three months ended December 31, 2010.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Cash, cash equivalents and short-term interest-bearing investments totaled $1.25 billion as of December 31, 2010, compared to $1.43 billion as of September 30, 2010. The decrease in the three months ended December 31, 2010 was mainly attributable to $200.0 million in payments under financing arrangements, $113.4 million used to repurchase our ordinary shares pursuant to our share repurchase program and $35.3 million for capital expenditures, net, partially offset by $162.3 million in positive cash flow from operations. Net cash provided by operating activities amounted to $162.3 million and $193.5 million for the three months ended December 31, 2010 and 2009, respectively.</w:t>
      </w:r>
    </w:p>
    <w:p>
      <w:pPr>
        <w:spacing w:after="0" w:line="80"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Our policy is to retain substantial cash balances in order to support our growth. We believe that our current cash balances, cash generated from operations, and our current lines of credit will provide sufficient resources to meet our operational needs for at least the next fiscal year.</w:t>
      </w:r>
    </w:p>
    <w:p>
      <w:pPr>
        <w:spacing w:after="0" w:line="62"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color w:val="auto"/>
        </w:rPr>
        <w:t>Our interest-bearing investments are classified as available-for-sale securities. Unrealized gains or losses are reported as a separate component of accumulated other comprehensive income, net of tax. Such short-term interest-bearing investments consist primarily of money market funds, U.S. government treasuries, U.S. agency securities, government guaranteed debt and corporate bonds. We believe we have conservative investment policy guidelines. Our interest-bearing investments are stated at fair value. Our interest-bearing investments are priced by pricing vendors and are classified as Level 1 or Level 2 investments, since these vendors either provide a quoted market price in an active market or use observable inputs. During the three months ended December 31, 2010 and 2009, we recognized immaterial credit loss. As of December 31, 2010, unrealized losses of $1.4 million related to other-than-temporarily impaired securities were included in accumulated other comprehensive income. Please see Notes 4 and 5 to the consolidated financial statements.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In November 2007, we entered into an unsecured $500.0 million five-year revolving credit facility with a syndicate of banks, which is available for general corporate purposes, including acquisitions and repurchases of ordinary shares that we may consider from time to time. The interest rate for borrowings under the revolving credit facility is chosen at our option from several pre-defined alternatives, depends on the circumstances of any advance and is based on our credit rating. In September 2010, we borrowed an aggregate of $200.0 million under the facility and repaid it in October 2010. As of December 31, 2010, we were in compliance with the financial covenants under the revolving credit facility and had no outstanding borrowings under this facility.</w:t>
      </w:r>
    </w:p>
    <w:p>
      <w:pPr>
        <w:spacing w:after="0" w:line="50" w:lineRule="exact"/>
        <w:rPr>
          <w:sz w:val="20"/>
          <w:szCs w:val="20"/>
          <w:color w:val="auto"/>
        </w:rPr>
      </w:pPr>
    </w:p>
    <w:p>
      <w:pPr>
        <w:ind w:right="160" w:firstLine="215"/>
        <w:spacing w:after="0" w:line="264" w:lineRule="auto"/>
        <w:rPr>
          <w:sz w:val="20"/>
          <w:szCs w:val="20"/>
          <w:color w:val="auto"/>
        </w:rPr>
      </w:pPr>
      <w:r>
        <w:rPr>
          <w:rFonts w:ascii="Arial" w:cs="Arial" w:eastAsia="Arial" w:hAnsi="Arial"/>
          <w:sz w:val="18"/>
          <w:szCs w:val="18"/>
          <w:color w:val="auto"/>
        </w:rPr>
        <w:t>As of December 31, 2010, we had outstanding letters of credit and bank guarantees from various banks totaling $55.8 million. As of December 31, 2010, we had outstanding obligations of $0.9 million in connection with leasing arrangements and other short term financing arrangements and $1.0 million principal amount of convertible notes remained outstanding.</w:t>
      </w:r>
    </w:p>
    <w:p>
      <w:pPr>
        <w:spacing w:after="0" w:line="73" w:lineRule="exact"/>
        <w:rPr>
          <w:sz w:val="20"/>
          <w:szCs w:val="20"/>
          <w:color w:val="auto"/>
        </w:rPr>
      </w:pPr>
    </w:p>
    <w:p>
      <w:pPr>
        <w:ind w:right="100" w:firstLine="222"/>
        <w:spacing w:after="0" w:line="259" w:lineRule="auto"/>
        <w:rPr>
          <w:sz w:val="20"/>
          <w:szCs w:val="20"/>
          <w:color w:val="auto"/>
        </w:rPr>
      </w:pPr>
      <w:r>
        <w:rPr>
          <w:rFonts w:ascii="Arial" w:cs="Arial" w:eastAsia="Arial" w:hAnsi="Arial"/>
          <w:sz w:val="18"/>
          <w:szCs w:val="18"/>
          <w:color w:val="auto"/>
        </w:rPr>
        <w:t>We have contractual obligations for our non-cancelable operating leases, purchase obligations, pension funding and convertible notes summarized in the tabular disclosure of contractual obligations set forth in our Annual Report on Form 20-F for the fiscal year ended September 30, 2010, filed on December 7, 2010 with the SEC. Since September 30, 2010, there have been no material changes in our contractual obligations other than in the ordinary course of our business.</w:t>
      </w:r>
    </w:p>
    <w:p>
      <w:pPr>
        <w:spacing w:after="0" w:line="79" w:lineRule="exact"/>
        <w:rPr>
          <w:sz w:val="20"/>
          <w:szCs w:val="20"/>
          <w:color w:val="auto"/>
        </w:rPr>
      </w:pPr>
    </w:p>
    <w:p>
      <w:pPr>
        <w:ind w:right="160" w:firstLine="225"/>
        <w:spacing w:after="0" w:line="302" w:lineRule="auto"/>
        <w:rPr>
          <w:sz w:val="20"/>
          <w:szCs w:val="20"/>
          <w:color w:val="auto"/>
        </w:rPr>
      </w:pPr>
      <w:r>
        <w:rPr>
          <w:rFonts w:ascii="Arial" w:cs="Arial" w:eastAsia="Arial" w:hAnsi="Arial"/>
          <w:sz w:val="16"/>
          <w:szCs w:val="16"/>
          <w:color w:val="auto"/>
        </w:rPr>
        <w:t>Our capital expenditures were approximately $35.3 million in the three months ended December 31, 2010. Approximately 82% of these expenditures consisted of purchases of computer equipment, and the remainder was attributable mainly to leasehold improvements. The capital expenditures in the three months ended December 31, 2010 were mainly attributable to investments in our operating facilities and our development centers around the world. Our policy is to fund our capital expenditures principally from operating cash flows and we do not anticipate any changes to this policy in the foreseeable future.</w:t>
      </w:r>
    </w:p>
    <w:p>
      <w:pPr>
        <w:spacing w:after="0" w:line="46"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color w:val="auto"/>
        </w:rPr>
        <w:t>In April 2010, our board of directors authorized a share repurchase plan allowing the repurchase of up to $700.0 million of our outstanding ordinary shares over the following 12 months. The authorization permits us to purchase our ordinary shares in open market or privately negotiated transactions at times and prices that we consider appropriate. In the three months ended December 31, 2010, we repurchased approximately 4.1 million ordinary shares at an average price of $27.43 per share (excluding broker and transaction fees). As of December 31, 2010, we had remaining authority to repurchase up to $197.6 million of our outstanding ordinary shares under this plan. From January 1, 2011 through February 4, 2011, we repurchased approximately 2.2 million ordinary shares at an average price of $28.37 per share (excluding broker and transaction fees).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Fluctuations</w:t>
      </w:r>
    </w:p>
    <w:p>
      <w:pPr>
        <w:spacing w:after="0" w:line="121"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We manage our foreign subsidiaries as integral direct components of our operations. The operations of our foreign subsidiaries provide the same type of services with the same type of expenditure throughout the Amdocs group. The U.S. dollar is our functional currency according to the salient economic factors as indicated in the authoritative guidance for foreign currency matters.</w:t>
      </w:r>
    </w:p>
    <w:p>
      <w:pPr>
        <w:spacing w:after="0" w:line="73"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During the three months ended December 31, 2010 and 2009, approximately 70% to 80% of our revenue and approximately 50% to 60% of our operating expenses were in U.S. dollars or linked to the U.S. dollar. If more customers will seek contracts in currencies other than the U.S. dollar and as our operational activities outside of the United States may increase, the percentage of our revenue and operating expenses in U.S. dollar or linked to the U.S. dollar may decrease over time, which may increase our exposure to fluctuations in currency exchange rates.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We periodically assess the applicability of the U.S. dollar as our functional currency by reviewing the salient indicators.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Changes in Securities, Use of Proceeds and Issuer Purchases of Equity Securities.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21"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 following table provides information about purchases by us and our affiliated purchasers during the three months ended December 31, 2010 of equity securities that are registered by us pursuant to Section 12 of the Exchange Act: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Ordinary Shares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(c)</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Total Number of</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(or 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rPr>
              <w:t>(a)</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0" w:type="dxa"/>
            <w:vAlign w:val="bottom"/>
            <w:gridSpan w:val="2"/>
            <w:vMerge w:val="restart"/>
          </w:tcPr>
          <w:p>
            <w:pPr>
              <w:jc w:val="center"/>
              <w:ind w:right="700"/>
              <w:spacing w:after="0"/>
              <w:rPr>
                <w:sz w:val="20"/>
                <w:szCs w:val="20"/>
                <w:color w:val="auto"/>
              </w:rPr>
            </w:pPr>
            <w:r>
              <w:rPr>
                <w:rFonts w:ascii="Arial" w:cs="Arial" w:eastAsia="Arial" w:hAnsi="Arial"/>
                <w:sz w:val="14"/>
                <w:szCs w:val="14"/>
                <w:b w:val="1"/>
                <w:bCs w:val="1"/>
                <w:color w:val="auto"/>
              </w:rPr>
              <w:t>(b)</w:t>
            </w:r>
          </w:p>
        </w:tc>
        <w:tc>
          <w:tcPr>
            <w:tcW w:w="2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Purchased as Part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of 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Total Number of</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2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of Publicly</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2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360" w:type="dxa"/>
            <w:vAlign w:val="bottom"/>
          </w:tcPr>
          <w:p>
            <w:pPr>
              <w:spacing w:after="0"/>
              <w:rPr>
                <w:sz w:val="12"/>
                <w:szCs w:val="12"/>
                <w:color w:val="auto"/>
              </w:rPr>
            </w:pPr>
          </w:p>
        </w:tc>
        <w:tc>
          <w:tcPr>
            <w:tcW w:w="18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Shares</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2"/>
              </w:rPr>
              <w:t>Average Price</w:t>
            </w:r>
          </w:p>
        </w:tc>
        <w:tc>
          <w:tcPr>
            <w:tcW w:w="2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Announced Plans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Under the Plans</w:t>
            </w:r>
          </w:p>
        </w:tc>
        <w:tc>
          <w:tcPr>
            <w:tcW w:w="0" w:type="dxa"/>
            <w:vAlign w:val="bottom"/>
          </w:tcPr>
          <w:p>
            <w:pPr>
              <w:spacing w:after="0"/>
              <w:rPr>
                <w:sz w:val="1"/>
                <w:szCs w:val="1"/>
                <w:color w:val="auto"/>
              </w:rPr>
            </w:pPr>
          </w:p>
        </w:tc>
      </w:tr>
      <w:tr>
        <w:trPr>
          <w:trHeight w:val="171"/>
        </w:trPr>
        <w:tc>
          <w:tcPr>
            <w:tcW w:w="23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Purchased</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3"/>
              </w:rPr>
              <w:t>Paid per Share</w:t>
            </w:r>
          </w:p>
        </w:tc>
        <w:tc>
          <w:tcPr>
            <w:tcW w:w="2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or Programs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or Programs(1)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10/1/10-10/31/10</w:t>
            </w:r>
          </w:p>
        </w:tc>
        <w:tc>
          <w:tcPr>
            <w:tcW w:w="36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731,229</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29.53</w:t>
            </w:r>
          </w:p>
        </w:tc>
        <w:tc>
          <w:tcPr>
            <w:tcW w:w="2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731,229</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289,391,334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11/1/10-11/30/10</w:t>
            </w:r>
          </w:p>
        </w:tc>
        <w:tc>
          <w:tcPr>
            <w:tcW w:w="2220" w:type="dxa"/>
            <w:vAlign w:val="bottom"/>
            <w:gridSpan w:val="3"/>
          </w:tcPr>
          <w:p>
            <w:pPr>
              <w:jc w:val="right"/>
              <w:ind w:right="20"/>
              <w:spacing w:after="0"/>
              <w:rPr>
                <w:sz w:val="20"/>
                <w:szCs w:val="20"/>
                <w:color w:val="auto"/>
              </w:rPr>
            </w:pPr>
            <w:r>
              <w:rPr>
                <w:rFonts w:ascii="Arial" w:cs="Arial" w:eastAsia="Arial" w:hAnsi="Arial"/>
                <w:sz w:val="18"/>
                <w:szCs w:val="18"/>
                <w:color w:val="auto"/>
              </w:rPr>
              <w:t>1,653,408</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gridSpan w:val="2"/>
          </w:tcPr>
          <w:p>
            <w:pPr>
              <w:jc w:val="right"/>
              <w:ind w:right="440"/>
              <w:spacing w:after="0"/>
              <w:rPr>
                <w:sz w:val="20"/>
                <w:szCs w:val="20"/>
                <w:color w:val="auto"/>
              </w:rPr>
            </w:pPr>
            <w:r>
              <w:rPr>
                <w:rFonts w:ascii="Arial" w:cs="Arial" w:eastAsia="Arial" w:hAnsi="Arial"/>
                <w:sz w:val="18"/>
                <w:szCs w:val="18"/>
                <w:color w:val="auto"/>
              </w:rPr>
              <w:t>27.10</w:t>
            </w: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1,653,408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244,586,773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12/1/10-12/31/10</w:t>
            </w:r>
          </w:p>
        </w:tc>
        <w:tc>
          <w:tcPr>
            <w:tcW w:w="2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1,747,354</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26.87</w:t>
            </w:r>
          </w:p>
        </w:tc>
        <w:tc>
          <w:tcPr>
            <w:tcW w:w="2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1,747,354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197,635,065</w:t>
            </w:r>
          </w:p>
        </w:tc>
        <w:tc>
          <w:tcPr>
            <w:tcW w:w="0" w:type="dxa"/>
            <w:vAlign w:val="bottom"/>
          </w:tcPr>
          <w:p>
            <w:pPr>
              <w:spacing w:after="0"/>
              <w:rPr>
                <w:sz w:val="1"/>
                <w:szCs w:val="1"/>
                <w:color w:val="auto"/>
              </w:rPr>
            </w:pPr>
          </w:p>
        </w:tc>
      </w:tr>
      <w:tr>
        <w:trPr>
          <w:trHeight w:val="223"/>
        </w:trPr>
        <w:tc>
          <w:tcPr>
            <w:tcW w:w="2300" w:type="dxa"/>
            <w:vAlign w:val="bottom"/>
            <w:gridSpan w:val="2"/>
          </w:tcPr>
          <w:p>
            <w:pPr>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19"/>
                <w:szCs w:val="19"/>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4,131,991</w:t>
            </w:r>
          </w:p>
        </w:tc>
        <w:tc>
          <w:tcPr>
            <w:tcW w:w="20" w:type="dxa"/>
            <w:vAlign w:val="bottom"/>
            <w:tcBorders>
              <w:bottom w:val="single" w:sz="8" w:color="auto"/>
            </w:tcBorders>
          </w:tcPr>
          <w:p>
            <w:pPr>
              <w:spacing w:after="0"/>
              <w:rPr>
                <w:sz w:val="19"/>
                <w:szCs w:val="19"/>
                <w:color w:val="auto"/>
              </w:rPr>
            </w:pPr>
          </w:p>
        </w:tc>
        <w:tc>
          <w:tcPr>
            <w:tcW w:w="7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440"/>
              <w:spacing w:after="0"/>
              <w:rPr>
                <w:sz w:val="20"/>
                <w:szCs w:val="20"/>
                <w:color w:val="auto"/>
              </w:rPr>
            </w:pPr>
            <w:r>
              <w:rPr>
                <w:rFonts w:ascii="Arial" w:cs="Arial" w:eastAsia="Arial" w:hAnsi="Arial"/>
                <w:sz w:val="18"/>
                <w:szCs w:val="18"/>
                <w:color w:val="auto"/>
              </w:rPr>
              <w:t>27.43</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4,131,991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197,635,065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60" w:hanging="452"/>
        <w:spacing w:after="0" w:line="279"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April 2010, our board of directors authorized a share repurchase plan allowing the repurchase of up to $700.0 million of our outstanding ordinary shares over the following 12 months. The authorization permits us to purchase our ordinary shares in open market or privately negotiated transactions at times and prices that we consider appropriate. From January 1, 2011 through February 4, 2011, we repurchased approximately 2.2 million ordinary shares at an average price of $28.37 per share (excluding broker and transaction fees).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Reports on Form 6-K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Reports on Form 6-K</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furnished or filed the following reports on Form 6-K during the three months ended December 31, 2010:</w:t>
      </w:r>
    </w:p>
    <w:p>
      <w:pPr>
        <w:spacing w:after="0" w:line="117" w:lineRule="exact"/>
        <w:rPr>
          <w:sz w:val="20"/>
          <w:szCs w:val="20"/>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Form 6-K dated November 1, 2010</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Form 6-K dated November 4, 2010</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Form 6-K dated December 20, 2010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Thomas G. O’Brien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Thomas G.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Treasurer and Secretary Authorized U.S. Representative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8, 2011</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sectPr>
      <w:pgSz w:w="11900" w:h="16838" w:orient="portrait"/>
      <w:cols w:equalWidth="0" w:num="1">
        <w:col w:w="10520"/>
      </w:cols>
      <w:pgMar w:left="240" w:top="419"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2"/>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2019-12-10T18:14:38Z</dcterms:created>
  <dcterms:modified xsi:type="dcterms:W3CDTF">2019-12-10T18:14:38Z</dcterms:modified>
</cp:coreProperties>
</file>