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January, 2015</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180"/>
        <w:spacing w:after="0" w:line="207" w:lineRule="exact"/>
        <w:tabs>
          <w:tab w:leader="none" w:pos="60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780"/>
        <w:spacing w:after="0" w:line="207" w:lineRule="exact"/>
        <w:tabs>
          <w:tab w:leader="none" w:pos="61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-10160</wp:posOffset>
            </wp:positionV>
            <wp:extent cx="457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580"/>
          </w:cols>
          <w:pgMar w:left="240" w:top="449" w:right="1079" w:bottom="1440" w:gutter="0" w:footer="0" w:header="0"/>
        </w:sectPr>
      </w:pPr>
    </w:p>
    <w:bookmarkStart w:id="1" w:name="page2"/>
    <w:bookmarkEnd w:id="1"/>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January 27, 2015, Amdocs Limited (“Amdocs”) issued a press release announcing financial results for the quarter ended December 31, 2014. A copy of the press release is furnished as Exhibit 99.1 to this Report of Foreign Private Issuer on Form 6-K.</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100"/>
          </w:cols>
          <w:pgMar w:left="240" w:top="274" w:right="5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Matthew Smith</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Matthew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-130810</wp:posOffset>
            </wp:positionV>
            <wp:extent cx="2632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Secretary and 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2015</w:t>
      </w:r>
    </w:p>
    <w:p>
      <w:pPr>
        <w:sectPr>
          <w:pgSz w:w="11900" w:h="16838" w:orient="portrait"/>
          <w:cols w:equalWidth="0" w:num="1">
            <w:col w:w="11260"/>
          </w:cols>
          <w:pgMar w:left="240" w:top="27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960" w:type="dxa"/>
            <w:vAlign w:val="bottom"/>
          </w:tcPr>
          <w:p>
            <w:pPr>
              <w:ind w:left="1640"/>
              <w:spacing w:after="0"/>
              <w:rPr>
                <w:sz w:val="20"/>
                <w:szCs w:val="20"/>
                <w:color w:val="auto"/>
              </w:rPr>
            </w:pPr>
            <w:r>
              <w:rPr>
                <w:rFonts w:ascii="Arial" w:cs="Arial" w:eastAsia="Arial" w:hAnsi="Arial"/>
                <w:sz w:val="18"/>
                <w:szCs w:val="18"/>
                <w:color w:val="auto"/>
                <w:w w:val="99"/>
              </w:rPr>
              <w:t>EXHIBIT INDEX</w:t>
            </w:r>
          </w:p>
        </w:tc>
      </w:tr>
      <w:tr>
        <w:trPr>
          <w:trHeight w:val="459"/>
        </w:trPr>
        <w:tc>
          <w:tcPr>
            <w:tcW w:w="1080" w:type="dxa"/>
            <w:vAlign w:val="bottom"/>
          </w:tcPr>
          <w:p>
            <w:pPr>
              <w:ind w:left="20"/>
              <w:spacing w:after="0"/>
              <w:rPr>
                <w:sz w:val="20"/>
                <w:szCs w:val="20"/>
                <w:color w:val="auto"/>
              </w:rPr>
            </w:pPr>
            <w:r>
              <w:rPr>
                <w:rFonts w:ascii="Arial" w:cs="Arial" w:eastAsia="Arial" w:hAnsi="Arial"/>
                <w:sz w:val="18"/>
                <w:szCs w:val="18"/>
                <w:color w:val="auto"/>
                <w:w w:val="97"/>
              </w:rPr>
              <w:t>EXHIBIT NO.</w:t>
            </w:r>
          </w:p>
        </w:tc>
        <w:tc>
          <w:tcPr>
            <w:tcW w:w="5300" w:type="dxa"/>
            <w:vAlign w:val="bottom"/>
            <w:gridSpan w:val="3"/>
          </w:tcPr>
          <w:p>
            <w:pPr>
              <w:ind w:left="1160"/>
              <w:spacing w:after="0"/>
              <w:rPr>
                <w:sz w:val="20"/>
                <w:szCs w:val="20"/>
                <w:color w:val="auto"/>
              </w:rPr>
            </w:pPr>
            <w:r>
              <w:rPr>
                <w:rFonts w:ascii="Arial" w:cs="Arial" w:eastAsia="Arial" w:hAnsi="Arial"/>
                <w:sz w:val="18"/>
                <w:szCs w:val="18"/>
                <w:color w:val="auto"/>
              </w:rPr>
              <w:t>DESCRIPTION</w:t>
            </w:r>
          </w:p>
        </w:tc>
      </w:tr>
      <w:tr>
        <w:trPr>
          <w:trHeight w:val="20"/>
        </w:trPr>
        <w:tc>
          <w:tcPr>
            <w:tcW w:w="10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5300" w:type="dxa"/>
            <w:vAlign w:val="bottom"/>
            <w:gridSpan w:val="3"/>
          </w:tcPr>
          <w:p>
            <w:pPr>
              <w:ind w:left="1160"/>
              <w:spacing w:after="0"/>
              <w:rPr>
                <w:sz w:val="20"/>
                <w:szCs w:val="20"/>
                <w:color w:val="auto"/>
              </w:rPr>
            </w:pPr>
            <w:r>
              <w:rPr>
                <w:rFonts w:ascii="Arial" w:cs="Arial" w:eastAsia="Arial" w:hAnsi="Arial"/>
                <w:sz w:val="18"/>
                <w:szCs w:val="18"/>
                <w:color w:val="auto"/>
                <w:w w:val="91"/>
              </w:rPr>
              <w:t>Amdocs Limited Press Release dated January 27, 2015.</w:t>
            </w:r>
          </w:p>
        </w:tc>
      </w:tr>
    </w:tbl>
    <w:p>
      <w:pPr>
        <w:ind w:left="116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172085</wp:posOffset>
            </wp:positionV>
            <wp:extent cx="1329055"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9055" cy="2743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60"/>
        <w:spacing w:after="0"/>
        <w:tabs>
          <w:tab w:leader="none" w:pos="1240" w:val="left"/>
        </w:tabs>
        <w:rPr>
          <w:sz w:val="20"/>
          <w:szCs w:val="20"/>
          <w:color w:val="auto"/>
        </w:rPr>
      </w:pPr>
      <w:r>
        <w:rPr>
          <w:rFonts w:ascii="Arial" w:cs="Arial" w:eastAsia="Arial" w:hAnsi="Arial"/>
          <w:sz w:val="18"/>
          <w:szCs w:val="18"/>
          <w:color w:val="auto"/>
        </w:rPr>
        <w:t>P R E S S</w:t>
      </w:r>
      <w:r>
        <w:rPr>
          <w:sz w:val="20"/>
          <w:szCs w:val="20"/>
          <w:color w:val="auto"/>
        </w:rPr>
        <w:tab/>
      </w:r>
      <w:r>
        <w:rPr>
          <w:rFonts w:ascii="Arial" w:cs="Arial" w:eastAsia="Arial" w:hAnsi="Arial"/>
          <w:sz w:val="16"/>
          <w:szCs w:val="16"/>
          <w:color w:val="auto"/>
        </w:rPr>
        <w:t>R E L E A S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Record Quarterly Revenue of $906M, Up 4.9% YoY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Reiterates FY15 Non-GAAP Diluted EPS Growth Outlook of 4.5%-7.5% YoY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31" w:lineRule="exact"/>
        <w:rPr>
          <w:sz w:val="20"/>
          <w:szCs w:val="20"/>
          <w:color w:val="auto"/>
        </w:rPr>
      </w:pPr>
    </w:p>
    <w:p>
      <w:pPr>
        <w:ind w:left="900" w:hanging="325"/>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fiscal quarter revenue of $906 million, within the $895-$925 million guidance range, which had already embedded a negative sequential impact of approximately $6 million from foreign currency movements. Foreign currency movements negatively affected revenue by approximately $10 million relative to the fourth quarter of fiscal 2014. Excluding foreign currency movements, revenue performance was roughly in line with the midpoint of our expectations</w:t>
      </w:r>
    </w:p>
    <w:p>
      <w:pPr>
        <w:spacing w:after="0" w:line="92"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fiscal quarter non-GAAP operating income of $153 million; non-GAAP operating margin of 16.9%; GAAP operating income of $142 million</w:t>
      </w:r>
    </w:p>
    <w:p>
      <w:pPr>
        <w:spacing w:after="0" w:line="75"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fiscal quarter diluted non-GAAP EPS of $0.88, above the $0.77-$0.83 guidance range, excluding amortization of purchased intangible assets and other acquisition-related costs, changes in fair value of certain acquisition-related liabilities and equity-based compensation expense, net of related tax effects. A lower non-GAAP effective tax rate positively impacted diluted non-GAAP EPS. Adjusting for this, diluted non-GAAP EPS was within the guidance range for the first quarter</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$0.83 for the first fiscal quarter, above the $0.60-$0.68 guidance range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$173 million for the first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$102 million of ordinary shares during the first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Twelve-month backlog of $3.03 billion at the end of the first fiscal quarter, up $30 million from the end of the fourth quarter of fiscal 2014</w:t>
      </w:r>
    </w:p>
    <w:p>
      <w:pPr>
        <w:spacing w:after="0" w:line="142"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a $0.17 per share quarterly cash dividend to be paid on April 16, 2015, subject to shareholders’ approval at the January 2015 annual general meeting</w:t>
      </w:r>
    </w:p>
    <w:p>
      <w:pPr>
        <w:sectPr>
          <w:pgSz w:w="11900" w:h="16838" w:orient="portrait"/>
          <w:cols w:equalWidth="0" w:num="1">
            <w:col w:w="11420"/>
          </w:cols>
          <w:pgMar w:left="240" w:top="121" w:right="239" w:bottom="1440" w:gutter="0" w:footer="0" w:header="0"/>
        </w:sectPr>
      </w:pPr>
    </w:p>
    <w:bookmarkStart w:id="5" w:name="page6"/>
    <w:bookmarkEnd w:id="5"/>
    <w:p>
      <w:pPr>
        <w:ind w:left="900" w:right="20" w:hanging="325"/>
        <w:spacing w:after="0" w:line="31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quarter fiscal 2015 guidance: Expected revenue of approximately $900-$930 million. Expected diluted non-GAAP EPS of approximately $0.78-$0.84, excluding amortization of purchased intangible assets and other acquisition-related costs and approximately $0.05-$0.06 per share of equity-based compensation expense, net of related tax effects. Expected diluted GAAP EPS of approximately $0.64-$0.72</w:t>
      </w:r>
    </w:p>
    <w:p>
      <w:pPr>
        <w:spacing w:after="0" w:line="52" w:lineRule="exact"/>
        <w:rPr>
          <w:rFonts w:ascii="Arial" w:cs="Arial" w:eastAsia="Arial" w:hAnsi="Arial"/>
          <w:sz w:val="16"/>
          <w:szCs w:val="16"/>
          <w:color w:val="auto"/>
        </w:rPr>
      </w:pPr>
    </w:p>
    <w:p>
      <w:pPr>
        <w:ind w:left="900" w:right="240" w:hanging="325"/>
        <w:spacing w:after="0" w:line="31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Full year fiscal 2015 revenue guidance: Reiterates fiscal 2015 revenue growth within the previous range of 2.5% to 5.5% year-over-year on a constant currency basis relative to the guidance provided last quarter. Expects fiscal 2015 reported revenue growth of 1.5% to 4.5% year-over-year reflecting a negative impact from foreign currency movements of approximately 1% relative to the guidance provided last quarter</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ST. LOUIS – January 27, 2015 </w:t>
      </w:r>
      <w:r>
        <w:rPr>
          <w:rFonts w:ascii="Arial" w:cs="Arial" w:eastAsia="Arial" w:hAnsi="Arial"/>
          <w:sz w:val="17"/>
          <w:szCs w:val="17"/>
          <w:color w:val="auto"/>
        </w:rPr>
        <w:t>– Amdocs Limited (NASDAQ: DOX) today reported that for its fiscal quarter ended December 31, 2014, revenue was</w:t>
      </w:r>
    </w:p>
    <w:p>
      <w:pPr>
        <w:spacing w:after="0" w:line="3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$906.3 million, up 0.7% sequentially from the fourth fiscal quarter of 2014 and up 4.9% as compared to last year’s first fiscal quarter. Net income on a non-GAAP basis was $139.5 million, or $0.88 per diluted share, compared to non-GAAP net income of $122.6 million, or $0.76 per diluted share, in the first quarter of fiscal 2014. Non-GAAP net income excludes amortization of purchased intangible assets and other acquisition-related costs, changes in fair value of certain acquisition-related liabilities and equity-based compensation expenses of $8.5 million, net of related tax effects, in the first quarter of fiscal 2015 and excludes such amortization and other acquisition-related costs and equity-based compensation expenses of $21.1 million, net of related tax effects, in the first quarter of fiscal 2014. The Company’s GAAP net income for the first quarter of fiscal 2015 was $131.0 million, or $0.83 per diluted share, compared to GAAP net income of $101.4 million, or $0.63 per diluted share, in the prior fiscal year’s first quarter.</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recent sales momentum has been strong with our market position enabling us to secure significant new awards with some of the world’s largest carriers. As we previously announced, Singtel has selected Amdocs for major business transformation projects in its key markets of Singapore and Australia. Additionally, we are today delighted to announce a new award at Vivo, Telefónica’s brand in Brazil and the group’s largest in Latin America. This influential win includes a quad-play BSS transformation project with a five-year maintenance and support services contract and will enable Vivo to provide a seamless, multi-channel experience. Moreover, this deal follows transformation projects already awarded at Telefónica affiliates in Argentina, Chile and Peru and is further evidence of our expanding relationship with this highly strategic customer”, said Eli Gelman, chief executive officer of Amdocs Management Limited.</w:t>
      </w:r>
    </w:p>
    <w:p>
      <w:pPr>
        <w:sectPr>
          <w:pgSz w:w="11900" w:h="16838" w:orient="portrait"/>
          <w:cols w:equalWidth="0" w:num="1">
            <w:col w:w="11400"/>
          </w:cols>
          <w:pgMar w:left="240" w:top="274" w:right="259" w:bottom="1440" w:gutter="0" w:footer="0" w:header="0"/>
        </w:sectPr>
      </w:pPr>
    </w:p>
    <w:bookmarkStart w:id="6" w:name="page7"/>
    <w:bookmarkEnd w:id="6"/>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Gelman continued, “In North America, we continued to help our customers respond to rapidly changing competitive dynamics in wireless and Pay TV markets. Along these lines, we are today pleased to announce that U.S. Cellular has entered into a five-year managed services contract with Amdocs to manage the operations of a range of its business and operational support systems. This significant new agreement expands and strengthens our relationship with this long-standing customer. Moreover, the arrangement follows the recent delivery of a highly complex transformation project for U.S. Cellular and is evidence of the ongoing value proposition we expect to provide to this carrier as we enable their strategic goal of delivering a superior customer experience.”</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Gelman concluded, “With the visibility provided by our backlog and the pipeline of opportunity ahead of us we are encouraged by our start to fiscal 2015. As a reminder, our outlook reflects many moving parts, including with respect to macroeconomic and industry specific trends. We are focused on delivering consistent execution and operating efficiency, and we remain committed to returning cash to shareholders while retaining the capacity to execute on our long-term growth initiatives. Taking all these factors into consideration, we continue to expect diluted non-GAAP earnings per share growth of 4.5%-7.5% for the full fiscal 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First Fiscal Quarter Results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Free cash flow was $173 million for the quarter, comprised of cash flow from operations of $208 million less $35 million in net capital expenditures and other.</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$3.03 billion at the end of the first quarter of fiscal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Amdocs expects that revenue for the second quarter of fiscal 2015 will be approximately $900-$930 million. This outlook takes into consideration macro and industry specific risks and unknowns, including various uncertainties resulting from current and potential customer consolidation activity in North America. However, we remind you that we cannot predict all possible outcomes.</w:t>
      </w:r>
    </w:p>
    <w:p>
      <w:pPr>
        <w:sectPr>
          <w:pgSz w:w="11900" w:h="16838" w:orient="portrait"/>
          <w:cols w:equalWidth="0" w:num="1">
            <w:col w:w="11360"/>
          </w:cols>
          <w:pgMar w:left="240" w:top="274" w:right="299" w:bottom="1440" w:gutter="0" w:footer="0" w:header="0"/>
        </w:sectPr>
      </w:pPr>
    </w:p>
    <w:bookmarkStart w:id="7" w:name="page8"/>
    <w:bookmarkEnd w:id="7"/>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Diluted earnings per share on a non-GAAP basis for the second fiscal quarter are expected to be $0.78-$0.84, excluding amortization of purchased intangible assets and other acquisition-related costs and approximately $0.05-$0.06 per share of equity-based compensation expense, net of related tax effects. Amdocs estimates GAAP diluted earnings per share for the second fiscal quarter will be $0.64-$0.72.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Cash Dividend Program</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January 27, 2015, the Board approved the Company’s next quarterly cash dividend payment of $0.17 per share and set March 31, 2015 as the record date for determining the shareholders entitled to receive the dividend, which is payable on April 16, 2015. The increased dividend is subject to shareholders’ approval at the Company’s Annual General Meeting on January 28,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Amdocs will host a conference call on January 27, 2015 at 5:00 p.m. Eastern Time to discuss the Company’s first fiscal quarter results. To participate, please dial +1 (888) 771-4371, or +1 (847) 585-4405 outside the United States, approximately 15 minutes before the call and enter passcode 38725576. The call will also be carried live on the Internet via the Amdocs website, www.amdocs.com.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revenue, non-GAAP research and development, non-GAAP selling, general and administrative, non-GAAP operating income, non-GAAP operating margin, non-GAAP interest and other expense, net, non-GAAP income taxes, non-GAAP effective tax rate, non-GAAP net income and non-GAAP diluted earnings per share growth. These non-GAAP measures exclude the following items:</w:t>
      </w:r>
    </w:p>
    <w:p>
      <w:pPr>
        <w:spacing w:after="0" w:line="9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fair value of certain acquisition-related liabilities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ectPr>
          <w:pgSz w:w="11900" w:h="16838" w:orient="portrait"/>
          <w:cols w:equalWidth="0" w:num="1">
            <w:col w:w="11380"/>
          </w:cols>
          <w:pgMar w:left="240" w:top="274" w:right="279" w:bottom="1440" w:gutter="0" w:footer="0" w:header="0"/>
        </w:sectPr>
      </w:pPr>
    </w:p>
    <w:bookmarkStart w:id="8" w:name="page9"/>
    <w:bookmarkEnd w:id="8"/>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Amdocs believes that the presentation of non-GAAP diluted earnings per share and other financial measures, including free cash flow, non-GAAP cost of revenue, non-GAAP research and development, non-GAAP selling, general and administrative, non-GAAP operating income, non-GAAP operating margin, non-GAAP interest and other expense,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acquisition-related costs, changes in fair value of certain acquisition-related liabilities,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ectPr>
          <w:pgSz w:w="11900" w:h="16838" w:orient="portrait"/>
          <w:cols w:equalWidth="0" w:num="1">
            <w:col w:w="11380"/>
          </w:cols>
          <w:pgMar w:left="240" w:top="274" w:right="27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more than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and optimization product portfolio with value-driven professional services and managed services operations. With revenue of $3.6 billion in fiscal 2014, Amdocs and its over 22,000 employees serve customers in more than 80 countries.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Amdocs: Embrace Challenge, Experience Success.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w:t>
      </w:r>
    </w:p>
    <w:p>
      <w:pPr>
        <w:sectPr>
          <w:pgSz w:w="11900" w:h="16838" w:orient="portrait"/>
          <w:cols w:equalWidth="0" w:num="1">
            <w:col w:w="11320"/>
          </w:cols>
          <w:pgMar w:left="240" w:top="274" w:right="339" w:bottom="1440" w:gutter="0" w:footer="0" w:header="0"/>
        </w:sectPr>
      </w:pPr>
    </w:p>
    <w:bookmarkStart w:id="10" w:name="page11"/>
    <w:bookmarkEnd w:id="10"/>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2014 filed on December 8,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dox_info@amdocs.com</w:t>
      </w:r>
    </w:p>
    <w:p>
      <w:pPr>
        <w:sectPr>
          <w:pgSz w:w="11900" w:h="16838" w:orient="portrait"/>
          <w:cols w:equalWidth="0" w:num="1">
            <w:col w:w="11340"/>
          </w:cols>
          <w:pgMar w:left="240" w:top="274"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w:t>
      </w:r>
    </w:p>
    <w:p>
      <w:pPr>
        <w:jc w:val="center"/>
        <w:ind w:left="95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906,287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864,045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573,446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557,403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63,641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113,580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111,959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14,099</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764,766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743,355</w:t>
            </w:r>
          </w:p>
        </w:tc>
        <w:tc>
          <w:tcPr>
            <w:tcW w:w="0" w:type="dxa"/>
            <w:vAlign w:val="bottom"/>
          </w:tcPr>
          <w:p>
            <w:pPr>
              <w:spacing w:after="0"/>
              <w:rPr>
                <w:sz w:val="1"/>
                <w:szCs w:val="1"/>
                <w:color w:val="auto"/>
              </w:rPr>
            </w:pPr>
          </w:p>
        </w:tc>
      </w:tr>
      <w:tr>
        <w:trPr>
          <w:trHeight w:val="224"/>
        </w:trPr>
        <w:tc>
          <w:tcPr>
            <w:tcW w:w="9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141,521</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24"/>
        </w:trPr>
        <w:tc>
          <w:tcPr>
            <w:tcW w:w="96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143,065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119,286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130,990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155,897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158,110</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161,845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540"/>
        <w:spacing w:after="0"/>
        <w:rPr>
          <w:sz w:val="20"/>
          <w:szCs w:val="20"/>
          <w:color w:val="auto"/>
        </w:rPr>
      </w:pPr>
      <w:r>
        <w:rPr>
          <w:rFonts w:ascii="Arial" w:cs="Arial" w:eastAsia="Arial" w:hAnsi="Arial"/>
          <w:sz w:val="14"/>
          <w:szCs w:val="14"/>
          <w:b w:val="1"/>
          <w:bCs w:val="1"/>
          <w:color w:val="auto"/>
        </w:rPr>
        <w:t>Three months ended</w:t>
      </w:r>
    </w:p>
    <w:p>
      <w:pPr>
        <w:jc w:val="center"/>
        <w:ind w:left="95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4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906,287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864,045</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152,962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145,323</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139,485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122,564</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0.76</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158,110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161,845</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9"/>
          </w:tcPr>
          <w:p>
            <w:pPr>
              <w:jc w:val="center"/>
              <w:ind w:right="72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center"/>
              <w:ind w:left="135"/>
              <w:spacing w:after="0"/>
              <w:rPr>
                <w:sz w:val="20"/>
                <w:szCs w:val="20"/>
                <w:color w:val="auto"/>
              </w:rPr>
            </w:pPr>
            <w:r>
              <w:rPr>
                <w:rFonts w:ascii="Arial" w:cs="Arial" w:eastAsia="Arial" w:hAnsi="Arial"/>
                <w:sz w:val="14"/>
                <w:szCs w:val="14"/>
                <w:b w:val="1"/>
                <w:bCs w:val="1"/>
                <w:color w:val="auto"/>
                <w:w w:val="91"/>
              </w:rPr>
              <w:t>December 31, 2014</w:t>
            </w: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6"/>
          </w:tcPr>
          <w:p>
            <w:pPr>
              <w:jc w:val="center"/>
              <w:ind w:left="95"/>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80" w:type="dxa"/>
            <w:vAlign w:val="bottom"/>
          </w:tcPr>
          <w:p>
            <w:pPr>
              <w:spacing w:after="0"/>
              <w:rPr>
                <w:sz w:val="10"/>
                <w:szCs w:val="10"/>
                <w:color w:val="auto"/>
              </w:rPr>
            </w:pPr>
          </w:p>
        </w:tc>
        <w:tc>
          <w:tcPr>
            <w:tcW w:w="1120" w:type="dxa"/>
            <w:vAlign w:val="bottom"/>
            <w:gridSpan w:val="4"/>
            <w:vMerge w:val="restart"/>
          </w:tcPr>
          <w:p>
            <w:pPr>
              <w:jc w:val="center"/>
              <w:ind w:right="208"/>
              <w:spacing w:after="0"/>
              <w:rPr>
                <w:sz w:val="20"/>
                <w:szCs w:val="20"/>
                <w:color w:val="auto"/>
              </w:rPr>
            </w:pPr>
            <w:r>
              <w:rPr>
                <w:rFonts w:ascii="Arial" w:cs="Arial" w:eastAsia="Arial" w:hAnsi="Arial"/>
                <w:sz w:val="14"/>
                <w:szCs w:val="14"/>
                <w:b w:val="1"/>
                <w:bCs w:val="1"/>
                <w:color w:val="auto"/>
                <w:w w:val="91"/>
              </w:rPr>
              <w:t>Equity based</w:t>
            </w:r>
          </w:p>
        </w:tc>
        <w:tc>
          <w:tcPr>
            <w:tcW w:w="100" w:type="dxa"/>
            <w:vAlign w:val="bottom"/>
          </w:tcPr>
          <w:p>
            <w:pPr>
              <w:spacing w:after="0"/>
              <w:rPr>
                <w:sz w:val="10"/>
                <w:szCs w:val="10"/>
                <w:color w:val="auto"/>
              </w:rPr>
            </w:pPr>
          </w:p>
        </w:tc>
        <w:tc>
          <w:tcPr>
            <w:tcW w:w="1240" w:type="dxa"/>
            <w:vAlign w:val="bottom"/>
            <w:gridSpan w:val="5"/>
          </w:tcPr>
          <w:p>
            <w:pPr>
              <w:jc w:val="right"/>
              <w:ind w:right="260"/>
              <w:spacing w:after="0" w:line="119" w:lineRule="exact"/>
              <w:rPr>
                <w:sz w:val="20"/>
                <w:szCs w:val="20"/>
                <w:color w:val="auto"/>
              </w:rPr>
            </w:pPr>
            <w:r>
              <w:rPr>
                <w:rFonts w:ascii="Arial" w:cs="Arial" w:eastAsia="Arial" w:hAnsi="Arial"/>
                <w:sz w:val="13"/>
                <w:szCs w:val="13"/>
                <w:b w:val="1"/>
                <w:bCs w:val="1"/>
                <w:color w:val="auto"/>
              </w:rPr>
              <w:t>Changes in fair</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5"/>
          </w:tcPr>
          <w:p>
            <w:pPr>
              <w:ind w:left="180"/>
              <w:spacing w:after="0" w:line="149" w:lineRule="exact"/>
              <w:rPr>
                <w:sz w:val="20"/>
                <w:szCs w:val="20"/>
                <w:color w:val="auto"/>
              </w:rPr>
            </w:pPr>
            <w:r>
              <w:rPr>
                <w:rFonts w:ascii="Arial" w:cs="Arial" w:eastAsia="Arial" w:hAnsi="Arial"/>
                <w:sz w:val="14"/>
                <w:szCs w:val="14"/>
                <w:b w:val="1"/>
                <w:bCs w:val="1"/>
                <w:color w:val="auto"/>
              </w:rPr>
              <w:t>purchased</w:t>
            </w:r>
          </w:p>
        </w:tc>
        <w:tc>
          <w:tcPr>
            <w:tcW w:w="18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value of certain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160" w:type="dxa"/>
            <w:vAlign w:val="bottom"/>
          </w:tcPr>
          <w:p>
            <w:pPr>
              <w:spacing w:after="0"/>
              <w:rPr>
                <w:sz w:val="12"/>
                <w:szCs w:val="12"/>
                <w:color w:val="auto"/>
              </w:rPr>
            </w:pPr>
          </w:p>
        </w:tc>
        <w:tc>
          <w:tcPr>
            <w:tcW w:w="12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180" w:type="dxa"/>
            <w:vAlign w:val="bottom"/>
          </w:tcPr>
          <w:p>
            <w:pPr>
              <w:spacing w:after="0"/>
              <w:rPr>
                <w:sz w:val="12"/>
                <w:szCs w:val="12"/>
                <w:color w:val="auto"/>
              </w:rPr>
            </w:pPr>
          </w:p>
        </w:tc>
        <w:tc>
          <w:tcPr>
            <w:tcW w:w="1120" w:type="dxa"/>
            <w:vAlign w:val="bottom"/>
            <w:gridSpan w:val="4"/>
          </w:tcPr>
          <w:p>
            <w:pPr>
              <w:jc w:val="center"/>
              <w:ind w:right="208"/>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acquisition-</w:t>
            </w:r>
          </w:p>
        </w:tc>
        <w:tc>
          <w:tcPr>
            <w:tcW w:w="180" w:type="dxa"/>
            <w:vAlign w:val="bottom"/>
          </w:tcPr>
          <w:p>
            <w:pPr>
              <w:spacing w:after="0"/>
              <w:rPr>
                <w:sz w:val="12"/>
                <w:szCs w:val="12"/>
                <w:color w:val="auto"/>
              </w:rPr>
            </w:pPr>
          </w:p>
        </w:tc>
        <w:tc>
          <w:tcPr>
            <w:tcW w:w="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Tax effect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5"/>
          </w:tcPr>
          <w:p>
            <w:pPr>
              <w:ind w:left="200"/>
              <w:spacing w:after="0"/>
              <w:rPr>
                <w:sz w:val="20"/>
                <w:szCs w:val="20"/>
                <w:color w:val="auto"/>
              </w:rPr>
            </w:pPr>
            <w:r>
              <w:rPr>
                <w:rFonts w:ascii="Arial" w:cs="Arial" w:eastAsia="Arial" w:hAnsi="Arial"/>
                <w:sz w:val="14"/>
                <w:szCs w:val="14"/>
                <w:b w:val="1"/>
                <w:bCs w:val="1"/>
                <w:color w:val="auto"/>
              </w:rPr>
              <w:t>and other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328"/>
              <w:spacing w:after="0"/>
              <w:rPr>
                <w:sz w:val="20"/>
                <w:szCs w:val="20"/>
                <w:color w:val="auto"/>
              </w:rPr>
            </w:pPr>
            <w:r>
              <w:rPr>
                <w:rFonts w:ascii="Arial" w:cs="Arial" w:eastAsia="Arial" w:hAnsi="Arial"/>
                <w:sz w:val="14"/>
                <w:szCs w:val="14"/>
                <w:b w:val="1"/>
                <w:bCs w:val="1"/>
                <w:color w:val="auto"/>
                <w:w w:val="85"/>
              </w:rPr>
              <w:t>expense</w:t>
            </w:r>
          </w:p>
        </w:tc>
        <w:tc>
          <w:tcPr>
            <w:tcW w:w="10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related liabilities</w:t>
            </w:r>
          </w:p>
        </w:tc>
        <w:tc>
          <w:tcPr>
            <w:tcW w:w="18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$573,446</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
              <w:spacing w:after="0"/>
              <w:rPr>
                <w:sz w:val="20"/>
                <w:szCs w:val="20"/>
                <w:color w:val="auto"/>
              </w:rPr>
            </w:pPr>
            <w:r>
              <w:rPr>
                <w:rFonts w:ascii="Arial" w:cs="Arial" w:eastAsia="Arial" w:hAnsi="Arial"/>
                <w:sz w:val="18"/>
                <w:szCs w:val="18"/>
                <w:color w:val="auto"/>
              </w:rPr>
              <w:t>(4,244)</w:t>
            </w:r>
          </w:p>
        </w:tc>
        <w:tc>
          <w:tcPr>
            <w:tcW w:w="14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16,556</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$ 585,758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63,641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113,580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8"/>
                <w:szCs w:val="18"/>
                <w:color w:val="auto"/>
              </w:rPr>
              <w:t>(8,717)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104,863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Amortization of purchased intangible assets and other</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14,099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(14,099)</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764,766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(14,099)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16,556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753,325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141,521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14,099</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13,898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(16,556)</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12,075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(975)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130,990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14,099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(20,477)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color w:val="auto"/>
                <w:w w:val="86"/>
              </w:rPr>
              <w:t>975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$ 139,485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91"/>
              </w:rPr>
              <w:t>December 31, 2013</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8"/>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Reconciliation items</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Amortization of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Equity based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ind w:right="268"/>
              <w:spacing w:after="0" w:line="149" w:lineRule="exact"/>
              <w:rPr>
                <w:sz w:val="20"/>
                <w:szCs w:val="20"/>
                <w:color w:val="auto"/>
              </w:rPr>
            </w:pPr>
            <w:r>
              <w:rPr>
                <w:rFonts w:ascii="Arial" w:cs="Arial" w:eastAsia="Arial" w:hAnsi="Arial"/>
                <w:sz w:val="14"/>
                <w:szCs w:val="14"/>
                <w:b w:val="1"/>
                <w:bCs w:val="1"/>
                <w:color w:val="auto"/>
                <w:w w:val="90"/>
              </w:rPr>
              <w:t>purchased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GAAP</w:t>
            </w:r>
          </w:p>
        </w:tc>
        <w:tc>
          <w:tcPr>
            <w:tcW w:w="180" w:type="dxa"/>
            <w:vAlign w:val="bottom"/>
          </w:tcPr>
          <w:p>
            <w:pPr>
              <w:spacing w:after="0"/>
              <w:rPr>
                <w:sz w:val="12"/>
                <w:szCs w:val="12"/>
                <w:color w:val="auto"/>
              </w:rPr>
            </w:pPr>
          </w:p>
        </w:tc>
        <w:tc>
          <w:tcPr>
            <w:tcW w:w="11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6"/>
              </w:rPr>
              <w:t>intangible 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Tax effect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w w:val="97"/>
              </w:rPr>
              <w:t>and 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5"/>
              </w:rPr>
              <w:t>expense</w:t>
            </w:r>
          </w:p>
        </w:tc>
        <w:tc>
          <w:tcPr>
            <w:tcW w:w="18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557,403</w:t>
            </w:r>
          </w:p>
        </w:tc>
        <w:tc>
          <w:tcPr>
            <w:tcW w:w="20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4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(4,554)</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$ 552,849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62,325</w:t>
            </w:r>
          </w:p>
        </w:tc>
        <w:tc>
          <w:tcPr>
            <w:tcW w:w="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(933)</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111,959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(7,478)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104,481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Amortization of purchased intangible assets and other</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11,668</w:t>
            </w:r>
          </w:p>
        </w:tc>
        <w:tc>
          <w:tcPr>
            <w:tcW w:w="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(11,668)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743,355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(11,668)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(12,965)</w:t>
            </w:r>
          </w:p>
        </w:tc>
        <w:tc>
          <w:tcPr>
            <w:tcW w:w="24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718,722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120,690</w:t>
            </w:r>
          </w:p>
        </w:tc>
        <w:tc>
          <w:tcPr>
            <w:tcW w:w="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11,668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12,965</w:t>
            </w: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3,504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101,435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 (3,504)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7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6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1,268,573</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1,424,465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Accounts receivable, net, including unbilled of $105,611 and $134,523, respectively</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683,778</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715,837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158,761</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129,713</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2,240,825</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2,423,974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62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284,233</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288,956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2,100,219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2,106,452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348,735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4,974,012</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5,185,277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660" w:type="dxa"/>
            <w:vAlign w:val="bottom"/>
            <w:gridSpan w:val="2"/>
          </w:tcPr>
          <w:p>
            <w:pPr>
              <w:ind w:left="15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790,410</w:t>
            </w:r>
          </w:p>
        </w:tc>
        <w:tc>
          <w:tcPr>
            <w:tcW w:w="40" w:type="dxa"/>
            <w:vAlign w:val="bottom"/>
          </w:tcPr>
          <w:p>
            <w:pPr>
              <w:spacing w:after="0"/>
              <w:rPr>
                <w:sz w:val="18"/>
                <w:szCs w:val="18"/>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785,548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Deferred revenue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149,027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61,956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1,001,393</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1,200,747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553,719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Shareholders’ equity</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3,418,900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3,395,836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6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4,974,012</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5,185,277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1"/>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income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130,990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39,709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13,898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(23,761)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(Gain) loss from short-term interest-bearing investments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32,848</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7,603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10,594</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9,602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(9,049)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15,263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(18,117)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208,413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186,538</w:t>
            </w:r>
          </w:p>
        </w:tc>
        <w:tc>
          <w:tcPr>
            <w:tcW w:w="0" w:type="dxa"/>
            <w:vAlign w:val="bottom"/>
          </w:tcPr>
          <w:p>
            <w:pPr>
              <w:spacing w:after="0"/>
              <w:rPr>
                <w:sz w:val="1"/>
                <w:szCs w:val="1"/>
                <w:color w:val="auto"/>
              </w:rPr>
            </w:pPr>
          </w:p>
        </w:tc>
      </w:tr>
      <w:tr>
        <w:trPr>
          <w:trHeight w:val="223"/>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(36,732)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53,153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(49,255)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(8,099)</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7,309</w:t>
            </w:r>
          </w:p>
        </w:tc>
        <w:tc>
          <w:tcPr>
            <w:tcW w:w="0" w:type="dxa"/>
            <w:vAlign w:val="bottom"/>
          </w:tcPr>
          <w:p>
            <w:pPr>
              <w:spacing w:after="0"/>
              <w:rPr>
                <w:sz w:val="1"/>
                <w:szCs w:val="1"/>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8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(39,940)</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(210,000)</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(101,632)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14,497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(24,291)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Excess tax benefit from equity-based compensation</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1,126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8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(320,303)</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(151,830)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1,103,269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1,014,192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951,439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center"/>
              <w:ind w:left="441"/>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9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Pr>
          <w:p>
            <w:pPr>
              <w:spacing w:after="0"/>
              <w:rPr>
                <w:sz w:val="14"/>
                <w:szCs w:val="14"/>
                <w:color w:val="auto"/>
              </w:rPr>
            </w:pPr>
          </w:p>
        </w:tc>
        <w:tc>
          <w:tcPr>
            <w:tcW w:w="7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89"/>
              </w:rPr>
              <w:t>2014</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$ 647.2</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651.7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Europe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105.3</w:t>
            </w:r>
          </w:p>
        </w:tc>
        <w:tc>
          <w:tcPr>
            <w:tcW w:w="22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8"/>
                <w:szCs w:val="18"/>
                <w:color w:val="auto"/>
              </w:rPr>
            </w:pP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140.7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131.4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902.5</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4"/>
              </w:rPr>
              <w:t>896.9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left="441"/>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10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8"/>
              </w:rPr>
              <w:t>September</w:t>
            </w:r>
          </w:p>
        </w:tc>
        <w:tc>
          <w:tcPr>
            <w:tcW w:w="24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30,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Pr>
          <w:p>
            <w:pPr>
              <w:spacing w:after="0"/>
              <w:rPr>
                <w:sz w:val="14"/>
                <w:szCs w:val="14"/>
                <w:color w:val="auto"/>
              </w:rPr>
            </w:pPr>
          </w:p>
        </w:tc>
        <w:tc>
          <w:tcPr>
            <w:tcW w:w="7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89"/>
              </w:rPr>
              <w:t>2014</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438.0</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426.3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left="441"/>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10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8"/>
              </w:rPr>
              <w:t>September</w:t>
            </w:r>
          </w:p>
        </w:tc>
        <w:tc>
          <w:tcPr>
            <w:tcW w:w="24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30,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Pr>
          <w:p>
            <w:pPr>
              <w:spacing w:after="0"/>
              <w:rPr>
                <w:sz w:val="14"/>
                <w:szCs w:val="14"/>
                <w:color w:val="auto"/>
              </w:rPr>
            </w:pPr>
          </w:p>
        </w:tc>
        <w:tc>
          <w:tcPr>
            <w:tcW w:w="7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89"/>
              </w:rPr>
              <w:t>2014</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Experience Solutions</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$ 870.8</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863.6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Directory</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902.5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896.9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10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8"/>
              </w:rPr>
              <w:t>September</w:t>
            </w:r>
          </w:p>
        </w:tc>
        <w:tc>
          <w:tcPr>
            <w:tcW w:w="24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30,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Pr>
          <w:p>
            <w:pPr>
              <w:spacing w:after="0"/>
              <w:rPr>
                <w:sz w:val="14"/>
                <w:szCs w:val="14"/>
                <w:color w:val="auto"/>
              </w:rPr>
            </w:pPr>
          </w:p>
        </w:tc>
        <w:tc>
          <w:tcPr>
            <w:tcW w:w="7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89"/>
              </w:rPr>
              <w:t>2014</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2,970</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2,940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2019-12-07T04:11:27Z</dcterms:created>
  <dcterms:modified xsi:type="dcterms:W3CDTF">2019-12-07T04:11:27Z</dcterms:modified>
</cp:coreProperties>
</file>