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For the month of December 2009</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jc w:val="center"/>
        <w:ind w:right="-79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0"/>
          <w:szCs w:val="20"/>
          <w:color w:val="auto"/>
        </w:rPr>
      </w:pPr>
    </w:p>
    <w:p>
      <w:pPr>
        <w:ind w:left="4380"/>
        <w:spacing w:after="0" w:line="207" w:lineRule="exact"/>
        <w:tabs>
          <w:tab w:leader="none" w:pos="60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0"/>
          <w:szCs w:val="20"/>
          <w:color w:val="auto"/>
        </w:rPr>
      </w:pPr>
    </w:p>
    <w:p>
      <w:pPr>
        <w:ind w:left="498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205740</wp:posOffset>
            </wp:positionV>
            <wp:extent cx="1414780"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NOTICE OF ANNUAL GENERAL MEETING OF SHAREHOLDERS</w:t>
      </w:r>
    </w:p>
    <w:p>
      <w:pPr>
        <w:spacing w:after="0" w:line="1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TO BE HELD ON THURSDAY, JANUARY 21, 2010</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Shareholders:</w:t>
      </w:r>
    </w:p>
    <w:p>
      <w:pPr>
        <w:spacing w:after="0" w:line="63" w:lineRule="exact"/>
        <w:rPr>
          <w:sz w:val="20"/>
          <w:szCs w:val="20"/>
          <w:color w:val="auto"/>
        </w:rPr>
      </w:pPr>
    </w:p>
    <w:p>
      <w:pPr>
        <w:ind w:left="360" w:right="280" w:firstLine="322"/>
        <w:spacing w:after="0" w:line="277" w:lineRule="auto"/>
        <w:rPr>
          <w:sz w:val="20"/>
          <w:szCs w:val="20"/>
          <w:color w:val="auto"/>
        </w:rPr>
      </w:pPr>
      <w:r>
        <w:rPr>
          <w:rFonts w:ascii="Arial" w:cs="Arial" w:eastAsia="Arial" w:hAnsi="Arial"/>
          <w:sz w:val="18"/>
          <w:szCs w:val="18"/>
          <w:color w:val="auto"/>
        </w:rPr>
        <w:t>The annual general meeting of shareholders of Amdocs Limited will be held at 10:00 a.m., local time, on Thursday, January 21, 2010, at the offices of WilmerHale, 399 Park Avenue, New York, New York, 31st floor, for the following purposes:</w:t>
      </w:r>
    </w:p>
    <w:p>
      <w:pPr>
        <w:spacing w:after="0" w:line="8" w:lineRule="exact"/>
        <w:rPr>
          <w:sz w:val="20"/>
          <w:szCs w:val="20"/>
          <w:color w:val="auto"/>
        </w:rPr>
      </w:pPr>
    </w:p>
    <w:p>
      <w:pPr>
        <w:ind w:left="1320" w:hanging="213"/>
        <w:spacing w:after="0" w:line="308" w:lineRule="auto"/>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13 individuals to serve as directors of Amdocs Limited until the next annual general meeting of shareholders or until his earlier resignation or removal or until his respective successor is elected and qualified (Proposal I);</w:t>
      </w:r>
    </w:p>
    <w:p>
      <w:pPr>
        <w:ind w:left="3360"/>
        <w:spacing w:after="0"/>
        <w:rPr>
          <w:sz w:val="20"/>
          <w:szCs w:val="20"/>
          <w:color w:val="auto"/>
        </w:rPr>
      </w:pPr>
      <w:r>
        <w:rPr>
          <w:rFonts w:ascii="Arial" w:cs="Arial" w:eastAsia="Arial" w:hAnsi="Arial"/>
          <w:sz w:val="18"/>
          <w:szCs w:val="18"/>
          <w:color w:val="auto"/>
        </w:rPr>
        <w:t>Bruce K. Anderson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Charles E. Foster</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Dov Baharav</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Nehemia Lemelbaum</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A. Minicucci</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Giora Yaron</w:t>
      </w:r>
    </w:p>
    <w:p>
      <w:pPr>
        <w:spacing w:after="0" w:line="278" w:lineRule="exact"/>
        <w:rPr>
          <w:sz w:val="20"/>
          <w:szCs w:val="20"/>
          <w:color w:val="auto"/>
        </w:rPr>
      </w:pPr>
    </w:p>
    <w:p>
      <w:pPr>
        <w:ind w:left="1320" w:hanging="213"/>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2009 (Proposal II); and</w:t>
      </w:r>
    </w:p>
    <w:p>
      <w:pPr>
        <w:spacing w:after="0" w:line="252" w:lineRule="exact"/>
        <w:rPr>
          <w:rFonts w:ascii="Arial" w:cs="Arial" w:eastAsia="Arial" w:hAnsi="Arial"/>
          <w:sz w:val="18"/>
          <w:szCs w:val="18"/>
          <w:color w:val="auto"/>
        </w:rPr>
      </w:pPr>
    </w:p>
    <w:p>
      <w:pPr>
        <w:ind w:left="1320" w:hanging="213"/>
        <w:spacing w:after="0" w:line="259"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and approve the appointment of Ernst &amp; Young LLP as our independent registered public accounting firm for the fiscal year ending September 30, 2010, and until the next annual general meeting, and authorize the Audit Committee of the Board of Directors to fix the remuneration of such independent registered public accounting firm in accordance with the nature and extent of its services (Proposal III).</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50" w:lineRule="exact"/>
        <w:rPr>
          <w:sz w:val="20"/>
          <w:szCs w:val="20"/>
          <w:color w:val="auto"/>
        </w:rPr>
      </w:pPr>
    </w:p>
    <w:p>
      <w:pPr>
        <w:ind w:left="360" w:right="460" w:firstLine="322"/>
        <w:spacing w:after="0" w:line="308" w:lineRule="auto"/>
        <w:rPr>
          <w:sz w:val="20"/>
          <w:szCs w:val="20"/>
          <w:color w:val="auto"/>
        </w:rPr>
      </w:pPr>
      <w:r>
        <w:rPr>
          <w:rFonts w:ascii="Arial" w:cs="Arial" w:eastAsia="Arial" w:hAnsi="Arial"/>
          <w:sz w:val="17"/>
          <w:szCs w:val="17"/>
          <w:color w:val="auto"/>
        </w:rPr>
        <w:t>The Board of Directors has fixed the close of business on November 23, 2009 as the record date for the determination of our shareholders entitled to notice of, and to vote on the matters proposed at, the annual general meeting and any adjournments thereof.</w:t>
      </w:r>
    </w:p>
    <w:p>
      <w:pPr>
        <w:spacing w:after="0" w:line="4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YOUR VOTE IS IMPORTANT</w:t>
      </w:r>
    </w:p>
    <w:p>
      <w:pPr>
        <w:spacing w:after="0" w:line="135" w:lineRule="exact"/>
        <w:rPr>
          <w:sz w:val="20"/>
          <w:szCs w:val="20"/>
          <w:color w:val="auto"/>
        </w:rPr>
      </w:pPr>
    </w:p>
    <w:p>
      <w:pPr>
        <w:ind w:left="360" w:right="20"/>
        <w:spacing w:after="0" w:line="273" w:lineRule="auto"/>
        <w:rPr>
          <w:sz w:val="20"/>
          <w:szCs w:val="20"/>
          <w:color w:val="auto"/>
        </w:rPr>
      </w:pPr>
      <w:r>
        <w:rPr>
          <w:rFonts w:ascii="Arial" w:cs="Arial" w:eastAsia="Arial" w:hAnsi="Arial"/>
          <w:sz w:val="17"/>
          <w:szCs w:val="17"/>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57785</wp:posOffset>
            </wp:positionV>
            <wp:extent cx="197231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23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HOMAS</w:t>
      </w:r>
      <w:r>
        <w:rPr>
          <w:rFonts w:ascii="Arial" w:cs="Arial" w:eastAsia="Arial" w:hAnsi="Arial"/>
          <w:sz w:val="18"/>
          <w:szCs w:val="18"/>
          <w:color w:val="auto"/>
        </w:rPr>
        <w:t xml:space="preserve"> G. O’B</w:t>
      </w:r>
      <w:r>
        <w:rPr>
          <w:rFonts w:ascii="Arial" w:cs="Arial" w:eastAsia="Arial" w:hAnsi="Arial"/>
          <w:sz w:val="12"/>
          <w:szCs w:val="12"/>
          <w:color w:val="auto"/>
        </w:rPr>
        <w:t>RIEN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Secretary and Treasurer</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December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220980</wp:posOffset>
            </wp:positionV>
            <wp:extent cx="1020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60" w:right="220"/>
        <w:spacing w:after="0" w:line="276" w:lineRule="auto"/>
        <w:rPr>
          <w:sz w:val="20"/>
          <w:szCs w:val="20"/>
          <w:color w:val="auto"/>
        </w:rPr>
      </w:pPr>
      <w:r>
        <w:rPr>
          <w:rFonts w:ascii="Arial" w:cs="Arial" w:eastAsia="Arial" w:hAnsi="Arial"/>
          <w:sz w:val="17"/>
          <w:szCs w:val="17"/>
          <w:i w:val="1"/>
          <w:iCs w:val="1"/>
          <w:color w:val="auto"/>
        </w:rPr>
        <w:t>A proxy card for the annual general meeting for the fiscal year ended September 30, 2009 is enclosed and our Annual Report on Form 20-F is available on our website at www.amdocs.com/proxy or by request. 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If, within 30 minutes from the appointed time for the meeting, a quorum is not present, the meeting if convened by or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19"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86" w:lineRule="auto"/>
        <w:rPr>
          <w:sz w:val="20"/>
          <w:szCs w:val="20"/>
          <w:color w:val="auto"/>
        </w:rPr>
      </w:pPr>
      <w:r>
        <w:rPr>
          <w:rFonts w:ascii="Arial" w:cs="Arial" w:eastAsia="Arial" w:hAnsi="Arial"/>
          <w:sz w:val="17"/>
          <w:szCs w:val="17"/>
          <w:i w:val="1"/>
          <w:iCs w:val="1"/>
          <w:color w:val="auto"/>
        </w:rPr>
        <w:t>a requisition shall be dissolved. If otherwise convened, it shall stand adjourned for seven days at the same time and place or to such other day and at such other time and place as the Board of Directors may determine and no notice of adjournment need be given. At that meeting, those shareholders present in person or by proxy will form a quorum whatever their number and the number of shares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419" w:right="7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PROXY STATEMENT</w:t>
        </w:r>
      </w:hyperlink>
    </w:p>
    <w:p>
      <w:pPr>
        <w:spacing w:after="0" w:line="238"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PROPOSAL I ELECTION OF DIRECTORS</w:t>
        </w:r>
      </w:hyperlink>
    </w:p>
    <w:p>
      <w:pPr>
        <w:spacing w:after="0"/>
        <w:rPr>
          <w:rFonts w:ascii="Arial" w:cs="Arial" w:eastAsia="Arial" w:hAnsi="Arial"/>
          <w:sz w:val="19"/>
          <w:szCs w:val="19"/>
          <w:u w:val="single" w:color="auto"/>
          <w:color w:val="0000EE"/>
        </w:rPr>
      </w:pPr>
      <w:hyperlink w:anchor="page15">
        <w:r>
          <w:rPr>
            <w:rFonts w:ascii="Arial" w:cs="Arial" w:eastAsia="Arial" w:hAnsi="Arial"/>
            <w:sz w:val="19"/>
            <w:szCs w:val="19"/>
            <w:u w:val="single" w:color="auto"/>
            <w:color w:val="0000EE"/>
          </w:rPr>
          <w:t>SECURITY OWNERSHIP OF CERTAIN BENEFICIAL OWNERS AND MANAGEMENT</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AUDIT COMMITTEE MATTERS</w:t>
        </w:r>
      </w:hyperlink>
    </w:p>
    <w:p>
      <w:pPr>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PROPOSAL II</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PROPOSAL III</w:t>
        </w:r>
      </w:hyperlink>
    </w:p>
    <w:p>
      <w:pPr>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MISCELLANEOUS</w:t>
        </w:r>
      </w:hyperlink>
    </w:p>
    <w:p>
      <w:pPr>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CATEGORICAL STANDARDS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130810</wp:posOffset>
            </wp:positionV>
            <wp:extent cx="630745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AMDOCS LIMITED</w:t>
      </w:r>
    </w:p>
    <w:p>
      <w:pPr>
        <w:spacing w:after="0" w:line="181"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PROXY STATEMENT</w:t>
      </w:r>
    </w:p>
    <w:p>
      <w:pPr>
        <w:spacing w:after="0" w:line="166" w:lineRule="exact"/>
        <w:rPr>
          <w:sz w:val="20"/>
          <w:szCs w:val="20"/>
          <w:color w:val="auto"/>
        </w:rPr>
      </w:pPr>
    </w:p>
    <w:p>
      <w:pPr>
        <w:ind w:left="2280"/>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THURSDAY, JANUARY 21, 2010</w:t>
      </w:r>
    </w:p>
    <w:p>
      <w:pPr>
        <w:spacing w:after="0" w:line="101" w:lineRule="exact"/>
        <w:rPr>
          <w:sz w:val="20"/>
          <w:szCs w:val="20"/>
          <w:color w:val="auto"/>
        </w:rPr>
      </w:pPr>
    </w:p>
    <w:p>
      <w:pPr>
        <w:ind w:right="100" w:firstLine="397"/>
        <w:spacing w:after="0" w:line="277"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76" w:lineRule="exact"/>
        <w:rPr>
          <w:sz w:val="20"/>
          <w:szCs w:val="20"/>
          <w:color w:val="auto"/>
        </w:rPr>
      </w:pPr>
    </w:p>
    <w:p>
      <w:pPr>
        <w:ind w:right="180" w:firstLine="397"/>
        <w:spacing w:after="0" w:line="257" w:lineRule="auto"/>
        <w:rPr>
          <w:sz w:val="20"/>
          <w:szCs w:val="20"/>
          <w:color w:val="auto"/>
        </w:rPr>
      </w:pPr>
      <w:r>
        <w:rPr>
          <w:rFonts w:ascii="Arial" w:cs="Arial" w:eastAsia="Arial" w:hAnsi="Arial"/>
          <w:sz w:val="18"/>
          <w:szCs w:val="18"/>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10:00 a.m., local time, on Thursday, January 21, 2010, at the offices of WilmerHale, 399 Park Avenue, New York, New York, 31st floor, or at any adjournments thereof (the “General Meeting”).</w:t>
      </w:r>
    </w:p>
    <w:p>
      <w:pPr>
        <w:spacing w:after="0" w:line="94"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This Proxy Statement and the accompanying proxy are first being mailed or delivered to our shareholders on or about December 18, 2009.</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the General Meeting, the holders of our ordinary shares as of the close of business on November 23, 2009 (the “Record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will be asked to take the following actions:</w:t>
      </w:r>
    </w:p>
    <w:p>
      <w:pPr>
        <w:spacing w:after="0" w:line="62" w:lineRule="exact"/>
        <w:rPr>
          <w:sz w:val="20"/>
          <w:szCs w:val="20"/>
          <w:color w:val="auto"/>
        </w:rPr>
      </w:pPr>
    </w:p>
    <w:p>
      <w:pPr>
        <w:ind w:left="1080" w:right="600" w:hanging="291"/>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 13 directors to serve until the next annual general meeting of shareholders or until their earlier resignation or removal or successors are elected and qualified (Proposal I);</w:t>
      </w:r>
    </w:p>
    <w:p>
      <w:pPr>
        <w:spacing w:after="0" w:line="8" w:lineRule="exact"/>
        <w:rPr>
          <w:rFonts w:ascii="Arial" w:cs="Arial" w:eastAsia="Arial" w:hAnsi="Arial"/>
          <w:sz w:val="18"/>
          <w:szCs w:val="18"/>
          <w:color w:val="auto"/>
        </w:rPr>
      </w:pPr>
    </w:p>
    <w:p>
      <w:pPr>
        <w:ind w:left="1080" w:hanging="291"/>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Approve our Consolidated Financial Statements for the fiscal year ended September 30, 2009 (Proposal II); and</w:t>
      </w:r>
    </w:p>
    <w:p>
      <w:pPr>
        <w:spacing w:after="0" w:line="74" w:lineRule="exact"/>
        <w:rPr>
          <w:rFonts w:ascii="Arial" w:cs="Arial" w:eastAsia="Arial" w:hAnsi="Arial"/>
          <w:sz w:val="17"/>
          <w:szCs w:val="17"/>
          <w:color w:val="auto"/>
        </w:rPr>
      </w:pPr>
    </w:p>
    <w:p>
      <w:pPr>
        <w:jc w:val="both"/>
        <w:ind w:left="1080" w:right="180" w:hanging="291"/>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and approve the appointment of Ernst &amp; Young LLP as our independent registered public accounting firm for the fiscal year ending September 30, 2010, and until the next annual general meeting, and authorize the Audit Committee of the Board of Directors to fix the remuneration of such independent registered public accounting firm in accordance with the nature and extent of its services (Proposal III).</w:t>
      </w:r>
    </w:p>
    <w:p>
      <w:pPr>
        <w:spacing w:after="0" w:line="92" w:lineRule="exact"/>
        <w:rPr>
          <w:sz w:val="20"/>
          <w:szCs w:val="20"/>
          <w:color w:val="auto"/>
        </w:rPr>
      </w:pPr>
    </w:p>
    <w:p>
      <w:pPr>
        <w:ind w:right="160" w:firstLine="397"/>
        <w:spacing w:after="0" w:line="302" w:lineRule="auto"/>
        <w:rPr>
          <w:sz w:val="20"/>
          <w:szCs w:val="20"/>
          <w:color w:val="auto"/>
        </w:rPr>
      </w:pPr>
      <w:r>
        <w:rPr>
          <w:rFonts w:ascii="Arial" w:cs="Arial" w:eastAsia="Arial" w:hAnsi="Arial"/>
          <w:sz w:val="16"/>
          <w:szCs w:val="16"/>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60"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As of the Record Date, Amdocs had outstanding 205,612,198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84"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Approval of Proposals I, II and III requires the affirmative vote of a majority of our ordinary shares voted in person or by proxy at the General Meeting.</w:t>
      </w:r>
    </w:p>
    <w:p>
      <w:pPr>
        <w:spacing w:after="0" w:line="76"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The enclosed proxy provides that each shareholder may specify that his, her or its ordinary shares be voted “for”, “against” or “abstain” from voting with respect to each of Proposals II and III. Each shareholder may specify that his, her or its ordinary shares may be voted “for” any of the director nominees named in Proposal I, or they may be “withheld” from any such nominees. If proxies in the accompanying form are properly executed and returned, the ordinary shares represented thereby will be voted in the manner specified therein. If not otherwise specified, in the reasonable discretion of the proxyholders, the ordinary shares represented by a proxy will be voted FOR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129540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firstLine="322"/>
        <w:spacing w:after="0" w:line="293"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70" w:lineRule="exact"/>
        <w:rPr>
          <w:sz w:val="20"/>
          <w:szCs w:val="20"/>
          <w:color w:val="auto"/>
        </w:rPr>
      </w:pPr>
    </w:p>
    <w:p>
      <w:pPr>
        <w:ind w:left="360" w:right="140" w:firstLine="322"/>
        <w:spacing w:after="0" w:line="276" w:lineRule="auto"/>
        <w:rPr>
          <w:sz w:val="20"/>
          <w:szCs w:val="20"/>
          <w:color w:val="auto"/>
        </w:rPr>
      </w:pPr>
      <w:r>
        <w:rPr>
          <w:rFonts w:ascii="Arial" w:cs="Arial" w:eastAsia="Arial" w:hAnsi="Arial"/>
          <w:sz w:val="17"/>
          <w:szCs w:val="17"/>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on or before January 20, 2010. We strongly encourage our shareholders to use the enclosed proxy card or to authorize the voting of their shares over the Internet or by telephone as provided in the instructions set forth in the enclosed proxy card.</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131" w:lineRule="exact"/>
        <w:rPr>
          <w:sz w:val="20"/>
          <w:szCs w:val="20"/>
          <w:color w:val="auto"/>
        </w:rPr>
      </w:pPr>
    </w:p>
    <w:p>
      <w:pPr>
        <w:ind w:left="900" w:right="100" w:hanging="22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78" w:lineRule="exact"/>
        <w:rPr>
          <w:rFonts w:ascii="Arial" w:cs="Arial" w:eastAsia="Arial" w:hAnsi="Arial"/>
          <w:sz w:val="18"/>
          <w:szCs w:val="18"/>
          <w:color w:val="auto"/>
        </w:rPr>
      </w:pPr>
    </w:p>
    <w:p>
      <w:pPr>
        <w:ind w:left="900" w:right="680" w:hanging="22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132715</wp:posOffset>
            </wp:positionV>
            <wp:extent cx="6598920" cy="1547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920" cy="15474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left="980" w:right="170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JANUARY 21, 2010</w:t>
      </w:r>
    </w:p>
    <w:p>
      <w:pPr>
        <w:spacing w:after="0" w:line="82" w:lineRule="exact"/>
        <w:rPr>
          <w:sz w:val="20"/>
          <w:szCs w:val="20"/>
          <w:color w:val="auto"/>
        </w:rPr>
      </w:pPr>
    </w:p>
    <w:p>
      <w:pPr>
        <w:ind w:left="4940" w:right="260" w:hanging="3515"/>
        <w:spacing w:after="0" w:line="282" w:lineRule="auto"/>
        <w:rPr>
          <w:sz w:val="20"/>
          <w:szCs w:val="20"/>
          <w:color w:val="auto"/>
        </w:rPr>
      </w:pPr>
      <w:r>
        <w:rPr>
          <w:rFonts w:ascii="Arial" w:cs="Arial" w:eastAsia="Arial" w:hAnsi="Arial"/>
          <w:sz w:val="18"/>
          <w:szCs w:val="18"/>
          <w:b w:val="1"/>
          <w:bCs w:val="1"/>
          <w:color w:val="auto"/>
        </w:rPr>
        <w:t>This proxy statement and the 2009 Annual Report to Shareholders are available for viewing, printing and downloading at www.amdocs.com/proxy.</w:t>
      </w:r>
    </w:p>
    <w:p>
      <w:pPr>
        <w:spacing w:after="0" w:line="67" w:lineRule="exact"/>
        <w:rPr>
          <w:sz w:val="20"/>
          <w:szCs w:val="20"/>
          <w:color w:val="auto"/>
        </w:rPr>
      </w:pPr>
    </w:p>
    <w:p>
      <w:pPr>
        <w:ind w:left="940" w:right="180" w:firstLine="562"/>
        <w:spacing w:after="0" w:line="293" w:lineRule="auto"/>
        <w:rPr>
          <w:sz w:val="20"/>
          <w:szCs w:val="20"/>
          <w:color w:val="auto"/>
        </w:rPr>
      </w:pPr>
      <w:r>
        <w:rPr>
          <w:rFonts w:ascii="Arial" w:cs="Arial" w:eastAsia="Arial" w:hAnsi="Arial"/>
          <w:sz w:val="16"/>
          <w:szCs w:val="16"/>
          <w:b w:val="1"/>
          <w:bCs w:val="1"/>
          <w:color w:val="auto"/>
        </w:rPr>
        <w:t>You may also request a copy of the materials relating to our annual general meeting, including this proxy statement and form of proxy for our annual general meeting and our Annual Report on Form 20-F for the fiscal year ended September 30, 2009</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by contacting our investor relations department by telephone at (314) 212-8328 or by e-mail at dox_info@amdocs.com.</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IMPORTANT</w:t>
      </w:r>
    </w:p>
    <w:p>
      <w:pPr>
        <w:spacing w:after="0" w:line="131" w:lineRule="exact"/>
        <w:rPr>
          <w:sz w:val="20"/>
          <w:szCs w:val="20"/>
          <w:color w:val="auto"/>
        </w:rPr>
      </w:pPr>
    </w:p>
    <w:p>
      <w:pPr>
        <w:jc w:val="both"/>
        <w:ind w:left="700" w:right="500" w:firstLine="397"/>
        <w:spacing w:after="0" w:line="303" w:lineRule="auto"/>
        <w:rPr>
          <w:sz w:val="20"/>
          <w:szCs w:val="20"/>
          <w:color w:val="auto"/>
        </w:rPr>
      </w:pPr>
      <w:r>
        <w:rPr>
          <w:rFonts w:ascii="Arial" w:cs="Arial" w:eastAsia="Arial" w:hAnsi="Arial"/>
          <w:sz w:val="16"/>
          <w:szCs w:val="16"/>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41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I</w:t>
      </w:r>
    </w:p>
    <w:p>
      <w:pPr>
        <w:spacing w:after="0" w:line="13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Our Board of Directors is comprised of 13 directors, and, currently 13 individuals are serving as directors. As set forth below, the Board of Directors has nominated 13 individuals as nominees for election as directors at the General Meeting, all of whom are incumbent directors and one of whom was appointed by our Board in July 2009. Each director elected at the General Meeting will serve until the next annual general meeting of shareholders or until his earlier resignation or removal or a successor is elected and qualified.</w:t>
      </w:r>
    </w:p>
    <w:p>
      <w:pPr>
        <w:spacing w:after="0" w:line="60"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Ordinary shares represented by proxies returned duly executed will be voted, unless otherwise specified, in favor of the 13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77"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6940" w:type="dxa"/>
            <w:vAlign w:val="bottom"/>
          </w:tcPr>
          <w:p>
            <w:pPr>
              <w:spacing w:after="0"/>
              <w:rPr>
                <w:sz w:val="16"/>
                <w:szCs w:val="16"/>
                <w:color w:val="auto"/>
              </w:rPr>
            </w:pPr>
          </w:p>
        </w:tc>
      </w:tr>
      <w:tr>
        <w:trPr>
          <w:trHeight w:val="249"/>
        </w:trPr>
        <w:tc>
          <w:tcPr>
            <w:tcW w:w="2020" w:type="dxa"/>
            <w:vAlign w:val="bottom"/>
          </w:tcPr>
          <w:p>
            <w:pPr>
              <w:spacing w:after="0"/>
              <w:rPr>
                <w:sz w:val="20"/>
                <w:szCs w:val="20"/>
                <w:color w:val="auto"/>
              </w:rPr>
            </w:pPr>
            <w:r>
              <w:rPr>
                <w:rFonts w:ascii="Arial" w:cs="Arial" w:eastAsia="Arial" w:hAnsi="Arial"/>
                <w:sz w:val="18"/>
                <w:szCs w:val="18"/>
                <w:color w:val="auto"/>
              </w:rPr>
              <w:t>Bruce K. Anderson</w:t>
            </w:r>
          </w:p>
        </w:tc>
        <w:tc>
          <w:tcPr>
            <w:tcW w:w="86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69</w:t>
            </w:r>
          </w:p>
        </w:tc>
        <w:tc>
          <w:tcPr>
            <w:tcW w:w="6940" w:type="dxa"/>
            <w:vAlign w:val="bottom"/>
          </w:tcPr>
          <w:p>
            <w:pPr>
              <w:ind w:left="300"/>
              <w:spacing w:after="0"/>
              <w:rPr>
                <w:sz w:val="20"/>
                <w:szCs w:val="20"/>
                <w:color w:val="auto"/>
              </w:rPr>
            </w:pPr>
            <w:r>
              <w:rPr>
                <w:rFonts w:ascii="Arial" w:cs="Arial" w:eastAsia="Arial" w:hAnsi="Arial"/>
                <w:sz w:val="18"/>
                <w:szCs w:val="18"/>
                <w:color w:val="auto"/>
                <w:w w:val="94"/>
              </w:rPr>
              <w:t>Mr. Anderson has been Chairman of the Board of Directors of Amdocs since September</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6"/>
              </w:rPr>
              <w:t>1997. Since August 1978, Mr. Anderson has been a general partner of Welsh, Carson,</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7"/>
              </w:rPr>
              <w:t>Anderson &amp; Stowe (“WCAS”), an investment firm that specializes in the acquisition of</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8"/>
              </w:rPr>
              <w:t>companies in the information and business services and health care industries. Until</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0"/>
              </w:rPr>
              <w:t>September 2003, investment partnerships affiliated with WCAS had been among our largest</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4"/>
              </w:rPr>
              <w:t>shareholders. Mr. Anderson served for nine years with Automated Data Processing, Inc.</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9"/>
              </w:rPr>
              <w:t>(“ADP”) until his resignation as Executive Vice President and a director of ADP, and</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1"/>
              </w:rPr>
              <w:t>President of ADP International, effective August 1978. Mr. Anderson serves on the board of</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2"/>
              </w:rPr>
              <w:t>Alliance Data Systems, Inc., a publicly-held company that provides transaction, credit and</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rPr>
              <w:t>marketing services to large consumer based businesses.</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Adrian Gardner</w:t>
            </w:r>
          </w:p>
        </w:tc>
        <w:tc>
          <w:tcPr>
            <w:tcW w:w="86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47</w:t>
            </w:r>
          </w:p>
        </w:tc>
        <w:tc>
          <w:tcPr>
            <w:tcW w:w="6940" w:type="dxa"/>
            <w:vAlign w:val="bottom"/>
          </w:tcPr>
          <w:p>
            <w:pPr>
              <w:ind w:left="300"/>
              <w:spacing w:after="0"/>
              <w:rPr>
                <w:sz w:val="20"/>
                <w:szCs w:val="20"/>
                <w:color w:val="auto"/>
              </w:rPr>
            </w:pPr>
            <w:r>
              <w:rPr>
                <w:rFonts w:ascii="Arial" w:cs="Arial" w:eastAsia="Arial" w:hAnsi="Arial"/>
                <w:sz w:val="18"/>
                <w:szCs w:val="18"/>
                <w:color w:val="auto"/>
                <w:w w:val="93"/>
              </w:rPr>
              <w:t>Mr. Gardner has been a director of Amdocs since April 1998 and is Chairman of the Audit</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5"/>
              </w:rPr>
              <w:t>Committee. Since November 2007, Mr. Gardner has been Chief Financial Officer of PA</w:t>
            </w:r>
          </w:p>
        </w:tc>
      </w:tr>
      <w:tr>
        <w:trPr>
          <w:trHeight w:val="216"/>
        </w:trPr>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5"/>
              </w:rPr>
              <w:t>Consulting Group, a London-based business consulting firm. From April until November</w:t>
            </w:r>
          </w:p>
        </w:tc>
      </w:tr>
      <w:tr>
        <w:trPr>
          <w:trHeight w:val="230"/>
        </w:trPr>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40" w:type="dxa"/>
            <w:vAlign w:val="bottom"/>
          </w:tcPr>
          <w:p>
            <w:pPr>
              <w:ind w:left="300"/>
              <w:spacing w:after="0"/>
              <w:rPr>
                <w:sz w:val="20"/>
                <w:szCs w:val="20"/>
                <w:color w:val="auto"/>
              </w:rPr>
            </w:pPr>
            <w:r>
              <w:rPr>
                <w:rFonts w:ascii="Arial" w:cs="Arial" w:eastAsia="Arial" w:hAnsi="Arial"/>
                <w:sz w:val="18"/>
                <w:szCs w:val="18"/>
                <w:color w:val="auto"/>
                <w:w w:val="98"/>
              </w:rPr>
              <w:t>2007, Mr. Gardner was a private investor. Mr. Gardner was Chief Financial Officer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-1963420</wp:posOffset>
            </wp:positionV>
            <wp:extent cx="17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ind w:left="3880" w:right="20"/>
        <w:spacing w:after="0" w:line="269" w:lineRule="auto"/>
        <w:rPr>
          <w:sz w:val="20"/>
          <w:szCs w:val="20"/>
          <w:color w:val="auto"/>
        </w:rPr>
      </w:pPr>
      <w:r>
        <w:rPr>
          <w:rFonts w:ascii="Arial" w:cs="Arial" w:eastAsia="Arial" w:hAnsi="Arial"/>
          <w:sz w:val="17"/>
          <w:szCs w:val="17"/>
          <w:color w:val="auto"/>
        </w:rPr>
        <w:t>ProStrakan Group plc, a pharmaceuticals company based in the United Kingdom and listed on the London Stock Exchange, from 2002 until April 2007 and a director from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ind w:left="70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7840" w:type="dxa"/>
            <w:vAlign w:val="bottom"/>
          </w:tcPr>
          <w:p>
            <w:pPr>
              <w:spacing w:after="0"/>
              <w:rPr>
                <w:sz w:val="16"/>
                <w:szCs w:val="16"/>
                <w:color w:val="auto"/>
              </w:rPr>
            </w:pPr>
          </w:p>
        </w:tc>
      </w:tr>
      <w:tr>
        <w:trPr>
          <w:trHeight w:val="249"/>
        </w:trPr>
        <w:tc>
          <w:tcPr>
            <w:tcW w:w="2660" w:type="dxa"/>
            <w:vAlign w:val="bottom"/>
          </w:tcPr>
          <w:p>
            <w:pPr>
              <w:ind w:left="700"/>
              <w:spacing w:after="0"/>
              <w:rPr>
                <w:sz w:val="20"/>
                <w:szCs w:val="20"/>
                <w:color w:val="auto"/>
              </w:rPr>
            </w:pPr>
            <w:r>
              <w:rPr>
                <w:rFonts w:ascii="Arial" w:cs="Arial" w:eastAsia="Arial" w:hAnsi="Arial"/>
                <w:sz w:val="18"/>
                <w:szCs w:val="18"/>
                <w:color w:val="auto"/>
              </w:rPr>
              <w:t>Charles E. Foster</w:t>
            </w:r>
          </w:p>
        </w:tc>
        <w:tc>
          <w:tcPr>
            <w:tcW w:w="92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73</w:t>
            </w:r>
          </w:p>
        </w:tc>
        <w:tc>
          <w:tcPr>
            <w:tcW w:w="7840" w:type="dxa"/>
            <w:vAlign w:val="bottom"/>
          </w:tcPr>
          <w:p>
            <w:pPr>
              <w:ind w:left="300"/>
              <w:spacing w:after="0"/>
              <w:rPr>
                <w:sz w:val="20"/>
                <w:szCs w:val="20"/>
                <w:color w:val="auto"/>
              </w:rPr>
            </w:pPr>
            <w:r>
              <w:rPr>
                <w:rFonts w:ascii="Arial" w:cs="Arial" w:eastAsia="Arial" w:hAnsi="Arial"/>
                <w:sz w:val="18"/>
                <w:szCs w:val="18"/>
                <w:color w:val="auto"/>
              </w:rPr>
              <w:t>Mr. Foster has been a director of Amdocs since December 2001 and is Chairman of the</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Nominating and Corporate Governance Committee. He was Chairman of the Board of</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Prodigy Communications Corporation from June until November 2001. From April 1997</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until June 2001, Mr. Foster served as Group President of SBC, where he was responsible, at</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various times, for engineering, network, centralized services, marketing and operations,</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information systems, procurement, treasury, international operations, wireless services,</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merger integration, real estate, Yellow Pages and cable TV operations. In 2005, SBC</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acquired AT&amp;T Corp. and became AT&amp;T Inc. AT&amp;T is our most significant customer. Mr.</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Foster serves as trustee of the Southwest Foundation for Bio-Medical Research, a non-profit</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research institute. Mr. Foster is a former member of the Texas Society of Professional</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Engineers and a director of Morningside Ministries Foundation, a non-profit operator of</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nursing homes in the San Antonio area.</w:t>
            </w:r>
          </w:p>
        </w:tc>
      </w:tr>
      <w:tr>
        <w:trPr>
          <w:trHeight w:val="216"/>
        </w:trPr>
        <w:tc>
          <w:tcPr>
            <w:tcW w:w="2660" w:type="dxa"/>
            <w:vAlign w:val="bottom"/>
          </w:tcPr>
          <w:p>
            <w:pPr>
              <w:ind w:left="700"/>
              <w:spacing w:after="0"/>
              <w:rPr>
                <w:sz w:val="20"/>
                <w:szCs w:val="20"/>
                <w:color w:val="auto"/>
              </w:rPr>
            </w:pPr>
            <w:r>
              <w:rPr>
                <w:rFonts w:ascii="Arial" w:cs="Arial" w:eastAsia="Arial" w:hAnsi="Arial"/>
                <w:sz w:val="18"/>
                <w:szCs w:val="18"/>
                <w:color w:val="auto"/>
              </w:rPr>
              <w:t>James S. Kahan</w:t>
            </w:r>
          </w:p>
        </w:tc>
        <w:tc>
          <w:tcPr>
            <w:tcW w:w="92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62</w:t>
            </w:r>
          </w:p>
        </w:tc>
        <w:tc>
          <w:tcPr>
            <w:tcW w:w="7840" w:type="dxa"/>
            <w:vAlign w:val="bottom"/>
          </w:tcPr>
          <w:p>
            <w:pPr>
              <w:ind w:left="300"/>
              <w:spacing w:after="0"/>
              <w:rPr>
                <w:sz w:val="20"/>
                <w:szCs w:val="20"/>
                <w:color w:val="auto"/>
              </w:rPr>
            </w:pPr>
            <w:r>
              <w:rPr>
                <w:rFonts w:ascii="Arial" w:cs="Arial" w:eastAsia="Arial" w:hAnsi="Arial"/>
                <w:sz w:val="18"/>
                <w:szCs w:val="18"/>
                <w:color w:val="auto"/>
              </w:rPr>
              <w:t>Mr. Kahan has been a director of Amdocs since April 1998 and is Chairman of the</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Compensation Committee, and a member of the Executive and Nominating and Corporate</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Governance Committees. From 1983 until his June 2007 retirement, he worked at SBC,</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which is now AT&amp;T, and served as a Senior Executive Vice President from 1992 until June</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2007. AT&amp;T is our most significant customer. Prior to joining AT&amp;T, Mr. Kahan held</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various positions at several telecommunications companies, including Western Electric, Bell</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Laboratories, South Central Bell and AT&amp;T Corp. Mr. Kahan also serves on the Board of</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Directors of Live Nation, Inc., the world’s largest producer of live music concerts and events.</w:t>
            </w:r>
          </w:p>
        </w:tc>
      </w:tr>
      <w:tr>
        <w:trPr>
          <w:trHeight w:val="216"/>
        </w:trPr>
        <w:tc>
          <w:tcPr>
            <w:tcW w:w="2660" w:type="dxa"/>
            <w:vAlign w:val="bottom"/>
          </w:tcPr>
          <w:p>
            <w:pPr>
              <w:ind w:left="700"/>
              <w:spacing w:after="0"/>
              <w:rPr>
                <w:sz w:val="20"/>
                <w:szCs w:val="20"/>
                <w:color w:val="auto"/>
              </w:rPr>
            </w:pPr>
            <w:r>
              <w:rPr>
                <w:rFonts w:ascii="Arial" w:cs="Arial" w:eastAsia="Arial" w:hAnsi="Arial"/>
                <w:sz w:val="18"/>
                <w:szCs w:val="18"/>
                <w:color w:val="auto"/>
              </w:rPr>
              <w:t>Zohar Zisapel</w:t>
            </w:r>
          </w:p>
        </w:tc>
        <w:tc>
          <w:tcPr>
            <w:tcW w:w="92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60</w:t>
            </w:r>
          </w:p>
        </w:tc>
        <w:tc>
          <w:tcPr>
            <w:tcW w:w="7840" w:type="dxa"/>
            <w:vAlign w:val="bottom"/>
          </w:tcPr>
          <w:p>
            <w:pPr>
              <w:ind w:left="300"/>
              <w:spacing w:after="0"/>
              <w:rPr>
                <w:sz w:val="20"/>
                <w:szCs w:val="20"/>
                <w:color w:val="auto"/>
              </w:rPr>
            </w:pPr>
            <w:r>
              <w:rPr>
                <w:rFonts w:ascii="Arial" w:cs="Arial" w:eastAsia="Arial" w:hAnsi="Arial"/>
                <w:sz w:val="18"/>
                <w:szCs w:val="18"/>
                <w:color w:val="auto"/>
              </w:rPr>
              <w:t>Mr. Zisapel has been a director of Amdocs since July 2008 and is the Chairman of the</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Technology and Innovation Committee. Mr. Zisapel co-founded RAD Data Communications</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Ltd. and has been its chairman since 1982, a privately-held voice and data communications</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company and part of the RAD Group, a family of independent networking and</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telecommunications companies. Mr. Zisapel also serves as chairman of Ceragon Networks</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Ltd., RADVision Ltd. and RADCOM Ltd., each of which is a publicly-traded member of the</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RAD Group, as well as on the boards of directors of several privately-held companies. Mr.</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Zisapel previously served as head of the electronics research and development department in</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the Israeli Ministry of Defense from 1978 until 1982 and as chairman of the Israel</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Association of Electronic Industries from 1998 until 2001.</w:t>
            </w:r>
          </w:p>
        </w:tc>
      </w:tr>
      <w:tr>
        <w:trPr>
          <w:trHeight w:val="216"/>
        </w:trPr>
        <w:tc>
          <w:tcPr>
            <w:tcW w:w="2660" w:type="dxa"/>
            <w:vAlign w:val="bottom"/>
          </w:tcPr>
          <w:p>
            <w:pPr>
              <w:ind w:left="700"/>
              <w:spacing w:after="0"/>
              <w:rPr>
                <w:sz w:val="20"/>
                <w:szCs w:val="20"/>
                <w:color w:val="auto"/>
              </w:rPr>
            </w:pPr>
            <w:r>
              <w:rPr>
                <w:rFonts w:ascii="Arial" w:cs="Arial" w:eastAsia="Arial" w:hAnsi="Arial"/>
                <w:sz w:val="18"/>
                <w:szCs w:val="18"/>
                <w:color w:val="auto"/>
              </w:rPr>
              <w:t>Dov Baharav</w:t>
            </w:r>
          </w:p>
        </w:tc>
        <w:tc>
          <w:tcPr>
            <w:tcW w:w="92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59</w:t>
            </w:r>
          </w:p>
        </w:tc>
        <w:tc>
          <w:tcPr>
            <w:tcW w:w="7840" w:type="dxa"/>
            <w:vAlign w:val="bottom"/>
          </w:tcPr>
          <w:p>
            <w:pPr>
              <w:ind w:left="300"/>
              <w:spacing w:after="0"/>
              <w:rPr>
                <w:sz w:val="20"/>
                <w:szCs w:val="20"/>
                <w:color w:val="auto"/>
              </w:rPr>
            </w:pPr>
            <w:r>
              <w:rPr>
                <w:rFonts w:ascii="Arial" w:cs="Arial" w:eastAsia="Arial" w:hAnsi="Arial"/>
                <w:sz w:val="18"/>
                <w:szCs w:val="18"/>
                <w:color w:val="auto"/>
              </w:rPr>
              <w:t>Mr. Baharav has been a director of Amdocs and the President and Chief Executive Officer of</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Amdocs Management Limited, our wholly-owned subsidiary, since July 2002. Mr. Baharav</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has overall coordination responsibilities for the operations and activities of our operating</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subsidiaries. In 1991, Mr. Baharav joined Amdocs, Inc., our principal wholly-owned U.S.</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subsidiary, serving as its Vice President and then President in St. Louis, Missouri until 1995.</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From 1995 until July 2002, Mr. Baharav was a Senior Vice President and the Chief Financial</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Officer of Amdocs Management Limited. Prior to joining Amdocs, Mr. Baharav served as</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Chief Operating Officer of Optrotech Ltd., a publicly-held company that develops,</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manufactures and markets electro-optical devices.</w:t>
            </w:r>
          </w:p>
        </w:tc>
      </w:tr>
      <w:tr>
        <w:trPr>
          <w:trHeight w:val="216"/>
        </w:trPr>
        <w:tc>
          <w:tcPr>
            <w:tcW w:w="2660" w:type="dxa"/>
            <w:vAlign w:val="bottom"/>
          </w:tcPr>
          <w:p>
            <w:pPr>
              <w:ind w:left="700"/>
              <w:spacing w:after="0"/>
              <w:rPr>
                <w:sz w:val="20"/>
                <w:szCs w:val="20"/>
                <w:color w:val="auto"/>
              </w:rPr>
            </w:pPr>
            <w:r>
              <w:rPr>
                <w:rFonts w:ascii="Arial" w:cs="Arial" w:eastAsia="Arial" w:hAnsi="Arial"/>
                <w:sz w:val="18"/>
                <w:szCs w:val="18"/>
                <w:color w:val="auto"/>
              </w:rPr>
              <w:t>Julian A. Brodsky</w:t>
            </w:r>
          </w:p>
        </w:tc>
        <w:tc>
          <w:tcPr>
            <w:tcW w:w="92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76</w:t>
            </w:r>
          </w:p>
        </w:tc>
        <w:tc>
          <w:tcPr>
            <w:tcW w:w="7840" w:type="dxa"/>
            <w:vAlign w:val="bottom"/>
          </w:tcPr>
          <w:p>
            <w:pPr>
              <w:ind w:left="300"/>
              <w:spacing w:after="0"/>
              <w:rPr>
                <w:sz w:val="20"/>
                <w:szCs w:val="20"/>
                <w:color w:val="auto"/>
              </w:rPr>
            </w:pPr>
            <w:r>
              <w:rPr>
                <w:rFonts w:ascii="Arial" w:cs="Arial" w:eastAsia="Arial" w:hAnsi="Arial"/>
                <w:sz w:val="18"/>
                <w:szCs w:val="18"/>
                <w:color w:val="auto"/>
              </w:rPr>
              <w:t>Mr. Brodsky has been a director of Amdocs since July 2003. Mr. Brodsky has served as a</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director and as Vice Chairman of Comcast Corporation since 1989. From 1989 to May 2004,</w:t>
            </w:r>
          </w:p>
        </w:tc>
      </w:tr>
      <w:tr>
        <w:trPr>
          <w:trHeight w:val="216"/>
        </w:trPr>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Mr. Brodsky was Chairman of Comcast Interactive Capital, LP, a venture fund affiliated with</w:t>
            </w:r>
          </w:p>
        </w:tc>
      </w:tr>
      <w:tr>
        <w:trPr>
          <w:trHeight w:val="230"/>
        </w:trPr>
        <w:tc>
          <w:tcPr>
            <w:tcW w:w="2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40" w:type="dxa"/>
            <w:vAlign w:val="bottom"/>
          </w:tcPr>
          <w:p>
            <w:pPr>
              <w:ind w:left="300"/>
              <w:spacing w:after="0"/>
              <w:rPr>
                <w:sz w:val="20"/>
                <w:szCs w:val="20"/>
                <w:color w:val="auto"/>
              </w:rPr>
            </w:pPr>
            <w:r>
              <w:rPr>
                <w:rFonts w:ascii="Arial" w:cs="Arial" w:eastAsia="Arial" w:hAnsi="Arial"/>
                <w:sz w:val="18"/>
                <w:szCs w:val="18"/>
                <w:color w:val="auto"/>
              </w:rPr>
              <w:t>Comcast. He is a director of RBB Fund, Inc.</w:t>
            </w:r>
          </w:p>
        </w:tc>
      </w:tr>
      <w:tr>
        <w:trPr>
          <w:trHeight w:val="405"/>
        </w:trPr>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Arial" w:cs="Arial" w:eastAsia="Arial" w:hAnsi="Arial"/>
                <w:sz w:val="18"/>
                <w:szCs w:val="18"/>
                <w:color w:val="auto"/>
              </w:rPr>
              <w:t>4</w:t>
            </w:r>
          </w:p>
        </w:tc>
      </w:tr>
      <w:tr>
        <w:trPr>
          <w:trHeight w:val="226"/>
        </w:trPr>
        <w:tc>
          <w:tcPr>
            <w:tcW w:w="2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-6356350</wp:posOffset>
            </wp:positionV>
            <wp:extent cx="17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1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7000" w:type="dxa"/>
            <w:vAlign w:val="bottom"/>
          </w:tcPr>
          <w:p>
            <w:pPr>
              <w:spacing w:after="0"/>
              <w:rPr>
                <w:sz w:val="16"/>
                <w:szCs w:val="16"/>
                <w:color w:val="auto"/>
              </w:rPr>
            </w:pPr>
          </w:p>
        </w:tc>
      </w:tr>
      <w:tr>
        <w:trPr>
          <w:trHeight w:val="249"/>
        </w:trPr>
        <w:tc>
          <w:tcPr>
            <w:tcW w:w="2100" w:type="dxa"/>
            <w:vAlign w:val="bottom"/>
          </w:tcPr>
          <w:p>
            <w:pPr>
              <w:spacing w:after="0"/>
              <w:rPr>
                <w:sz w:val="20"/>
                <w:szCs w:val="20"/>
                <w:color w:val="auto"/>
              </w:rPr>
            </w:pPr>
            <w:r>
              <w:rPr>
                <w:rFonts w:ascii="Arial" w:cs="Arial" w:eastAsia="Arial" w:hAnsi="Arial"/>
                <w:sz w:val="18"/>
                <w:szCs w:val="18"/>
                <w:color w:val="auto"/>
              </w:rPr>
              <w:t>Eli Gelman</w:t>
            </w:r>
          </w:p>
        </w:tc>
        <w:tc>
          <w:tcPr>
            <w:tcW w:w="7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51</w:t>
            </w:r>
          </w:p>
        </w:tc>
        <w:tc>
          <w:tcPr>
            <w:tcW w:w="7000" w:type="dxa"/>
            <w:vAlign w:val="bottom"/>
          </w:tcPr>
          <w:p>
            <w:pPr>
              <w:ind w:left="300"/>
              <w:spacing w:after="0"/>
              <w:rPr>
                <w:sz w:val="20"/>
                <w:szCs w:val="20"/>
                <w:color w:val="auto"/>
              </w:rPr>
            </w:pPr>
            <w:r>
              <w:rPr>
                <w:rFonts w:ascii="Arial" w:cs="Arial" w:eastAsia="Arial" w:hAnsi="Arial"/>
                <w:sz w:val="18"/>
                <w:szCs w:val="18"/>
                <w:color w:val="auto"/>
                <w:w w:val="93"/>
              </w:rPr>
              <w:t>Mr. Gelman has been a director of Amdocs since 2002. Since April 2008, Mr. Gelman has</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2"/>
              </w:rPr>
              <w:t>devoted his time to charitable matters focused on youth education. He served as Executive</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3"/>
              </w:rPr>
              <w:t>Vice President of Amdocs Management Limited from October 2002 until April 2008 and as</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4"/>
              </w:rPr>
              <w:t>our Chief Operating Officer from October 2006 until April 2008. Prior to October 2002, he</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0"/>
              </w:rPr>
              <w:t>was a Senior Vice President, where he headed our U.S. sales and marketing operations and</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2"/>
              </w:rPr>
              <w:t>helped spearhead our entry into the customer care and billing systems market. Before that,</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Mr. Gelman was an account manager for our major European and North American</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89"/>
              </w:rPr>
              <w:t>installations, and has led several major software development projects. Mr. Gelman has more</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6"/>
              </w:rPr>
              <w:t>than 28 years of experience in the software industry, including more than 20 years with</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2"/>
              </w:rPr>
              <w:t>Amdocs. Before joining Amdocs, Mr. Gelman was involved in the development of real-time</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software systems for communications networks.</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Nehemia Lemelbaum</w:t>
            </w:r>
          </w:p>
        </w:tc>
        <w:tc>
          <w:tcPr>
            <w:tcW w:w="7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67</w:t>
            </w:r>
          </w:p>
        </w:tc>
        <w:tc>
          <w:tcPr>
            <w:tcW w:w="7000" w:type="dxa"/>
            <w:vAlign w:val="bottom"/>
          </w:tcPr>
          <w:p>
            <w:pPr>
              <w:ind w:left="300"/>
              <w:spacing w:after="0"/>
              <w:rPr>
                <w:sz w:val="20"/>
                <w:szCs w:val="20"/>
                <w:color w:val="auto"/>
              </w:rPr>
            </w:pPr>
            <w:r>
              <w:rPr>
                <w:rFonts w:ascii="Arial" w:cs="Arial" w:eastAsia="Arial" w:hAnsi="Arial"/>
                <w:sz w:val="18"/>
                <w:szCs w:val="18"/>
                <w:color w:val="auto"/>
                <w:w w:val="90"/>
              </w:rPr>
              <w:t>Mr. Lemelbaum has been a director of Amdocs since December 2001 and was a Senior Vice</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3"/>
              </w:rPr>
              <w:t>President of Amdocs Management Limited from 1985 until January 2005. Since 2005, Mr.</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89"/>
              </w:rPr>
              <w:t>Lemelbaum has been a private investor and since December 2006, Mr. Lemelbaum has been</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4"/>
              </w:rPr>
              <w:t>a director and the Chief Executive Officer of EHYN, a privately-held investment company.</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5"/>
              </w:rPr>
              <w:t>He joined Amdocs in 1985, with initial responsibility for U.S. operations. Mr. Lemelbaum</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6"/>
              </w:rPr>
              <w:t>led our development of graphic products for the Yellow Pages industry and later led our</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7"/>
              </w:rPr>
              <w:t>development of customer care and billing systems, as well as our penetration into that</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7"/>
              </w:rPr>
              <w:t>market. Prior to joining Amdocs, he served for nine years with Contahal Ltd., a leading</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1"/>
              </w:rPr>
              <w:t>Israeli software company, first as a senior consultant, and later as Managing Director. From</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4"/>
              </w:rPr>
              <w:t>1967 to 1976, Mr. Lemelbaum was employed by the Ministry of Communications of Israel</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8"/>
              </w:rPr>
              <w:t>(the organization that predated Bezeq, the Israel Telecommunication Corp. Ltd.), with</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responsibility for computer technology in the area of business data processing.</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John T. McLennan</w:t>
            </w:r>
          </w:p>
        </w:tc>
        <w:tc>
          <w:tcPr>
            <w:tcW w:w="7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64</w:t>
            </w:r>
          </w:p>
        </w:tc>
        <w:tc>
          <w:tcPr>
            <w:tcW w:w="7000" w:type="dxa"/>
            <w:vAlign w:val="bottom"/>
          </w:tcPr>
          <w:p>
            <w:pPr>
              <w:ind w:left="300"/>
              <w:spacing w:after="0"/>
              <w:rPr>
                <w:sz w:val="20"/>
                <w:szCs w:val="20"/>
                <w:color w:val="auto"/>
              </w:rPr>
            </w:pPr>
            <w:r>
              <w:rPr>
                <w:rFonts w:ascii="Arial" w:cs="Arial" w:eastAsia="Arial" w:hAnsi="Arial"/>
                <w:sz w:val="18"/>
                <w:szCs w:val="18"/>
                <w:color w:val="auto"/>
                <w:w w:val="92"/>
              </w:rPr>
              <w:t>Mr. McLennan has been a director of Amdocs since November 1999. From May 2000 until</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7"/>
              </w:rPr>
              <w:t>June 2004, he served as Vice-Chair and Chief Executive Officer of Allstream (formerly</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3"/>
              </w:rPr>
              <w:t>AT&amp;T Canada). Mr. McLennan founded and was the President of Jenmark Consulting Inc.</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2"/>
              </w:rPr>
              <w:t>from 1997 until May 2000. From 1993 to 1997, Mr. McLennan served as the President and</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5"/>
              </w:rPr>
              <w:t>Chief Executive Officer of Bell Canada. Prior to that, he held various positions at several</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1"/>
              </w:rPr>
              <w:t>telecommunications companies, including BCE Mobile Communications and Cantel Inc. Mr.</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4"/>
              </w:rPr>
              <w:t>McLennan is also a director of Air Canada Jazz, a publicly-held regional airline company,</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1"/>
              </w:rPr>
              <w:t>Chairman of Emera Inc., a Canadian publicly-held energy services company, and director of</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rPr>
              <w:t>Nova Scotia Power Inc., a wholly-owned subsidiary of Emera Inc.</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Robert A. Minicucci</w:t>
            </w:r>
          </w:p>
        </w:tc>
        <w:tc>
          <w:tcPr>
            <w:tcW w:w="7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57</w:t>
            </w:r>
          </w:p>
        </w:tc>
        <w:tc>
          <w:tcPr>
            <w:tcW w:w="7000" w:type="dxa"/>
            <w:vAlign w:val="bottom"/>
          </w:tcPr>
          <w:p>
            <w:pPr>
              <w:ind w:left="300"/>
              <w:spacing w:after="0"/>
              <w:rPr>
                <w:sz w:val="20"/>
                <w:szCs w:val="20"/>
                <w:color w:val="auto"/>
              </w:rPr>
            </w:pPr>
            <w:r>
              <w:rPr>
                <w:rFonts w:ascii="Arial" w:cs="Arial" w:eastAsia="Arial" w:hAnsi="Arial"/>
                <w:sz w:val="18"/>
                <w:szCs w:val="18"/>
                <w:color w:val="auto"/>
                <w:w w:val="91"/>
              </w:rPr>
              <w:t>Mr. Minicucci has been a director of Amdocs since September 1997. He has been a general</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7"/>
              </w:rPr>
              <w:t>partner of WCAS since 1993. From 1992 to 1993, Mr. Minicucci served as Senior Vice</w:t>
            </w:r>
          </w:p>
        </w:tc>
      </w:tr>
      <w:tr>
        <w:trPr>
          <w:trHeight w:val="216"/>
        </w:trPr>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95"/>
              </w:rPr>
              <w:t>President and Chief Financial Officer of First Data Corporation, a provider of information</w:t>
            </w:r>
          </w:p>
        </w:tc>
      </w:tr>
      <w:tr>
        <w:trPr>
          <w:trHeight w:val="230"/>
        </w:trPr>
        <w:tc>
          <w:tcPr>
            <w:tcW w:w="2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0" w:type="dxa"/>
            <w:vAlign w:val="bottom"/>
          </w:tcPr>
          <w:p>
            <w:pPr>
              <w:ind w:left="300"/>
              <w:spacing w:after="0"/>
              <w:rPr>
                <w:sz w:val="20"/>
                <w:szCs w:val="20"/>
                <w:color w:val="auto"/>
              </w:rPr>
            </w:pPr>
            <w:r>
              <w:rPr>
                <w:rFonts w:ascii="Arial" w:cs="Arial" w:eastAsia="Arial" w:hAnsi="Arial"/>
                <w:sz w:val="18"/>
                <w:szCs w:val="18"/>
                <w:color w:val="auto"/>
                <w:w w:val="89"/>
              </w:rPr>
              <w:t>processing and related services for credit card and other payment transactions. From 1991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-4982210</wp:posOffset>
            </wp:positionV>
            <wp:extent cx="17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ind w:left="3880"/>
        <w:spacing w:after="0" w:line="295" w:lineRule="auto"/>
        <w:rPr>
          <w:sz w:val="20"/>
          <w:szCs w:val="20"/>
          <w:color w:val="auto"/>
        </w:rPr>
      </w:pPr>
      <w:r>
        <w:rPr>
          <w:rFonts w:ascii="Arial" w:cs="Arial" w:eastAsia="Arial" w:hAnsi="Arial"/>
          <w:sz w:val="16"/>
          <w:szCs w:val="16"/>
          <w:color w:val="auto"/>
        </w:rPr>
        <w:t>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Retalix Ltd., and several private companies.</w:t>
      </w:r>
    </w:p>
    <w:p>
      <w:pPr>
        <w:spacing w:after="0" w:line="1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1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6"/>
                <w:szCs w:val="16"/>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6880" w:type="dxa"/>
            <w:vAlign w:val="bottom"/>
          </w:tcPr>
          <w:p>
            <w:pPr>
              <w:spacing w:after="0"/>
              <w:rPr>
                <w:sz w:val="16"/>
                <w:szCs w:val="16"/>
                <w:color w:val="auto"/>
              </w:rPr>
            </w:pPr>
          </w:p>
        </w:tc>
      </w:tr>
      <w:tr>
        <w:trPr>
          <w:trHeight w:val="249"/>
        </w:trPr>
        <w:tc>
          <w:tcPr>
            <w:tcW w:w="1900" w:type="dxa"/>
            <w:vAlign w:val="bottom"/>
          </w:tcPr>
          <w:p>
            <w:pPr>
              <w:spacing w:after="0"/>
              <w:rPr>
                <w:sz w:val="20"/>
                <w:szCs w:val="20"/>
                <w:color w:val="auto"/>
              </w:rPr>
            </w:pPr>
            <w:r>
              <w:rPr>
                <w:rFonts w:ascii="Arial" w:cs="Arial" w:eastAsia="Arial" w:hAnsi="Arial"/>
                <w:sz w:val="18"/>
                <w:szCs w:val="18"/>
                <w:color w:val="auto"/>
              </w:rPr>
              <w:t>Simon Olswang</w:t>
            </w:r>
          </w:p>
        </w:tc>
        <w:tc>
          <w:tcPr>
            <w:tcW w:w="98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65</w:t>
            </w:r>
          </w:p>
        </w:tc>
        <w:tc>
          <w:tcPr>
            <w:tcW w:w="6880" w:type="dxa"/>
            <w:vAlign w:val="bottom"/>
          </w:tcPr>
          <w:p>
            <w:pPr>
              <w:ind w:left="300"/>
              <w:spacing w:after="0"/>
              <w:rPr>
                <w:sz w:val="20"/>
                <w:szCs w:val="20"/>
                <w:color w:val="auto"/>
              </w:rPr>
            </w:pPr>
            <w:r>
              <w:rPr>
                <w:rFonts w:ascii="Arial" w:cs="Arial" w:eastAsia="Arial" w:hAnsi="Arial"/>
                <w:sz w:val="18"/>
                <w:szCs w:val="18"/>
                <w:color w:val="auto"/>
                <w:w w:val="92"/>
              </w:rPr>
              <w:t>Mr. Olswang has been a director of Amdocs since November 2004. In 2002, Mr. Olswang</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7"/>
              </w:rPr>
              <w:t>retired as Chairman of Olswang, a media and communications law firm in the United</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7"/>
              </w:rPr>
              <w:t>Kingdom that he founded in 1981. He is a member of the Advisory Board of Palamon</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2"/>
              </w:rPr>
              <w:t>Capital Partners LLP. Mr. Olswang was a member of the Board of Directors of The British</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8"/>
              </w:rPr>
              <w:t>Library until March 2008 and has served as a non-executive director of a number of</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3"/>
              </w:rPr>
              <w:t>companies and organizations, including Aegis Group plc, The Press Association and the</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9"/>
              </w:rPr>
              <w:t>British Film Institute. Mr. Olswang serves as Trustee of Langdon College of Further</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rPr>
              <w:t>(Special) Education in Salford, of which he is a co-founder.</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Giora Yaron</w:t>
            </w:r>
          </w:p>
        </w:tc>
        <w:tc>
          <w:tcPr>
            <w:tcW w:w="98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60</w:t>
            </w:r>
          </w:p>
        </w:tc>
        <w:tc>
          <w:tcPr>
            <w:tcW w:w="6880" w:type="dxa"/>
            <w:vAlign w:val="bottom"/>
          </w:tcPr>
          <w:p>
            <w:pPr>
              <w:ind w:left="300"/>
              <w:spacing w:after="0"/>
              <w:rPr>
                <w:sz w:val="20"/>
                <w:szCs w:val="20"/>
                <w:color w:val="auto"/>
              </w:rPr>
            </w:pPr>
            <w:r>
              <w:rPr>
                <w:rFonts w:ascii="Arial" w:cs="Arial" w:eastAsia="Arial" w:hAnsi="Arial"/>
                <w:sz w:val="18"/>
                <w:szCs w:val="18"/>
                <w:color w:val="auto"/>
                <w:w w:val="94"/>
              </w:rPr>
              <w:t>Dr. Yaron has been a director of Amdocs since July 2009. Dr. Yaron co-founded Itamar</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0"/>
              </w:rPr>
              <w:t>Medical Ltd., a publicly-traded medical technology company, and has been its co-chairman</w:t>
            </w:r>
          </w:p>
        </w:tc>
      </w:tr>
      <w:tr>
        <w:trPr>
          <w:trHeight w:val="216"/>
        </w:trPr>
        <w:tc>
          <w:tcPr>
            <w:tcW w:w="1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2"/>
              </w:rPr>
              <w:t>since 1997. Dr. Yaron provides consulting services to Itamar Medical and to various other</w:t>
            </w:r>
          </w:p>
        </w:tc>
      </w:tr>
      <w:tr>
        <w:trPr>
          <w:trHeight w:val="230"/>
        </w:trPr>
        <w:tc>
          <w:tcPr>
            <w:tcW w:w="1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0"/>
              </w:rPr>
              <w:t>technology companies. He also co-founded Exanet, Inc., a privately-held company focused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-1689100</wp:posOffset>
            </wp:positionV>
            <wp:extent cx="17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ind w:left="3880" w:right="40"/>
        <w:spacing w:after="0" w:line="286" w:lineRule="auto"/>
        <w:rPr>
          <w:sz w:val="20"/>
          <w:szCs w:val="20"/>
          <w:color w:val="auto"/>
        </w:rPr>
      </w:pPr>
      <w:r>
        <w:rPr>
          <w:rFonts w:ascii="Arial" w:cs="Arial" w:eastAsia="Arial" w:hAnsi="Arial"/>
          <w:sz w:val="16"/>
          <w:szCs w:val="16"/>
          <w:color w:val="auto"/>
        </w:rPr>
        <w:t>on building single entity scalable storage networks, and has been its chairman since 2000. Since 2004, Dr. Yaron has been the chairman of Yissum Research Development Company, the technology transfer company of the Hebrew University of Jerusalem. Dr. Yaron also has served on the advisory board of Rafael Advanced Defense Systems, Ltd., a developer of high-tech defense systems, since 2008. In addition, Dr. Yaron previously co-founded and served as chairman of Qumranet Inc. from 2006 to 2008, a privately-held enterprise software company acquired by Red Hat, Mercury Interactive from 1996 to 2006, a publicly-traded IT optimization software company acquired by Hewlett-Packard, P-cube Inc., a privately-held company focused on content-based switching for smart networks acquired by Cisco, Comsys Communication and Signal Processing Ltd., a semiconductor company.</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Committees</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Our Board of Directors has formed five committees as described below. Members of each committee are appointed by the Board of Directors.</w:t>
      </w:r>
    </w:p>
    <w:p>
      <w:pPr>
        <w:spacing w:after="0" w:line="76"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reviews, acts on and reports to the Board of Directors with respect to various auditing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matters, including the selection of our independent registered public accounting firm, the scope of the annual audits, fees to be paid to our independent registered public accounting firm, the performance of our independent registered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and Olswang, all of whom are independent directors, as required by the rules of the NYSE, and pursuant to the categorical director independence standards adopted by our Board of Directors. The Board of Directors has determined that Mr. Gardner is an “audit committee financial expert” as defined by rules promulgated by the</w:t>
      </w:r>
    </w:p>
    <w:p>
      <w:pPr>
        <w:spacing w:after="0" w:line="1" w:lineRule="exact"/>
        <w:rPr>
          <w:sz w:val="20"/>
          <w:szCs w:val="20"/>
          <w:color w:val="auto"/>
        </w:rPr>
      </w:pPr>
    </w:p>
    <w:p>
      <w:pPr>
        <w:jc w:val="both"/>
        <w:ind w:left="700" w:right="100"/>
        <w:spacing w:after="0" w:line="255" w:lineRule="auto"/>
        <w:rPr>
          <w:sz w:val="20"/>
          <w:szCs w:val="20"/>
          <w:color w:val="auto"/>
        </w:rPr>
      </w:pPr>
      <w:r>
        <w:rPr>
          <w:rFonts w:ascii="Arial" w:cs="Arial" w:eastAsia="Arial" w:hAnsi="Arial"/>
          <w:sz w:val="18"/>
          <w:szCs w:val="18"/>
          <w:color w:val="auto"/>
        </w:rPr>
        <w:t xml:space="preserve">U.S. Securities and Exchange Commission, or the SEC, and that each member of the Audit Committee is financially literate as required by the rules of the NYSE. The Audit Committee written charter is attached to this Proxy Statement as Appendix A, and it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w:t>
      </w:r>
    </w:p>
    <w:p>
      <w:pPr>
        <w:spacing w:after="0" w:line="9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The Nominating and Corporate Governance Committee identifies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Kahan, Brodsky and Gardner. All of the members of the Nominating and Corporate Governance Committee are independent directors, as required by the rules of the NYSE, and pursuant to the categorical director</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302" w:lineRule="auto"/>
        <w:rPr>
          <w:sz w:val="20"/>
          <w:szCs w:val="20"/>
          <w:color w:val="auto"/>
        </w:rPr>
      </w:pPr>
      <w:r>
        <w:rPr>
          <w:rFonts w:ascii="Arial" w:cs="Arial" w:eastAsia="Arial" w:hAnsi="Arial"/>
          <w:sz w:val="16"/>
          <w:szCs w:val="16"/>
          <w:color w:val="auto"/>
        </w:rPr>
        <w:t xml:space="preserve">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You may request a copy of the corporate governance guidelines, at no cost, by writing to us at the address listed below under the heading “Annual Report on Form 20-F.”</w:t>
      </w:r>
    </w:p>
    <w:p>
      <w:pPr>
        <w:spacing w:after="0" w:line="60" w:lineRule="exact"/>
        <w:rPr>
          <w:sz w:val="20"/>
          <w:szCs w:val="20"/>
          <w:color w:val="auto"/>
        </w:rPr>
      </w:pPr>
    </w:p>
    <w:p>
      <w:pPr>
        <w:jc w:val="both"/>
        <w:ind w:left="700" w:right="180" w:firstLine="397"/>
        <w:spacing w:after="0" w:line="288"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discharges the responsibilities of our Board of Directors relating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of the Chief Executive Officer of Amdocs Management Limited and makes recommendations to our Board of Directors with respect to the compensation of our other executive officers. The current members of our Compensation Committee are</w:t>
      </w:r>
    </w:p>
    <w:p>
      <w:pPr>
        <w:ind w:left="700" w:right="260"/>
        <w:spacing w:after="0" w:line="255" w:lineRule="auto"/>
        <w:rPr>
          <w:sz w:val="20"/>
          <w:szCs w:val="20"/>
          <w:color w:val="auto"/>
        </w:rPr>
      </w:pPr>
      <w:r>
        <w:rPr>
          <w:rFonts w:ascii="Arial" w:cs="Arial" w:eastAsia="Arial" w:hAnsi="Arial"/>
          <w:sz w:val="18"/>
          <w:szCs w:val="18"/>
          <w:color w:val="auto"/>
        </w:rPr>
        <w:t xml:space="preserve">Messrs. Kahan (Chair), Anderson and Minicucci, all of whom are independent directors, as required by the rules of the NYSE, and pursuant to the categorical director independence standards adopted by our Board of Directors. The Compensation Committee written charter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w:t>
      </w:r>
    </w:p>
    <w:p>
      <w:pPr>
        <w:spacing w:after="0" w:line="96"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i w:val="1"/>
          <w:iCs w:val="1"/>
          <w:color w:val="auto"/>
        </w:rPr>
        <w:t xml:space="preserve">Executive Committee. </w:t>
      </w:r>
      <w:r>
        <w:rPr>
          <w:rFonts w:ascii="Arial" w:cs="Arial" w:eastAsia="Arial" w:hAnsi="Arial"/>
          <w:sz w:val="18"/>
          <w:szCs w:val="18"/>
          <w:color w:val="auto"/>
        </w:rPr>
        <w:t>The Executive Committee has such responsibilities as may be delegated to it from time to time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The current members of our Executive Committee are Messrs. Anderson (Chair), Baharav, Kahan, Lemelbaum and Minicucci.</w:t>
      </w:r>
    </w:p>
    <w:p>
      <w:pPr>
        <w:spacing w:after="0" w:line="8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Technology and Innovation Committee. </w:t>
      </w:r>
      <w:r>
        <w:rPr>
          <w:rFonts w:ascii="Arial" w:cs="Arial" w:eastAsia="Arial" w:hAnsi="Arial"/>
          <w:sz w:val="18"/>
          <w:szCs w:val="18"/>
          <w:color w:val="auto"/>
        </w:rPr>
        <w:t>The Technology and Innovation Committee was established to assist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in reviewing our technological development, opportunities and innovation, in connection with our current and future business and markets. The current members of our Technology and Innovation Committee are Messrs. Zisapel (Chair), Anderson, Gelman and Lemelbaum.</w:t>
      </w:r>
    </w:p>
    <w:p>
      <w:pPr>
        <w:spacing w:after="0" w:line="92"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Our independent directors receive no compensation from us, except in connection with their membership on the Board of Directors and its committees as described below regarding Non-Employee Directors under “— Compensation of Directors”.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and Committee Meetings</w:t>
      </w:r>
    </w:p>
    <w:p>
      <w:pPr>
        <w:spacing w:after="0" w:line="135" w:lineRule="exact"/>
        <w:rPr>
          <w:sz w:val="20"/>
          <w:szCs w:val="20"/>
          <w:color w:val="auto"/>
        </w:rPr>
      </w:pPr>
    </w:p>
    <w:p>
      <w:pPr>
        <w:ind w:left="700" w:right="20" w:firstLine="397"/>
        <w:spacing w:after="0" w:line="269" w:lineRule="auto"/>
        <w:rPr>
          <w:sz w:val="20"/>
          <w:szCs w:val="20"/>
          <w:color w:val="auto"/>
        </w:rPr>
      </w:pPr>
      <w:r>
        <w:rPr>
          <w:rFonts w:ascii="Arial" w:cs="Arial" w:eastAsia="Arial" w:hAnsi="Arial"/>
          <w:sz w:val="17"/>
          <w:szCs w:val="17"/>
          <w:color w:val="auto"/>
        </w:rPr>
        <w:t>During the past fiscal year, the Board of Directors held five meetings. In addition, the Audit Committee held eight meetings, the Compensation Committee held two meetings, the Nominating and Corporate Governance Committee held five meetings, the Executive Committee held five meetings and the Technology and Innovation Committee held three meetings in the 2009 fiscal year. During fiscal 2009, each of our directors attended at least 75% of the aggregate of the number of Board of Directors meetings held during the time he was serving as a director and meetings held by all committees on which he then served. During fiscal 2009, our directors who are not our employees, which we refer to as Non-Employee Directors, held one meeting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135" w:lineRule="exact"/>
        <w:rPr>
          <w:sz w:val="20"/>
          <w:szCs w:val="20"/>
          <w:color w:val="auto"/>
        </w:rPr>
      </w:pPr>
    </w:p>
    <w:p>
      <w:pPr>
        <w:ind w:left="700" w:right="260" w:firstLine="397"/>
        <w:spacing w:after="0" w:line="259" w:lineRule="auto"/>
        <w:rPr>
          <w:sz w:val="20"/>
          <w:szCs w:val="20"/>
          <w:color w:val="auto"/>
        </w:rPr>
      </w:pPr>
      <w:r>
        <w:rPr>
          <w:rFonts w:ascii="Arial" w:cs="Arial" w:eastAsia="Arial" w:hAnsi="Arial"/>
          <w:sz w:val="18"/>
          <w:szCs w:val="18"/>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92" w:lineRule="exact"/>
        <w:rPr>
          <w:sz w:val="20"/>
          <w:szCs w:val="20"/>
          <w:color w:val="auto"/>
        </w:rPr>
      </w:pPr>
    </w:p>
    <w:p>
      <w:pPr>
        <w:ind w:left="700" w:right="80" w:firstLine="397"/>
        <w:spacing w:after="0" w:line="302" w:lineRule="auto"/>
        <w:rPr>
          <w:sz w:val="20"/>
          <w:szCs w:val="20"/>
          <w:color w:val="auto"/>
        </w:rPr>
      </w:pPr>
      <w:r>
        <w:rPr>
          <w:rFonts w:ascii="Arial" w:cs="Arial" w:eastAsia="Arial" w:hAnsi="Arial"/>
          <w:sz w:val="16"/>
          <w:szCs w:val="16"/>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NYSE listing standards.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Qualification Standards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Our Board of Directors has adopted a formal set of categorical independence standards with respect to the determination of director independence.</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In accordance with these standards and the rules of the NYSE, our Board of Directors has determined that each of the following 11 of our current 13 directors has no material relationship with us and is therefore independent: Messrs. Anderson, Gardner, Brodsky, Foster, Kahan, Lemelbaum, McLennan, Minicucci, Olswang, Zisapel and Yaron.</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full text of our categorical standards is attached to this Proxy Statement as Appendix B.</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Ethics and Business Conduct</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NYSE rules concerning any amendments to, or waivers from, any provision of the code.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Directors</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For their services as directors during fiscal 2009, our Non-Employee Directors received compensation in the form of cash and options to purchase ordinary shares. During fiscal 2009, each Non-Employee Director received an annual cash payment of $31,500, reflecting a $3,500 reduction in compensation from prior years, which was approved by our Board of Directors. Each member of our Audit and Executive Committees who is a Non-Employee Director received an annual cash payment of $10,000. In addition, the Chairman of the Board of Directors received $75,000 in cash and options to purchase 16,910 ordinary shares. The Chairmen of our Audit and Executive Committees each received an annual cash payment of $10,000 and the Chairmen of our Compensation, Nominating and Corporate Governance and Technology and Innovation Committees each received an annual cash payment of $5,000. Each Non-Employee Director received $1,500 per meeting of the Board of Directors and $1,000 per meeting of a committee of the Board of Directors, except for Non-Employee Directors who are members of our Audit Committee or Executive Committee, who each received $2,000 per meeting. During fiscal 2009, upon election or appointment to our Board of Directors, each Non-Employee Director also received an initial option grant for the purchase of 12,000 ordinary shares, followed by annual option grants for the purchase of 11,500 ordinary shares. All option grants to our Non-Employee Directors vest as to one-quarter of the shares immediately, with the remainder vesting annually in three equal installments. The exercise price of all options granted to our Non-Employee Directors is the NYSE closing price of our shares on the last trading day preceding the grant date. We reimburse all of our directors for their reasonable travel expenses incurred in connection with attending Board or committee meetings.</w:t>
      </w:r>
    </w:p>
    <w:p>
      <w:pPr>
        <w:spacing w:after="0" w:line="74"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Commencing in fiscal 2010, we revised our compensation program and our Non-Employee Directors will receive compensation for their services as directors in the form of cash and restricted shares. Our new compensation policy provides that each Non-Employee Director will receive an annual cash payment of $80,000. Each member of our Audit and Executive Committees who is a Non-Employee Director and who is not the chairman of such committees will receive an annual cash payment of $5,000. Each member of our</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9" w:lineRule="auto"/>
        <w:rPr>
          <w:sz w:val="20"/>
          <w:szCs w:val="20"/>
          <w:color w:val="auto"/>
        </w:rPr>
      </w:pPr>
      <w:r>
        <w:rPr>
          <w:rFonts w:ascii="Arial" w:cs="Arial" w:eastAsia="Arial" w:hAnsi="Arial"/>
          <w:sz w:val="17"/>
          <w:szCs w:val="17"/>
          <w:color w:val="auto"/>
        </w:rPr>
        <w:t>Compensation, Nominating and Corporate Governance and Technology and Innovation Committees, who is a Non-Employee Director and who is not the chairman of such committees, will receive an annual cash payment of $1,000. The Chairmen of our Audit and Executive Committees will each receive an annual cash payment of $10,000 and the Chairmen of our Compensation, Nominating and Corporate Governance and Technology and Innovation Committees will each receive an annual cash payment of $5,000. Non-Employee Directors will receive an annual grant of restricted shares at a total value of $150,000. The Chairman of the Board of Directors will receive an additional annual amount equal to $200,000, of which $75,000 will be paid in cash and $125,000 will be awarded in the form of restricted shares. All restricted share awards to our Non-Employee Directors will be immediately vested with respect to 25%, with the remainder vesting annually in three equal installments. The price per share for the purpose of determining the value of the grants to our Non-Employee Directors will be the NYSE closing price of our shares on the last trading day preceding the grant date. We will continue to reimburse all of our Non-Employee Directors for their reasonable travel expenses incurred in connection with attending Board or committee meetings.</w:t>
      </w:r>
    </w:p>
    <w:p>
      <w:pPr>
        <w:spacing w:after="0" w:line="88"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During the 2009 fiscal year, we granted to 11 Non-Employee Directors options to purchase an aggregate of 143,910 ordinary shares at a weighted average price of $19.51 per share, with vesting over three year terms.</w:t>
      </w:r>
    </w:p>
    <w:p>
      <w:pPr>
        <w:spacing w:after="0" w:line="76" w:lineRule="exact"/>
        <w:rPr>
          <w:sz w:val="20"/>
          <w:szCs w:val="20"/>
          <w:color w:val="auto"/>
        </w:rPr>
      </w:pPr>
    </w:p>
    <w:p>
      <w:pPr>
        <w:ind w:left="700" w:right="260" w:firstLine="397"/>
        <w:spacing w:after="0" w:line="342" w:lineRule="auto"/>
        <w:rPr>
          <w:sz w:val="20"/>
          <w:szCs w:val="20"/>
          <w:color w:val="auto"/>
        </w:rPr>
      </w:pPr>
      <w:r>
        <w:rPr>
          <w:rFonts w:ascii="Arial" w:cs="Arial" w:eastAsia="Arial" w:hAnsi="Arial"/>
          <w:sz w:val="16"/>
          <w:szCs w:val="16"/>
          <w:color w:val="auto"/>
        </w:rPr>
        <w:t>It is proposed that each of the following 13 individuals be elected to serve as a director of Amdocs Limited until the next annual general meeting of shareholders or until his earlier resignation or removal or until his respective successor is elected and qualified:</w:t>
      </w:r>
    </w:p>
    <w:p>
      <w:pPr>
        <w:spacing w:after="0" w:line="2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Bruce K. Anderson</w:t>
      </w:r>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Charles E. Foster</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Dov Baharav</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Nehemia Lemelbaum</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Robert A. Minicucci</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Giora Yaron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Affirmative Vote</w:t>
      </w:r>
    </w:p>
    <w:p>
      <w:pPr>
        <w:spacing w:after="0" w:line="135"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72" w:lineRule="exact"/>
        <w:rPr>
          <w:sz w:val="20"/>
          <w:szCs w:val="20"/>
          <w:color w:val="auto"/>
        </w:rPr>
      </w:pPr>
    </w:p>
    <w:p>
      <w:pPr>
        <w:ind w:left="700" w:right="66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SECURITY OWNERSHIP OF CERTAIN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BENEFICIAL OWNERS AND MANAGEMENT</w:t>
      </w:r>
    </w:p>
    <w:p>
      <w:pPr>
        <w:spacing w:after="0" w:line="116"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following table sets forth specified information with respect to the beneficial ownership of our ordinary shares as of November 23, 2009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205,612,198 ordinary shares outstanding as of November 23, 2009. Information concerning shareholders other than our directors and executive officers is based on periodic public filings made by such shareholders and may not necessarily be accurate as of November 23, 2009.</w:t>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160" w:type="dxa"/>
            <w:vAlign w:val="bottom"/>
          </w:tcPr>
          <w:p>
            <w:pPr>
              <w:jc w:val="right"/>
              <w:ind w:right="417"/>
              <w:spacing w:after="0"/>
              <w:rPr>
                <w:sz w:val="20"/>
                <w:szCs w:val="20"/>
                <w:color w:val="auto"/>
              </w:rPr>
            </w:pPr>
            <w:r>
              <w:rPr>
                <w:rFonts w:ascii="Arial" w:cs="Arial" w:eastAsia="Arial" w:hAnsi="Arial"/>
                <w:sz w:val="14"/>
                <w:szCs w:val="14"/>
                <w:b w:val="1"/>
                <w:bCs w:val="1"/>
                <w:color w:val="auto"/>
              </w:rPr>
              <w:t>Shares Beneficially</w:t>
            </w: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20" w:type="dxa"/>
            <w:vAlign w:val="bottom"/>
            <w:gridSpan w:val="3"/>
            <w:vMerge w:val="continue"/>
          </w:tcPr>
          <w:p>
            <w:pPr>
              <w:spacing w:after="0"/>
              <w:rPr>
                <w:sz w:val="14"/>
                <w:szCs w:val="14"/>
                <w:color w:val="auto"/>
              </w:rPr>
            </w:pPr>
          </w:p>
        </w:tc>
        <w:tc>
          <w:tcPr>
            <w:tcW w:w="216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Owned</w:t>
            </w:r>
          </w:p>
        </w:tc>
        <w:tc>
          <w:tcPr>
            <w:tcW w:w="280" w:type="dxa"/>
            <w:vAlign w:val="bottom"/>
          </w:tcPr>
          <w:p>
            <w:pPr>
              <w:spacing w:after="0"/>
              <w:rPr>
                <w:sz w:val="14"/>
                <w:szCs w:val="14"/>
                <w:color w:val="auto"/>
              </w:rPr>
            </w:pPr>
          </w:p>
        </w:tc>
        <w:tc>
          <w:tcPr>
            <w:tcW w:w="1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Percentage Ownership</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3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Thornburg Investment Management Inc.(1)</w:t>
            </w:r>
          </w:p>
        </w:tc>
        <w:tc>
          <w:tcPr>
            <w:tcW w:w="21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20,963,453</w:t>
            </w:r>
          </w:p>
        </w:tc>
        <w:tc>
          <w:tcPr>
            <w:tcW w:w="21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Ameriprise Financial, Inc.(2)</w:t>
            </w:r>
          </w:p>
        </w:tc>
        <w:tc>
          <w:tcPr>
            <w:tcW w:w="2160" w:type="dxa"/>
            <w:vAlign w:val="bottom"/>
          </w:tcPr>
          <w:p>
            <w:pPr>
              <w:jc w:val="right"/>
              <w:ind w:right="577"/>
              <w:spacing w:after="0"/>
              <w:rPr>
                <w:sz w:val="20"/>
                <w:szCs w:val="20"/>
                <w:color w:val="auto"/>
              </w:rPr>
            </w:pPr>
            <w:r>
              <w:rPr>
                <w:rFonts w:ascii="Arial" w:cs="Arial" w:eastAsia="Arial" w:hAnsi="Arial"/>
                <w:sz w:val="18"/>
                <w:szCs w:val="18"/>
                <w:color w:val="auto"/>
              </w:rPr>
              <w:t>13,248,322</w:t>
            </w:r>
          </w:p>
        </w:tc>
        <w:tc>
          <w:tcPr>
            <w:tcW w:w="2140" w:type="dxa"/>
            <w:vAlign w:val="bottom"/>
            <w:gridSpan w:val="2"/>
          </w:tcPr>
          <w:p>
            <w:pPr>
              <w:jc w:val="right"/>
              <w:ind w:right="688"/>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(18 persons)(3)</w:t>
            </w:r>
          </w:p>
        </w:tc>
        <w:tc>
          <w:tcPr>
            <w:tcW w:w="21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6,088,728</w:t>
            </w:r>
          </w:p>
        </w:tc>
        <w:tc>
          <w:tcPr>
            <w:tcW w:w="21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60" w:hanging="301"/>
        <w:spacing w:after="0" w:line="26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Thornburg Investment Management Inc., or Thornburg, is 2300 North Ridgetop Road, Santa Fe, New Mexico 87506. Based on a Schedule 13G filed by Thornburg with the SEC on March 10, 2009, Thornburg had sole voting and dispositive power over all of these ordinary shares.</w:t>
      </w:r>
    </w:p>
    <w:p>
      <w:pPr>
        <w:spacing w:after="0" w:line="19" w:lineRule="exact"/>
        <w:rPr>
          <w:rFonts w:ascii="Arial" w:cs="Arial" w:eastAsia="Arial" w:hAnsi="Arial"/>
          <w:sz w:val="18"/>
          <w:szCs w:val="18"/>
          <w:color w:val="auto"/>
        </w:rPr>
      </w:pPr>
    </w:p>
    <w:p>
      <w:pPr>
        <w:ind w:left="1000" w:right="100" w:hanging="301"/>
        <w:spacing w:after="0" w:line="25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a Schedule 13G filed by Ameriprise Financial, Inc., or Ameriprise, and RiverSource Investments, LLC, or RiverSource, with the SEC on February 12, 2009, Ameriprise and RiverSource had shared voting power over 299 of our ordinary shares and shared dispositive power over 13,248,322 of our ordinary shares. Ameriprise is the parent company of RiverSource. Ameriprise and RiverSource disclaim beneficial ownership of these shares. The address of Ameriprise and RiverSource is 145 Ameriprise Financial Center, Minneapolis, Minnesota 55474.</w:t>
      </w:r>
    </w:p>
    <w:p>
      <w:pPr>
        <w:spacing w:after="0" w:line="26" w:lineRule="exact"/>
        <w:rPr>
          <w:rFonts w:ascii="Arial" w:cs="Arial" w:eastAsia="Arial" w:hAnsi="Arial"/>
          <w:sz w:val="18"/>
          <w:szCs w:val="18"/>
          <w:color w:val="auto"/>
        </w:rPr>
      </w:pPr>
    </w:p>
    <w:p>
      <w:pPr>
        <w:ind w:left="1000" w:hanging="301"/>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options held by such directors and executive officers that are exercisable within 60 days after November 23, 2009.</w:t>
      </w:r>
    </w:p>
    <w:p>
      <w:pPr>
        <w:spacing w:after="0" w:line="200" w:lineRule="exact"/>
        <w:rPr>
          <w:sz w:val="20"/>
          <w:szCs w:val="20"/>
          <w:color w:val="auto"/>
        </w:rPr>
      </w:pPr>
    </w:p>
    <w:p>
      <w:pPr>
        <w:spacing w:after="0" w:line="21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AUDIT COMMITTEE MATTERS</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99"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2009 and has discussed these financial statements with our management and independent registered public accounting firm.</w:t>
      </w:r>
    </w:p>
    <w:p>
      <w:pPr>
        <w:spacing w:after="0" w:line="76"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The Audit Committee has also discussed with our independent registered public accounting firm the matters required to be discussed by Statement on Auditing Standards 61 (Communication with Audit Committees). SAS 61 (as codified in AU Section 380 of the Codification of Statements on Auditing Standards) requires our independent registered public accounting firm to discuss with our Audit Committee, among other things, the following:</w:t>
      </w:r>
    </w:p>
    <w:p>
      <w:pPr>
        <w:spacing w:after="0" w:line="92"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significant accounting policies in controversial or emerging areas for which there is a lack of authoritative guidance or consensus;</w:t>
      </w:r>
    </w:p>
    <w:p>
      <w:pPr>
        <w:spacing w:after="0" w:line="62"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disagreements with management over the application of accounting principles, the basis for management’s accounting estimates and the disclosures in the financial statements.</w:t>
      </w:r>
    </w:p>
    <w:p>
      <w:pPr>
        <w:spacing w:after="0" w:line="76"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Our independent registered public accounting firm also provided the Audit Committee with the written disclosures and the letter required by the Public Company Accounting Oversight Board (PCAOB) Ethics and Independence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99"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2009.</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35"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The Audit Committee has adopted policies and procedures relating to the pre-approval of all audit services to be provided to us, whether provided by our principal auditor or other firms, and all other services to be provided to us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78"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3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PROPOSAL II</w:t>
      </w:r>
    </w:p>
    <w:p>
      <w:pPr>
        <w:spacing w:after="0" w:line="13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 THE FISCAL YEAR ENDED SEPTEMBER 30, 2009</w:t>
      </w:r>
    </w:p>
    <w:p>
      <w:pPr>
        <w:spacing w:after="0" w:line="116"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Our Annual Report for the fiscal year ended September 30, 2009 is available on our website at http://dox.client.shareholder.com. Our Consolidated Financial Statements for the fiscal year ended September 30, 2009 are included in our Annual Report. At the General Meeting, we will review the Operating and Financial Review and Prospects section of our Annual Report and will answer appropriate questions related thereto.</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27" w:lineRule="exact"/>
        <w:rPr>
          <w:sz w:val="20"/>
          <w:szCs w:val="20"/>
          <w:color w:val="auto"/>
        </w:rPr>
      </w:pPr>
    </w:p>
    <w:p>
      <w:pPr>
        <w:ind w:left="700" w:firstLine="397"/>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Consolidated Financial Statements of Amdocs Limited for the fiscal year ended September 30, 2009 be,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hereby are, approved.”</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Affirmative Vote</w:t>
      </w:r>
    </w:p>
    <w:p>
      <w:pPr>
        <w:spacing w:after="0" w:line="135" w:lineRule="exact"/>
        <w:rPr>
          <w:sz w:val="20"/>
          <w:szCs w:val="20"/>
          <w:color w:val="auto"/>
        </w:rPr>
      </w:pPr>
    </w:p>
    <w:p>
      <w:pPr>
        <w:ind w:left="700" w:right="360" w:firstLine="397"/>
        <w:spacing w:after="0" w:line="308" w:lineRule="auto"/>
        <w:rPr>
          <w:sz w:val="20"/>
          <w:szCs w:val="20"/>
          <w:color w:val="auto"/>
        </w:rPr>
      </w:pPr>
      <w:r>
        <w:rPr>
          <w:rFonts w:ascii="Arial" w:cs="Arial" w:eastAsia="Arial" w:hAnsi="Arial"/>
          <w:sz w:val="17"/>
          <w:szCs w:val="17"/>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48" w:lineRule="exact"/>
        <w:rPr>
          <w:sz w:val="20"/>
          <w:szCs w:val="20"/>
          <w:color w:val="auto"/>
        </w:rPr>
      </w:pPr>
    </w:p>
    <w:p>
      <w:pPr>
        <w:ind w:left="700" w:right="260" w:firstLine="397"/>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III</w:t>
      </w:r>
    </w:p>
    <w:p>
      <w:pPr>
        <w:spacing w:after="0" w:line="23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RATIFICATION AND APPROVAL OF</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1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The Audit Committee of the Board of Directors has selected the firm of Ernst &amp; Young LLP to continue to serve as our independent registered public accounting firm for the fiscal year ending September 30, 2010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2009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135"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680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ee Category</w:t>
            </w: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2009</w:t>
            </w: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55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$3,300,000</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420" w:type="dxa"/>
            <w:vAlign w:val="bottom"/>
          </w:tcPr>
          <w:p>
            <w:pPr>
              <w:jc w:val="right"/>
              <w:ind w:right="254"/>
              <w:spacing w:after="0"/>
              <w:rPr>
                <w:sz w:val="20"/>
                <w:szCs w:val="20"/>
                <w:color w:val="auto"/>
              </w:rPr>
            </w:pPr>
            <w:r>
              <w:rPr>
                <w:rFonts w:ascii="Arial" w:cs="Arial" w:eastAsia="Arial" w:hAnsi="Arial"/>
                <w:sz w:val="18"/>
                <w:szCs w:val="18"/>
                <w:color w:val="auto"/>
              </w:rPr>
              <w:t>$1,300,000</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$1,100,000</w:t>
            </w:r>
          </w:p>
        </w:tc>
        <w:tc>
          <w:tcPr>
            <w:tcW w:w="1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5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400" w:hanging="301"/>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spacing w:after="0" w:line="8" w:lineRule="exact"/>
        <w:rPr>
          <w:rFonts w:ascii="Arial" w:cs="Arial" w:eastAsia="Arial" w:hAnsi="Arial"/>
          <w:sz w:val="18"/>
          <w:szCs w:val="18"/>
          <w:color w:val="auto"/>
        </w:rPr>
      </w:pPr>
    </w:p>
    <w:p>
      <w:pPr>
        <w:ind w:left="1000" w:hanging="301"/>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Audit-related services principally include SAS 70 report issuances and due diligence examinations.</w:t>
      </w:r>
    </w:p>
    <w:p>
      <w:pPr>
        <w:spacing w:after="0" w:line="63" w:lineRule="exact"/>
        <w:rPr>
          <w:rFonts w:ascii="Arial" w:cs="Arial" w:eastAsia="Arial" w:hAnsi="Arial"/>
          <w:sz w:val="18"/>
          <w:szCs w:val="18"/>
          <w:color w:val="auto"/>
        </w:rPr>
      </w:pPr>
    </w:p>
    <w:p>
      <w:pPr>
        <w:ind w:left="1000" w:hanging="301"/>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127" w:lineRule="exact"/>
        <w:rPr>
          <w:sz w:val="20"/>
          <w:szCs w:val="20"/>
          <w:color w:val="auto"/>
        </w:rPr>
      </w:pPr>
    </w:p>
    <w:p>
      <w:pPr>
        <w:ind w:left="700" w:right="60" w:firstLine="397"/>
        <w:spacing w:after="0" w:line="281"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(i) the appointment of Ernst &amp; Young LLP as Amdocs Limited’s independent registered public accounting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fiscal year ending September 30, 2010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Affirmative Vote</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83" w:lineRule="exact"/>
        <w:rPr>
          <w:sz w:val="20"/>
          <w:szCs w:val="20"/>
          <w:color w:val="auto"/>
        </w:rPr>
      </w:pPr>
    </w:p>
    <w:p>
      <w:pPr>
        <w:ind w:left="700" w:right="220" w:firstLine="397"/>
        <w:spacing w:after="0" w:line="261"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MISCELLANEOUS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Report on Form 20-F</w:t>
      </w:r>
    </w:p>
    <w:p>
      <w:pPr>
        <w:spacing w:after="0" w:line="135"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 xml:space="preserve">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 site located at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as well as on our website at www.amdocs.com. Requests for copies of our Annual Report on Form 20-F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mailed to our principal U.S. subsidiary at:</w:t>
      </w:r>
    </w:p>
    <w:p>
      <w:pPr>
        <w:spacing w:after="0" w:line="9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Fax: (314) 212-8358</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E-mail: dox_info@amdocs.com</w:t>
      </w:r>
    </w:p>
    <w:p>
      <w:pPr>
        <w:sectPr>
          <w:pgSz w:w="11900" w:h="16838" w:orient="portrait"/>
          <w:cols w:equalWidth="0" w:num="1">
            <w:col w:w="10580"/>
          </w:cols>
          <w:pgMar w:left="240" w:top="419" w:right="1079" w:bottom="1440" w:gutter="0" w:footer="0" w:header="0"/>
        </w:sectPr>
      </w:pPr>
    </w:p>
    <w:p>
      <w:pPr>
        <w:spacing w:after="0" w:line="116"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Mr. Thomas G. O’Brien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Secretary and Treasurer of Amdocs Limited</w:t>
      </w:r>
    </w:p>
    <w:p>
      <w:pPr>
        <w:spacing w:after="0" w:line="200" w:lineRule="exact"/>
        <w:rPr>
          <w:sz w:val="20"/>
          <w:szCs w:val="20"/>
          <w:color w:val="auto"/>
        </w:rPr>
      </w:pPr>
    </w:p>
    <w:p>
      <w:pPr>
        <w:sectPr>
          <w:pgSz w:w="11900" w:h="16838" w:orient="portrait"/>
          <w:cols w:equalWidth="0" w:num="2">
            <w:col w:w="3520" w:space="360"/>
            <w:col w:w="6700"/>
          </w:cols>
          <w:pgMar w:left="240" w:top="419" w:right="1079" w:bottom="1440" w:gutter="0" w:footer="0" w:header="0"/>
          <w:type w:val="continuous"/>
        </w:sectPr>
      </w:pPr>
    </w:p>
    <w:p>
      <w:pPr>
        <w:spacing w:after="0" w:line="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Expenses of Solicitation</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57785</wp:posOffset>
            </wp:positionV>
            <wp:extent cx="1972310"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23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HOMAS</w:t>
      </w:r>
      <w:r>
        <w:rPr>
          <w:rFonts w:ascii="Arial" w:cs="Arial" w:eastAsia="Arial" w:hAnsi="Arial"/>
          <w:sz w:val="18"/>
          <w:szCs w:val="18"/>
          <w:color w:val="auto"/>
        </w:rPr>
        <w:t xml:space="preserve"> G. O’B</w:t>
      </w:r>
      <w:r>
        <w:rPr>
          <w:rFonts w:ascii="Arial" w:cs="Arial" w:eastAsia="Arial" w:hAnsi="Arial"/>
          <w:sz w:val="12"/>
          <w:szCs w:val="12"/>
          <w:color w:val="auto"/>
        </w:rPr>
        <w:t>RIEN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 and Treasurer</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18, 2009</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23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AMDOCS LIMITED</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AUDIT COMMITTEE CHARTER</w:t>
      </w:r>
    </w:p>
    <w:p>
      <w:pPr>
        <w:spacing w:after="0" w:line="171" w:lineRule="exact"/>
        <w:rPr>
          <w:sz w:val="20"/>
          <w:szCs w:val="20"/>
          <w:color w:val="auto"/>
        </w:rPr>
      </w:pPr>
    </w:p>
    <w:p>
      <w:pPr>
        <w:ind w:left="1100" w:hanging="407"/>
        <w:spacing w:after="0"/>
        <w:tabs>
          <w:tab w:leader="none" w:pos="1100" w:val="left"/>
        </w:tabs>
        <w:numPr>
          <w:ilvl w:val="0"/>
          <w:numId w:val="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Purpose</w:t>
      </w:r>
    </w:p>
    <w:p>
      <w:pPr>
        <w:spacing w:after="0" w:line="94"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and the internal audit function.</w:t>
      </w:r>
    </w:p>
    <w:p>
      <w:pPr>
        <w:spacing w:after="0" w:line="96" w:lineRule="exact"/>
        <w:rPr>
          <w:sz w:val="20"/>
          <w:szCs w:val="20"/>
          <w:color w:val="auto"/>
        </w:rPr>
      </w:pPr>
    </w:p>
    <w:p>
      <w:pPr>
        <w:ind w:left="940" w:hanging="247"/>
        <w:spacing w:after="0"/>
        <w:tabs>
          <w:tab w:leader="none" w:pos="940" w:val="left"/>
        </w:tabs>
        <w:numPr>
          <w:ilvl w:val="0"/>
          <w:numId w:val="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Membership, Structure, and Administration</w:t>
      </w:r>
    </w:p>
    <w:p>
      <w:pPr>
        <w:spacing w:after="0" w:line="90" w:lineRule="exact"/>
        <w:rPr>
          <w:rFonts w:ascii="Arial" w:cs="Arial" w:eastAsia="Arial" w:hAnsi="Arial"/>
          <w:sz w:val="18"/>
          <w:szCs w:val="18"/>
          <w:b w:val="1"/>
          <w:bCs w:val="1"/>
          <w:u w:val="single" w:color="auto"/>
          <w:color w:val="auto"/>
        </w:rPr>
      </w:pPr>
    </w:p>
    <w:p>
      <w:pPr>
        <w:ind w:left="700" w:right="80" w:firstLine="390"/>
        <w:spacing w:after="0" w:line="273" w:lineRule="auto"/>
        <w:tabs>
          <w:tab w:leader="none" w:pos="1277"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Size and Member Qualifications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 The Audit Committee shall consist of at least three members of the Board of Directors, all</w:t>
      </w:r>
      <w:r>
        <w:rPr>
          <w:rFonts w:ascii="Arial" w:cs="Arial" w:eastAsia="Arial" w:hAnsi="Arial"/>
          <w:sz w:val="17"/>
          <w:szCs w:val="17"/>
          <w:b w:val="1"/>
          <w:bCs w:val="1"/>
          <w:color w:val="auto"/>
        </w:rPr>
        <w:t xml:space="preserve"> </w:t>
      </w:r>
      <w:r>
        <w:rPr>
          <w:rFonts w:ascii="Arial" w:cs="Arial" w:eastAsia="Arial" w:hAnsi="Arial"/>
          <w:sz w:val="17"/>
          <w:szCs w:val="17"/>
          <w:color w:val="auto"/>
        </w:rPr>
        <w:t>of whom shall be 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50" w:lineRule="exact"/>
        <w:rPr>
          <w:rFonts w:ascii="Arial" w:cs="Arial" w:eastAsia="Arial" w:hAnsi="Arial"/>
          <w:sz w:val="17"/>
          <w:szCs w:val="17"/>
          <w:b w:val="1"/>
          <w:bCs w:val="1"/>
          <w:color w:val="auto"/>
        </w:rPr>
      </w:pPr>
    </w:p>
    <w:p>
      <w:pPr>
        <w:jc w:val="both"/>
        <w:ind w:left="700" w:right="300" w:firstLine="390"/>
        <w:spacing w:after="0" w:line="281" w:lineRule="auto"/>
        <w:tabs>
          <w:tab w:leader="none" w:pos="1277"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Board of Directors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 Members of the Audit Committee shall be appointed by the Board of Directors. The Audit</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shall report 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29" w:lineRule="exact"/>
        <w:rPr>
          <w:rFonts w:ascii="Arial" w:cs="Arial" w:eastAsia="Arial" w:hAnsi="Arial"/>
          <w:sz w:val="17"/>
          <w:szCs w:val="17"/>
          <w:b w:val="1"/>
          <w:bCs w:val="1"/>
          <w:color w:val="auto"/>
        </w:rPr>
      </w:pPr>
    </w:p>
    <w:p>
      <w:pPr>
        <w:ind w:left="1260" w:hanging="170"/>
        <w:spacing w:after="0"/>
        <w:tabs>
          <w:tab w:leader="none" w:pos="1260"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Chair</w:t>
      </w:r>
      <w:r>
        <w:rPr>
          <w:rFonts w:ascii="Arial" w:cs="Arial" w:eastAsia="Arial" w:hAnsi="Arial"/>
          <w:sz w:val="16"/>
          <w:szCs w:val="16"/>
          <w:b w:val="1"/>
          <w:bCs w:val="1"/>
          <w:color w:val="auto"/>
        </w:rPr>
        <w:t xml:space="preserve"> </w:t>
      </w:r>
      <w:r>
        <w:rPr>
          <w:rFonts w:ascii="Arial" w:cs="Arial" w:eastAsia="Arial" w:hAnsi="Arial"/>
          <w:sz w:val="16"/>
          <w:szCs w:val="16"/>
          <w:color w:val="auto"/>
        </w:rPr>
        <w:t>— Unless the Board of Directors elects a Chair of the Audit Committee, the Audit Committee shall elect one by majority</w:t>
      </w:r>
    </w:p>
    <w:p>
      <w:pPr>
        <w:spacing w:after="0" w:line="50" w:lineRule="exact"/>
        <w:rPr>
          <w:rFonts w:ascii="Arial" w:cs="Arial" w:eastAsia="Arial" w:hAnsi="Arial"/>
          <w:sz w:val="16"/>
          <w:szCs w:val="16"/>
          <w:b w:val="1"/>
          <w:bCs w:val="1"/>
          <w:color w:val="auto"/>
        </w:rPr>
      </w:pPr>
    </w:p>
    <w:p>
      <w:pPr>
        <w:ind w:left="700"/>
        <w:spacing w:after="0"/>
        <w:rPr>
          <w:rFonts w:ascii="Arial" w:cs="Arial" w:eastAsia="Arial" w:hAnsi="Arial"/>
          <w:sz w:val="16"/>
          <w:szCs w:val="16"/>
          <w:b w:val="1"/>
          <w:bCs w:val="1"/>
          <w:color w:val="auto"/>
        </w:rPr>
      </w:pPr>
      <w:r>
        <w:rPr>
          <w:rFonts w:ascii="Arial" w:cs="Arial" w:eastAsia="Arial" w:hAnsi="Arial"/>
          <w:sz w:val="18"/>
          <w:szCs w:val="18"/>
          <w:color w:val="auto"/>
        </w:rPr>
        <w:t>vote.</w:t>
      </w:r>
    </w:p>
    <w:p>
      <w:pPr>
        <w:spacing w:after="0" w:line="71" w:lineRule="exact"/>
        <w:rPr>
          <w:rFonts w:ascii="Arial" w:cs="Arial" w:eastAsia="Arial" w:hAnsi="Arial"/>
          <w:sz w:val="16"/>
          <w:szCs w:val="16"/>
          <w:b w:val="1"/>
          <w:bCs w:val="1"/>
          <w:color w:val="auto"/>
        </w:rPr>
      </w:pPr>
    </w:p>
    <w:p>
      <w:pPr>
        <w:ind w:left="700" w:right="220" w:firstLine="390"/>
        <w:spacing w:after="0" w:line="266" w:lineRule="auto"/>
        <w:tabs>
          <w:tab w:leader="none" w:pos="1277"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compensation of the Audit Committee members shall be as determined by the Board of Directors. No</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Audit Committee may receive, directly or indirectly, any compensation from the Company other than director’s fees (in cash and/or company shares or options or in-kind consideration).</w:t>
      </w:r>
    </w:p>
    <w:p>
      <w:pPr>
        <w:spacing w:after="0" w:line="54" w:lineRule="exact"/>
        <w:rPr>
          <w:rFonts w:ascii="Arial" w:cs="Arial" w:eastAsia="Arial" w:hAnsi="Arial"/>
          <w:sz w:val="18"/>
          <w:szCs w:val="18"/>
          <w:b w:val="1"/>
          <w:bCs w:val="1"/>
          <w:color w:val="auto"/>
        </w:rPr>
      </w:pPr>
    </w:p>
    <w:p>
      <w:pPr>
        <w:ind w:left="700" w:firstLine="390"/>
        <w:spacing w:after="0" w:line="258" w:lineRule="auto"/>
        <w:tabs>
          <w:tab w:leader="none" w:pos="1277"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 The Audit Committee shall meet on a schedule and in a manner the Audit Committee shall establish. The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also act by 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48" w:lineRule="exact"/>
        <w:rPr>
          <w:rFonts w:ascii="Arial" w:cs="Arial" w:eastAsia="Arial" w:hAnsi="Arial"/>
          <w:sz w:val="18"/>
          <w:szCs w:val="18"/>
          <w:b w:val="1"/>
          <w:bCs w:val="1"/>
          <w:color w:val="auto"/>
        </w:rPr>
      </w:pPr>
    </w:p>
    <w:p>
      <w:pPr>
        <w:ind w:left="700" w:firstLine="390"/>
        <w:spacing w:after="0" w:line="282" w:lineRule="auto"/>
        <w:tabs>
          <w:tab w:leader="none" w:pos="1277"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 The Audit Committee may form and delegate authority to one or more subcommittees as it deems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under the circumstances.</w:t>
      </w:r>
    </w:p>
    <w:p>
      <w:pPr>
        <w:spacing w:after="0" w:line="26" w:lineRule="exact"/>
        <w:rPr>
          <w:rFonts w:ascii="Arial" w:cs="Arial" w:eastAsia="Arial" w:hAnsi="Arial"/>
          <w:sz w:val="18"/>
          <w:szCs w:val="18"/>
          <w:b w:val="1"/>
          <w:bCs w:val="1"/>
          <w:color w:val="auto"/>
        </w:rPr>
      </w:pPr>
    </w:p>
    <w:p>
      <w:pPr>
        <w:jc w:val="both"/>
        <w:ind w:left="700" w:right="60" w:firstLine="390"/>
        <w:spacing w:after="0" w:line="298" w:lineRule="auto"/>
        <w:tabs>
          <w:tab w:leader="none" w:pos="1277"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 The Audit Committee shall maintain unrestricted communication with the independent auditors,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audit function personnel, counsel and financial management to assure that each understands and accepts its responsibilities for direct communication with the Audit Committee as 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32" w:lineRule="exact"/>
        <w:rPr>
          <w:rFonts w:ascii="Arial" w:cs="Arial" w:eastAsia="Arial" w:hAnsi="Arial"/>
          <w:sz w:val="16"/>
          <w:szCs w:val="16"/>
          <w:b w:val="1"/>
          <w:bCs w:val="1"/>
          <w:color w:val="auto"/>
        </w:rPr>
      </w:pPr>
    </w:p>
    <w:p>
      <w:pPr>
        <w:ind w:left="700" w:right="60" w:firstLine="390"/>
        <w:spacing w:after="0" w:line="266" w:lineRule="auto"/>
        <w:tabs>
          <w:tab w:leader="none" w:pos="1277"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and Charter Evaluations</w:t>
      </w:r>
      <w:r>
        <w:rPr>
          <w:rFonts w:ascii="Arial" w:cs="Arial" w:eastAsia="Arial" w:hAnsi="Arial"/>
          <w:sz w:val="18"/>
          <w:szCs w:val="18"/>
          <w:b w:val="1"/>
          <w:bCs w:val="1"/>
          <w:color w:val="auto"/>
        </w:rPr>
        <w:t xml:space="preserve"> </w:t>
      </w:r>
      <w:r>
        <w:rPr>
          <w:rFonts w:ascii="Arial" w:cs="Arial" w:eastAsia="Arial" w:hAnsi="Arial"/>
          <w:sz w:val="18"/>
          <w:szCs w:val="18"/>
          <w:color w:val="auto"/>
        </w:rPr>
        <w:t>— The Audit Committee shall maintain this Audit Committee Charter and obtain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the Board of Directors for all revisions or changes to the Charter. The Audit Committee shall review and reassess the Charter as conditions dictate or at least annually.</w:t>
      </w:r>
    </w:p>
    <w:p>
      <w:pPr>
        <w:spacing w:after="0" w:line="35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00" w:hanging="407"/>
        <w:spacing w:after="0"/>
        <w:tabs>
          <w:tab w:leader="none" w:pos="1100" w:val="left"/>
        </w:tabs>
        <w:numPr>
          <w:ilvl w:val="0"/>
          <w:numId w:val="1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Responsibilities and Duties</w:t>
      </w:r>
    </w:p>
    <w:p>
      <w:pPr>
        <w:spacing w:after="0" w:line="103" w:lineRule="exact"/>
        <w:rPr>
          <w:rFonts w:ascii="Arial" w:cs="Arial" w:eastAsia="Arial" w:hAnsi="Arial"/>
          <w:sz w:val="18"/>
          <w:szCs w:val="18"/>
          <w:b w:val="1"/>
          <w:bCs w:val="1"/>
          <w:u w:val="single" w:color="auto"/>
          <w:color w:val="auto"/>
        </w:rPr>
      </w:pPr>
    </w:p>
    <w:p>
      <w:pPr>
        <w:ind w:left="700" w:firstLine="390"/>
        <w:spacing w:after="0" w:line="290" w:lineRule="auto"/>
        <w:tabs>
          <w:tab w:leader="none" w:pos="1277"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 The Audit Committee shall discharge its responsibilities and shall assess the information provided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the internal 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24" w:lineRule="exact"/>
        <w:rPr>
          <w:rFonts w:ascii="Arial" w:cs="Arial" w:eastAsia="Arial" w:hAnsi="Arial"/>
          <w:sz w:val="16"/>
          <w:szCs w:val="16"/>
          <w:b w:val="1"/>
          <w:bCs w:val="1"/>
          <w:color w:val="auto"/>
        </w:rPr>
      </w:pPr>
    </w:p>
    <w:p>
      <w:pPr>
        <w:ind w:left="1260" w:hanging="170"/>
        <w:spacing w:after="0"/>
        <w:tabs>
          <w:tab w:leader="none" w:pos="126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Oversight of Independent Auditors</w:t>
      </w:r>
    </w:p>
    <w:p>
      <w:pPr>
        <w:spacing w:after="0" w:line="94"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Selection and Reporting</w:t>
      </w:r>
      <w:r>
        <w:rPr>
          <w:rFonts w:ascii="Arial" w:cs="Arial" w:eastAsia="Arial" w:hAnsi="Arial"/>
          <w:sz w:val="18"/>
          <w:szCs w:val="18"/>
          <w:color w:val="auto"/>
        </w:rPr>
        <w:t xml:space="preserve">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65"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Compensation</w:t>
      </w:r>
      <w:r>
        <w:rPr>
          <w:rFonts w:ascii="Arial" w:cs="Arial" w:eastAsia="Arial" w:hAnsi="Arial"/>
          <w:sz w:val="18"/>
          <w:szCs w:val="18"/>
          <w:color w:val="auto"/>
        </w:rPr>
        <w:t xml:space="preserve">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46"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u w:val="single" w:color="auto"/>
          <w:color w:val="auto"/>
        </w:rPr>
        <w:t>Independence</w:t>
      </w:r>
      <w:r>
        <w:rPr>
          <w:rFonts w:ascii="Arial" w:cs="Arial" w:eastAsia="Arial" w:hAnsi="Arial"/>
          <w:sz w:val="16"/>
          <w:szCs w:val="16"/>
          <w:color w:val="auto"/>
        </w:rPr>
        <w:t xml:space="preserv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Independence Standards Board’s Standard No. 1.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23"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Quality-Control Report</w:t>
      </w:r>
      <w:r>
        <w:rPr>
          <w:rFonts w:ascii="Arial" w:cs="Arial" w:eastAsia="Arial" w:hAnsi="Arial"/>
          <w:sz w:val="18"/>
          <w:szCs w:val="18"/>
          <w:color w:val="auto"/>
        </w:rPr>
        <w:t xml:space="preserve"> — At least annually, the Audit Committee shall obtain and review a report by the independent auditors describing:</w:t>
      </w:r>
    </w:p>
    <w:p>
      <w:pPr>
        <w:spacing w:after="0" w:line="49"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internal quality-control procedures at the independent auditor’s firm; and</w:t>
      </w:r>
    </w:p>
    <w:p>
      <w:pPr>
        <w:spacing w:after="0" w:line="76" w:lineRule="exact"/>
        <w:rPr>
          <w:rFonts w:ascii="Arial" w:cs="Arial" w:eastAsia="Arial" w:hAnsi="Arial"/>
          <w:sz w:val="18"/>
          <w:szCs w:val="18"/>
          <w:color w:val="auto"/>
        </w:rPr>
      </w:pPr>
    </w:p>
    <w:p>
      <w:pPr>
        <w:ind w:left="1300" w:hanging="202"/>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12"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Pre-approval of Services</w:t>
      </w:r>
      <w:r>
        <w:rPr>
          <w:rFonts w:ascii="Arial" w:cs="Arial" w:eastAsia="Arial" w:hAnsi="Arial"/>
          <w:sz w:val="18"/>
          <w:szCs w:val="18"/>
          <w:color w:val="auto"/>
        </w:rPr>
        <w:t xml:space="preserve"> — The Audit Committee shall pre-approve all audit services to be provided to the Company, whether provided by the principal auditor or other firms, and all other services (review, attest and non-audit) to be provided to the Company by the independent auditor; provided, however, that de minimis non-audit services may instead be approved in accordance with applicable NYSE and SEC rules. The Audit Committee shall cause the Company to disclose compliance with any applicable disclosure requirements regarding approval by the Audit Committee of any non-audit services to be performed by the independent auditor. Any decision of a subcommittee to pre-approve audit or non- audit services shall be presented to the full Audit Committee at its next scheduled meeting.</w:t>
      </w:r>
    </w:p>
    <w:p>
      <w:pPr>
        <w:spacing w:after="0" w:line="54" w:lineRule="exact"/>
        <w:rPr>
          <w:sz w:val="20"/>
          <w:szCs w:val="20"/>
          <w:color w:val="auto"/>
        </w:rPr>
      </w:pPr>
    </w:p>
    <w:p>
      <w:pPr>
        <w:jc w:val="both"/>
        <w:ind w:left="700" w:right="300" w:firstLine="397"/>
        <w:spacing w:after="0" w:line="286"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i w:val="1"/>
          <w:iCs w:val="1"/>
          <w:u w:val="single" w:color="auto"/>
          <w:color w:val="auto"/>
        </w:rPr>
        <w:t>Review Scope of Services</w:t>
      </w:r>
      <w:r>
        <w:rPr>
          <w:rFonts w:ascii="Arial" w:cs="Arial" w:eastAsia="Arial" w:hAnsi="Arial"/>
          <w:sz w:val="17"/>
          <w:szCs w:val="17"/>
          <w:color w:val="auto"/>
        </w:rPr>
        <w:t xml:space="preserve">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35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u w:val="single" w:color="auto"/>
          <w:color w:val="auto"/>
        </w:rPr>
        <w:t>Discussion of Independent Auditors’ Comments and Recommendations</w:t>
      </w:r>
      <w:r>
        <w:rPr>
          <w:rFonts w:ascii="Arial" w:cs="Arial" w:eastAsia="Arial" w:hAnsi="Arial"/>
          <w:sz w:val="18"/>
          <w:szCs w:val="18"/>
          <w:color w:val="auto"/>
        </w:rPr>
        <w:t xml:space="preserve"> — The Audit Committee shall meet with the independent auditors to review their comments and recommendations with respect to:</w:t>
      </w:r>
    </w:p>
    <w:p>
      <w:pPr>
        <w:spacing w:after="0" w:line="49"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 accounting controls;</w:t>
      </w:r>
    </w:p>
    <w:p>
      <w:pPr>
        <w:spacing w:after="0" w:line="76"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 difficulties, including restrictions on the scope of the independent auditors’ activities or access to requested information or significant disagreements with management;</w:t>
      </w:r>
    </w:p>
    <w:p>
      <w:pPr>
        <w:spacing w:after="0" w:line="21" w:lineRule="exact"/>
        <w:rPr>
          <w:rFonts w:ascii="Arial" w:cs="Arial" w:eastAsia="Arial" w:hAnsi="Arial"/>
          <w:sz w:val="18"/>
          <w:szCs w:val="18"/>
          <w:color w:val="auto"/>
        </w:rPr>
      </w:pPr>
    </w:p>
    <w:p>
      <w:pPr>
        <w:ind w:left="1300" w:right="240" w:hanging="20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32"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regulatory and accounting initiatives, as well as off balance sheet structures; and</w:t>
      </w:r>
    </w:p>
    <w:p>
      <w:pPr>
        <w:spacing w:after="0" w:line="76"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matters relating to the accounting procedures and records of the Company.</w:t>
      </w:r>
    </w:p>
    <w:p>
      <w:pPr>
        <w:spacing w:after="0" w:line="90"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The Audit Committee shall also review with the independent auditors the consideration given by management to such and any corrective action taken by management with respect thereto.</w:t>
      </w:r>
    </w:p>
    <w:p>
      <w:pPr>
        <w:spacing w:after="0" w:line="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u w:val="single" w:color="auto"/>
          <w:color w:val="auto"/>
        </w:rPr>
        <w:t>Interim Financial Information</w:t>
      </w:r>
      <w:r>
        <w:rPr>
          <w:rFonts w:ascii="Arial" w:cs="Arial" w:eastAsia="Arial" w:hAnsi="Arial"/>
          <w:sz w:val="18"/>
          <w:szCs w:val="18"/>
          <w:color w:val="auto"/>
        </w:rPr>
        <w:t xml:space="preserve">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61" w:lineRule="exact"/>
        <w:rPr>
          <w:sz w:val="20"/>
          <w:szCs w:val="20"/>
          <w:color w:val="auto"/>
        </w:rPr>
      </w:pPr>
    </w:p>
    <w:p>
      <w:pPr>
        <w:ind w:left="1260" w:hanging="170"/>
        <w:spacing w:after="0"/>
        <w:tabs>
          <w:tab w:leader="none" w:pos="1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Review of Financial Data and Disclosures</w:t>
      </w:r>
    </w:p>
    <w:p>
      <w:pPr>
        <w:spacing w:after="0" w:line="94"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Review of Quarterly Reviewed and Annual Audited Financial Data</w:t>
      </w:r>
      <w:r>
        <w:rPr>
          <w:rFonts w:ascii="Arial" w:cs="Arial" w:eastAsia="Arial" w:hAnsi="Arial"/>
          <w:sz w:val="17"/>
          <w:szCs w:val="17"/>
          <w:color w:val="auto"/>
        </w:rPr>
        <w:t xml:space="preserve">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37"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u w:val="single" w:color="auto"/>
          <w:color w:val="auto"/>
        </w:rPr>
        <w:t>Review of Auditor Reports</w:t>
      </w:r>
      <w:r>
        <w:rPr>
          <w:rFonts w:ascii="Arial" w:cs="Arial" w:eastAsia="Arial" w:hAnsi="Arial"/>
          <w:sz w:val="16"/>
          <w:szCs w:val="16"/>
          <w:color w:val="auto"/>
        </w:rPr>
        <w:t xml:space="preserve">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37"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Review of Earnings Release and Other Financial Information</w:t>
      </w:r>
      <w:r>
        <w:rPr>
          <w:rFonts w:ascii="Arial" w:cs="Arial" w:eastAsia="Arial" w:hAnsi="Arial"/>
          <w:sz w:val="18"/>
          <w:szCs w:val="18"/>
          <w:color w:val="auto"/>
        </w:rPr>
        <w:t xml:space="preserve">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42" w:lineRule="exact"/>
        <w:rPr>
          <w:sz w:val="20"/>
          <w:szCs w:val="20"/>
          <w:color w:val="auto"/>
        </w:rPr>
      </w:pPr>
    </w:p>
    <w:p>
      <w:pPr>
        <w:ind w:left="1260" w:hanging="170"/>
        <w:spacing w:after="0"/>
        <w:tabs>
          <w:tab w:leader="none" w:pos="1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Review of Internal Reports and Processes</w:t>
      </w:r>
    </w:p>
    <w:p>
      <w:pPr>
        <w:spacing w:after="0" w:line="94"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Review of Internal Audit Function</w:t>
      </w:r>
      <w:r>
        <w:rPr>
          <w:rFonts w:ascii="Arial" w:cs="Arial" w:eastAsia="Arial" w:hAnsi="Arial"/>
          <w:sz w:val="18"/>
          <w:szCs w:val="18"/>
          <w:color w:val="auto"/>
        </w:rPr>
        <w:t xml:space="preserve"> — The Audit Committee shall review and evaluate the activities and recommendations of the Company’s internal audit function and the responses of the Company to such recommendations, including the independence and authority of the function. The Audit Committee is responsible to review the scope of the internal audit function, as well as, its staffing and compensation.</w:t>
      </w:r>
    </w:p>
    <w:p>
      <w:pPr>
        <w:spacing w:after="0" w:line="65"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u w:val="single" w:color="auto"/>
          <w:color w:val="auto"/>
        </w:rPr>
        <w:t>Oversight of Company’s Internal Control Processes</w:t>
      </w:r>
      <w:r>
        <w:rPr>
          <w:rFonts w:ascii="Arial" w:cs="Arial" w:eastAsia="Arial" w:hAnsi="Arial"/>
          <w:sz w:val="16"/>
          <w:szCs w:val="16"/>
          <w:color w:val="auto"/>
        </w:rPr>
        <w:t xml:space="preserve">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19"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Succession Planning Process</w:t>
      </w:r>
      <w:r>
        <w:rPr>
          <w:rFonts w:ascii="Arial" w:cs="Arial" w:eastAsia="Arial" w:hAnsi="Arial"/>
          <w:sz w:val="18"/>
          <w:szCs w:val="18"/>
          <w:color w:val="auto"/>
        </w:rPr>
        <w:t xml:space="preserve"> — The Audit Committee shall review and evaluate the performance and the succession planning process for the Company’s finance and accounting personnel.</w:t>
      </w:r>
    </w:p>
    <w:p>
      <w:pPr>
        <w:spacing w:after="0" w:line="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Procedure for Complaints</w:t>
      </w:r>
      <w:r>
        <w:rPr>
          <w:rFonts w:ascii="Arial" w:cs="Arial" w:eastAsia="Arial" w:hAnsi="Arial"/>
          <w:sz w:val="18"/>
          <w:szCs w:val="18"/>
          <w:color w:val="auto"/>
        </w:rPr>
        <w:t xml:space="preserve">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hanging="7"/>
        <w:spacing w:after="0" w:line="277" w:lineRule="auto"/>
        <w:tabs>
          <w:tab w:leader="none" w:pos="9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confidential, anonymous submission by employees of the Company of concerns regarding such matters. The Audit Committee shall establish procedures for the reporting of such matters, when significant, to the Board of Directors.</w:t>
      </w:r>
    </w:p>
    <w:p>
      <w:pPr>
        <w:spacing w:after="0" w:line="48" w:lineRule="exact"/>
        <w:rPr>
          <w:rFonts w:ascii="Arial" w:cs="Arial" w:eastAsia="Arial" w:hAnsi="Arial"/>
          <w:sz w:val="18"/>
          <w:szCs w:val="18"/>
          <w:color w:val="auto"/>
        </w:rPr>
      </w:pPr>
    </w:p>
    <w:p>
      <w:pPr>
        <w:ind w:left="700" w:right="180" w:firstLine="390"/>
        <w:spacing w:after="0" w:line="277" w:lineRule="auto"/>
        <w:tabs>
          <w:tab w:leader="none" w:pos="1267" w:val="left"/>
        </w:tabs>
        <w:numPr>
          <w:ilvl w:val="1"/>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Discussion with Company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review periodically legal, environmental, code of ethics,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matters with the Company’s counsel.</w:t>
      </w:r>
    </w:p>
    <w:p>
      <w:pPr>
        <w:spacing w:after="0" w:line="35" w:lineRule="exact"/>
        <w:rPr>
          <w:rFonts w:ascii="Arial" w:cs="Arial" w:eastAsia="Arial" w:hAnsi="Arial"/>
          <w:sz w:val="18"/>
          <w:szCs w:val="18"/>
          <w:color w:val="auto"/>
        </w:rPr>
      </w:pPr>
    </w:p>
    <w:p>
      <w:pPr>
        <w:ind w:left="700" w:right="260" w:firstLine="390"/>
        <w:spacing w:after="0" w:line="277" w:lineRule="auto"/>
        <w:tabs>
          <w:tab w:leader="none" w:pos="1247" w:val="left"/>
        </w:tabs>
        <w:numPr>
          <w:ilvl w:val="1"/>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Hiring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establish policies regarding the hiring of employees or former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auditors.</w:t>
      </w:r>
    </w:p>
    <w:p>
      <w:pPr>
        <w:spacing w:after="0" w:line="35" w:lineRule="exact"/>
        <w:rPr>
          <w:rFonts w:ascii="Arial" w:cs="Arial" w:eastAsia="Arial" w:hAnsi="Arial"/>
          <w:sz w:val="18"/>
          <w:szCs w:val="18"/>
          <w:color w:val="auto"/>
        </w:rPr>
      </w:pPr>
    </w:p>
    <w:p>
      <w:pPr>
        <w:ind w:left="700" w:right="300" w:firstLine="390"/>
        <w:spacing w:after="0" w:line="259" w:lineRule="auto"/>
        <w:tabs>
          <w:tab w:leader="none" w:pos="1277" w:val="left"/>
        </w:tabs>
        <w:numPr>
          <w:ilvl w:val="1"/>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Risk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discuss the Company’s policies with respect to risk assessment and risk</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guidelines and policies to govern the process by which the Company’s exposure to risk is handled. The Audit Committee should also discuss the Company’s major financial risk exposures and steps taken by management to monitor and control such exposures.</w:t>
      </w:r>
    </w:p>
    <w:p>
      <w:pPr>
        <w:spacing w:after="0" w:line="65" w:lineRule="exact"/>
        <w:rPr>
          <w:rFonts w:ascii="Arial" w:cs="Arial" w:eastAsia="Arial" w:hAnsi="Arial"/>
          <w:sz w:val="18"/>
          <w:szCs w:val="18"/>
          <w:color w:val="auto"/>
        </w:rPr>
      </w:pPr>
    </w:p>
    <w:p>
      <w:pPr>
        <w:ind w:left="700" w:right="220" w:firstLine="390"/>
        <w:spacing w:after="0" w:line="259" w:lineRule="auto"/>
        <w:tabs>
          <w:tab w:leader="none" w:pos="1277" w:val="left"/>
        </w:tabs>
        <w:numPr>
          <w:ilvl w:val="1"/>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Related Party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 The Audit Committee shall review and approve the Company’s policies and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5. Administration</w:t>
      </w:r>
    </w:p>
    <w:p>
      <w:pPr>
        <w:spacing w:after="0" w:line="94"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Audit Committee Independence</w:t>
      </w:r>
      <w:r>
        <w:rPr>
          <w:rFonts w:ascii="Arial" w:cs="Arial" w:eastAsia="Arial" w:hAnsi="Arial"/>
          <w:sz w:val="18"/>
          <w:szCs w:val="18"/>
          <w:color w:val="auto"/>
        </w:rPr>
        <w:t xml:space="preserve"> — The Audit Committee shall make inquiry of each member of the Audit Committee to confirm compliance with independence requirements as defined by Section 301 of the Sarbanes-Oxley Act of 2002 to the extent applicable to the Company.</w:t>
      </w:r>
    </w:p>
    <w:p>
      <w:pPr>
        <w:spacing w:after="0" w:line="60"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Outside Consultants</w:t>
      </w:r>
      <w:r>
        <w:rPr>
          <w:rFonts w:ascii="Arial" w:cs="Arial" w:eastAsia="Arial" w:hAnsi="Arial"/>
          <w:sz w:val="18"/>
          <w:szCs w:val="18"/>
          <w:color w:val="auto"/>
        </w:rPr>
        <w:t xml:space="preserve">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46" w:lineRule="exact"/>
        <w:rPr>
          <w:sz w:val="20"/>
          <w:szCs w:val="20"/>
          <w:color w:val="auto"/>
        </w:rPr>
      </w:pPr>
    </w:p>
    <w:p>
      <w:pPr>
        <w:ind w:left="700" w:right="180" w:firstLine="397"/>
        <w:spacing w:after="0" w:line="334"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u w:val="single" w:color="auto"/>
          <w:color w:val="auto"/>
        </w:rPr>
        <w:t>Administrative Expenses</w:t>
      </w:r>
      <w:r>
        <w:rPr>
          <w:rFonts w:ascii="Arial" w:cs="Arial" w:eastAsia="Arial" w:hAnsi="Arial"/>
          <w:sz w:val="16"/>
          <w:szCs w:val="16"/>
          <w:color w:val="auto"/>
        </w:rPr>
        <w:t xml:space="preserve"> — The Audit Committee is empowered, without further action by the Board of Directors, to cause the Company to pay the ordinary administrative expenses of the Audit Committee that are necessary or appropriate to carry out its duties.</w:t>
      </w:r>
    </w:p>
    <w:p>
      <w:pPr>
        <w:spacing w:after="0" w:line="1" w:lineRule="exact"/>
        <w:rPr>
          <w:sz w:val="20"/>
          <w:szCs w:val="20"/>
          <w:color w:val="auto"/>
        </w:rPr>
      </w:pPr>
    </w:p>
    <w:p>
      <w:pPr>
        <w:jc w:val="both"/>
        <w:ind w:left="700" w:right="520" w:firstLine="397"/>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u w:val="single" w:color="auto"/>
          <w:color w:val="auto"/>
        </w:rPr>
        <w:t>Report to Board of Directors</w:t>
      </w:r>
      <w:r>
        <w:rPr>
          <w:rFonts w:ascii="Arial" w:cs="Arial" w:eastAsia="Arial" w:hAnsi="Arial"/>
          <w:sz w:val="17"/>
          <w:szCs w:val="17"/>
          <w:color w:val="auto"/>
        </w:rPr>
        <w:t xml:space="preserve">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44"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Audit Committee Report</w:t>
      </w:r>
      <w:r>
        <w:rPr>
          <w:rFonts w:ascii="Arial" w:cs="Arial" w:eastAsia="Arial" w:hAnsi="Arial"/>
          <w:sz w:val="18"/>
          <w:szCs w:val="18"/>
          <w:color w:val="auto"/>
        </w:rPr>
        <w:t xml:space="preserve"> — The Audit Committee shall prepare an annual committee report as necessary or appropriate under the rules and regulations of the SEC.</w:t>
      </w:r>
    </w:p>
    <w:p>
      <w:pPr>
        <w:spacing w:after="0" w:line="35" w:lineRule="exact"/>
        <w:rPr>
          <w:sz w:val="20"/>
          <w:szCs w:val="20"/>
          <w:color w:val="auto"/>
        </w:rPr>
      </w:pPr>
    </w:p>
    <w:p>
      <w:pPr>
        <w:jc w:val="both"/>
        <w:ind w:left="700" w:right="200" w:firstLine="397"/>
        <w:spacing w:after="0" w:line="31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u w:val="single" w:color="auto"/>
          <w:color w:val="auto"/>
        </w:rPr>
        <w:t>Written Affirmation to the NYSE</w:t>
      </w:r>
      <w:r>
        <w:rPr>
          <w:rFonts w:ascii="Arial" w:cs="Arial" w:eastAsia="Arial" w:hAnsi="Arial"/>
          <w:sz w:val="16"/>
          <w:szCs w:val="16"/>
          <w:color w:val="auto"/>
        </w:rPr>
        <w:t xml:space="preserv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u w:val="single" w:color="auto"/>
          <w:color w:val="auto"/>
        </w:rPr>
        <w:t>Annual Self-Evaluation</w:t>
      </w:r>
      <w:r>
        <w:rPr>
          <w:rFonts w:ascii="Arial" w:cs="Arial" w:eastAsia="Arial" w:hAnsi="Arial"/>
          <w:sz w:val="18"/>
          <w:szCs w:val="18"/>
          <w:color w:val="auto"/>
        </w:rPr>
        <w:t xml:space="preserve"> — At least annually, the Audit Committee shall evaluate its own performance.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6. Other Responsibilities</w:t>
      </w:r>
    </w:p>
    <w:p>
      <w:pPr>
        <w:spacing w:after="0" w:line="94"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Review of Other Outside Reports</w:t>
      </w:r>
      <w:r>
        <w:rPr>
          <w:rFonts w:ascii="Arial" w:cs="Arial" w:eastAsia="Arial" w:hAnsi="Arial"/>
          <w:sz w:val="18"/>
          <w:szCs w:val="18"/>
          <w:color w:val="auto"/>
        </w:rPr>
        <w:t xml:space="preserve">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46" w:lineRule="exact"/>
        <w:rPr>
          <w:sz w:val="20"/>
          <w:szCs w:val="20"/>
          <w:color w:val="auto"/>
        </w:rPr>
      </w:pPr>
    </w:p>
    <w:p>
      <w:pPr>
        <w:jc w:val="both"/>
        <w:ind w:left="700" w:right="420" w:firstLine="397"/>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Other investigations</w:t>
      </w:r>
      <w:r>
        <w:rPr>
          <w:rFonts w:ascii="Arial" w:cs="Arial" w:eastAsia="Arial" w:hAnsi="Arial"/>
          <w:sz w:val="18"/>
          <w:szCs w:val="18"/>
          <w:color w:val="auto"/>
        </w:rPr>
        <w:t xml:space="preserve"> — The Audit Committee shall conduct or authorize investigations into any matter brought to the Audit Committee’s attention within the scope of its duties, including anything as may be referred to the Audit Committee by the Board of Directors.</w:t>
      </w:r>
    </w:p>
    <w:p>
      <w:pPr>
        <w:spacing w:after="0" w:line="6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Other Matters</w:t>
      </w:r>
      <w:r>
        <w:rPr>
          <w:rFonts w:ascii="Arial" w:cs="Arial" w:eastAsia="Arial" w:hAnsi="Arial"/>
          <w:sz w:val="18"/>
          <w:szCs w:val="18"/>
          <w:color w:val="auto"/>
        </w:rPr>
        <w:t xml:space="preserve"> — The Audit Committee shall consider such other matters in relation to the financial affairs of the Company as the Audit Committee may, in its discretion, determine to be advisable.</w:t>
      </w:r>
    </w:p>
    <w:p>
      <w:pPr>
        <w:spacing w:after="0" w:line="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Additional Powers</w:t>
      </w:r>
      <w:r>
        <w:rPr>
          <w:rFonts w:ascii="Arial" w:cs="Arial" w:eastAsia="Arial" w:hAnsi="Arial"/>
          <w:sz w:val="18"/>
          <w:szCs w:val="18"/>
          <w:color w:val="auto"/>
        </w:rPr>
        <w:t xml:space="preserve"> — The Audit Committee shall have such other duties as may be delegated from time to time by the Board of Directors.</w:t>
      </w:r>
    </w:p>
    <w:p>
      <w:pPr>
        <w:spacing w:after="0" w:line="34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B</w:t>
      </w:r>
    </w:p>
    <w:p>
      <w:pPr>
        <w:spacing w:after="0" w:line="34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u w:val="single" w:color="auto"/>
          <w:color w:val="auto"/>
        </w:rPr>
        <w:t>CATEGORICAL STANDARDS</w:t>
      </w:r>
    </w:p>
    <w:p>
      <w:pPr>
        <w:spacing w:after="0" w:line="135"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71" w:lineRule="exact"/>
        <w:rPr>
          <w:sz w:val="20"/>
          <w:szCs w:val="20"/>
          <w:color w:val="auto"/>
        </w:rPr>
      </w:pPr>
    </w:p>
    <w:p>
      <w:pPr>
        <w:ind w:left="1300" w:right="18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Charitable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 executive officer of a</w:t>
      </w:r>
      <w:r>
        <w:rPr>
          <w:rFonts w:ascii="Arial" w:cs="Arial" w:eastAsia="Arial" w:hAnsi="Arial"/>
          <w:sz w:val="18"/>
          <w:szCs w:val="18"/>
          <w:i w:val="1"/>
          <w:iCs w:val="1"/>
          <w:color w:val="auto"/>
        </w:rPr>
        <w:t xml:space="preserve"> </w:t>
      </w:r>
      <w:r>
        <w:rPr>
          <w:rFonts w:ascii="Arial" w:cs="Arial" w:eastAsia="Arial" w:hAnsi="Arial"/>
          <w:sz w:val="18"/>
          <w:szCs w:val="18"/>
          <w:color w:val="auto"/>
        </w:rPr>
        <w:t>charitable organization 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78"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Indebtedness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director or an immediate family member of the director has served, as an executive officer of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94"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 xml:space="preserve">For purposes of the above standards: (i)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includes Amdocs Limited and any parent or subsidiary that would be required under U.S. generally accepted accounting principles to prepare financial statements on a consolidated basis; and (ii)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Member” </w:t>
      </w:r>
      <w:r>
        <w:rPr>
          <w:rFonts w:ascii="Arial" w:cs="Arial" w:eastAsia="Arial" w:hAnsi="Arial"/>
          <w:sz w:val="16"/>
          <w:szCs w:val="16"/>
          <w:color w:val="auto"/>
        </w:rPr>
        <w:t>includes a person’s spouse, parents, children, siblings, mothers and fathers-in-law, sons and daughters-in-law, brothers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sisters-in-law, and anyone (other than domestic employees) who shares such person’s home, other than individuals who are no longer immediate family members as a result of legal separation or divorce, or those who have died or become incapacitated.</w:t>
      </w:r>
    </w:p>
    <w:p>
      <w:pPr>
        <w:spacing w:after="0" w:line="34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ANNUAL GENERAL MEETING OF SHAREHOLDERS OF</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AMDOCS LIMITED</w:t>
      </w: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January 21, 2010</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Notice of Meeting, Proxy Statement, Proxy Card</w:t>
      </w:r>
    </w:p>
    <w:p>
      <w:pPr>
        <w:jc w:val="center"/>
        <w:ind w:right="-59"/>
        <w:spacing w:after="0"/>
        <w:rPr>
          <w:sz w:val="20"/>
          <w:szCs w:val="20"/>
          <w:color w:val="auto"/>
        </w:rPr>
      </w:pPr>
      <w:r>
        <w:rPr>
          <w:rFonts w:ascii="Arial" w:cs="Arial" w:eastAsia="Arial" w:hAnsi="Arial"/>
          <w:sz w:val="18"/>
          <w:szCs w:val="18"/>
          <w:color w:val="auto"/>
        </w:rPr>
        <w:t>are available at www.amdocs.com/proxy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Please sign, date and mail</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your proxy card in the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envelope provided as soon</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5020" w:type="dxa"/>
            <w:vAlign w:val="bottom"/>
          </w:tcPr>
          <w:p>
            <w:pPr>
              <w:jc w:val="right"/>
              <w:ind w:right="170"/>
              <w:spacing w:after="0"/>
              <w:rPr>
                <w:sz w:val="20"/>
                <w:szCs w:val="20"/>
                <w:color w:val="auto"/>
              </w:rPr>
            </w:pPr>
            <w:r>
              <w:rPr>
                <w:rFonts w:ascii="Arial" w:cs="Arial" w:eastAsia="Arial" w:hAnsi="Arial"/>
                <w:sz w:val="14"/>
                <w:szCs w:val="14"/>
                <w:b w:val="1"/>
                <w:bCs w:val="1"/>
                <w:color w:val="auto"/>
              </w:rPr>
              <w:t xml:space="preserve">â </w:t>
            </w:r>
            <w:r>
              <w:rPr>
                <w:rFonts w:ascii="Arial" w:cs="Arial" w:eastAsia="Arial" w:hAnsi="Arial"/>
                <w:sz w:val="14"/>
                <w:szCs w:val="14"/>
                <w:color w:val="auto"/>
              </w:rPr>
              <w:t>Please detach along perforated line and mail in the envelope provided.</w:t>
            </w:r>
            <w:r>
              <w:rPr>
                <w:rFonts w:ascii="Arial" w:cs="Arial" w:eastAsia="Arial" w:hAnsi="Arial"/>
                <w:sz w:val="14"/>
                <w:szCs w:val="14"/>
                <w:b w:val="1"/>
                <w:bCs w:val="1"/>
                <w:color w:val="auto"/>
              </w:rPr>
              <w:t xml:space="preserve"> â</w:t>
            </w:r>
          </w:p>
        </w:tc>
      </w:tr>
      <w:tr>
        <w:trPr>
          <w:trHeight w:val="481"/>
        </w:trPr>
        <w:tc>
          <w:tcPr>
            <w:tcW w:w="2620" w:type="dxa"/>
            <w:vAlign w:val="bottom"/>
          </w:tcPr>
          <w:p>
            <w:pPr>
              <w:jc w:val="right"/>
              <w:spacing w:after="0"/>
              <w:rPr>
                <w:sz w:val="20"/>
                <w:szCs w:val="20"/>
                <w:color w:val="auto"/>
              </w:rPr>
            </w:pPr>
            <w:r>
              <w:rPr>
                <w:rFonts w:ascii="Arial" w:cs="Arial" w:eastAsia="Arial" w:hAnsi="Arial"/>
                <w:sz w:val="22"/>
                <w:szCs w:val="22"/>
                <w:color w:val="auto"/>
                <w:w w:val="97"/>
              </w:rPr>
              <w:t>21330300000000000000 1</w:t>
            </w:r>
          </w:p>
        </w:tc>
        <w:tc>
          <w:tcPr>
            <w:tcW w:w="5020" w:type="dxa"/>
            <w:vAlign w:val="bottom"/>
          </w:tcPr>
          <w:p>
            <w:pPr>
              <w:jc w:val="right"/>
              <w:spacing w:after="0"/>
              <w:rPr>
                <w:sz w:val="20"/>
                <w:szCs w:val="20"/>
                <w:color w:val="auto"/>
              </w:rPr>
            </w:pPr>
            <w:r>
              <w:rPr>
                <w:rFonts w:ascii="Arial" w:cs="Arial" w:eastAsia="Arial" w:hAnsi="Arial"/>
                <w:sz w:val="22"/>
                <w:szCs w:val="22"/>
                <w:color w:val="auto"/>
              </w:rPr>
              <w:t>012110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6" w:lineRule="exact"/>
        <w:rPr>
          <w:sz w:val="20"/>
          <w:szCs w:val="20"/>
          <w:color w:val="auto"/>
        </w:rPr>
      </w:pPr>
    </w:p>
    <w:p>
      <w:pPr>
        <w:jc w:val="center"/>
        <w:ind w:right="-59"/>
        <w:spacing w:after="0" w:line="230"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4107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107815"/>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20" w:type="dxa"/>
            <w:vAlign w:val="bottom"/>
          </w:tcPr>
          <w:p>
            <w:pPr>
              <w:ind w:left="80"/>
              <w:spacing w:after="0"/>
              <w:rPr>
                <w:sz w:val="20"/>
                <w:szCs w:val="20"/>
                <w:color w:val="auto"/>
              </w:rPr>
            </w:pPr>
            <w:r>
              <w:rPr>
                <w:rFonts w:ascii="Arial" w:cs="Arial" w:eastAsia="Arial" w:hAnsi="Arial"/>
                <w:sz w:val="14"/>
                <w:szCs w:val="14"/>
                <w:color w:val="auto"/>
              </w:rPr>
              <w:t>APPROVAL</w:t>
            </w:r>
          </w:p>
        </w:tc>
        <w:tc>
          <w:tcPr>
            <w:tcW w:w="540" w:type="dxa"/>
            <w:vAlign w:val="bottom"/>
          </w:tcPr>
          <w:p>
            <w:pPr>
              <w:ind w:left="160"/>
              <w:spacing w:after="0"/>
              <w:rPr>
                <w:sz w:val="20"/>
                <w:szCs w:val="20"/>
                <w:color w:val="auto"/>
              </w:rPr>
            </w:pPr>
            <w:r>
              <w:rPr>
                <w:rFonts w:ascii="Arial" w:cs="Arial" w:eastAsia="Arial" w:hAnsi="Arial"/>
                <w:sz w:val="14"/>
                <w:szCs w:val="14"/>
                <w:color w:val="auto"/>
              </w:rPr>
              <w:t>OF</w:t>
            </w:r>
          </w:p>
        </w:tc>
        <w:tc>
          <w:tcPr>
            <w:tcW w:w="144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940" w:type="dxa"/>
            <w:vAlign w:val="bottom"/>
          </w:tcPr>
          <w:p>
            <w:pPr>
              <w:ind w:left="180"/>
              <w:spacing w:after="0"/>
              <w:rPr>
                <w:sz w:val="20"/>
                <w:szCs w:val="20"/>
                <w:color w:val="auto"/>
              </w:rPr>
            </w:pPr>
            <w:r>
              <w:rPr>
                <w:rFonts w:ascii="Arial" w:cs="Arial" w:eastAsia="Arial" w:hAnsi="Arial"/>
                <w:sz w:val="14"/>
                <w:szCs w:val="14"/>
                <w:color w:val="auto"/>
              </w:rPr>
              <w:t>FINANCIAL</w:t>
            </w:r>
          </w:p>
        </w:tc>
        <w:tc>
          <w:tcPr>
            <w:tcW w:w="0" w:type="dxa"/>
            <w:vAlign w:val="bottom"/>
          </w:tcPr>
          <w:p>
            <w:pPr>
              <w:spacing w:after="0"/>
              <w:rPr>
                <w:sz w:val="1"/>
                <w:szCs w:val="1"/>
                <w:color w:val="auto"/>
              </w:rPr>
            </w:pPr>
          </w:p>
        </w:tc>
      </w:tr>
      <w:tr>
        <w:trPr>
          <w:trHeight w:val="172"/>
        </w:trPr>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NOMINEES:</w:t>
            </w:r>
          </w:p>
        </w:tc>
        <w:tc>
          <w:tcPr>
            <w:tcW w:w="980" w:type="dxa"/>
            <w:vAlign w:val="bottom"/>
          </w:tcPr>
          <w:p>
            <w:pPr>
              <w:spacing w:after="0"/>
              <w:rPr>
                <w:sz w:val="14"/>
                <w:szCs w:val="14"/>
                <w:color w:val="auto"/>
              </w:rPr>
            </w:pPr>
          </w:p>
        </w:tc>
        <w:tc>
          <w:tcPr>
            <w:tcW w:w="3000" w:type="dxa"/>
            <w:vAlign w:val="bottom"/>
            <w:gridSpan w:val="3"/>
          </w:tcPr>
          <w:p>
            <w:pPr>
              <w:ind w:left="80"/>
              <w:spacing w:after="0"/>
              <w:rPr>
                <w:sz w:val="20"/>
                <w:szCs w:val="20"/>
                <w:color w:val="auto"/>
              </w:rPr>
            </w:pPr>
            <w:r>
              <w:rPr>
                <w:rFonts w:ascii="Arial" w:cs="Arial" w:eastAsia="Arial" w:hAnsi="Arial"/>
                <w:sz w:val="14"/>
                <w:szCs w:val="14"/>
                <w:color w:val="auto"/>
              </w:rPr>
              <w:t>STATEMENTS FOR FISCAL YEAR 2009.</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40" w:type="dxa"/>
            <w:vAlign w:val="bottom"/>
            <w:vMerge w:val="restart"/>
          </w:tcPr>
          <w:p>
            <w:pPr>
              <w:spacing w:after="0"/>
              <w:rPr>
                <w:sz w:val="20"/>
                <w:szCs w:val="20"/>
                <w:color w:val="auto"/>
              </w:rPr>
            </w:pPr>
            <w:r>
              <w:rPr>
                <w:rFonts w:ascii="Arial" w:cs="Arial" w:eastAsia="Arial" w:hAnsi="Arial"/>
                <w:sz w:val="29"/>
                <w:szCs w:val="29"/>
                <w:color w:val="auto"/>
              </w:rPr>
              <w:t>o</w:t>
            </w:r>
          </w:p>
        </w:tc>
        <w:tc>
          <w:tcPr>
            <w:tcW w:w="190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0" w:type="dxa"/>
            <w:vAlign w:val="bottom"/>
            <w:vMerge w:val="continue"/>
          </w:tcPr>
          <w:p>
            <w:pPr>
              <w:spacing w:after="0"/>
              <w:rPr>
                <w:sz w:val="15"/>
                <w:szCs w:val="15"/>
                <w:color w:val="auto"/>
              </w:rPr>
            </w:pPr>
          </w:p>
        </w:tc>
        <w:tc>
          <w:tcPr>
            <w:tcW w:w="19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FOR ALL NOMINEES</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Bruce K. Anderson</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4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280" w:type="dxa"/>
            <w:vAlign w:val="bottom"/>
          </w:tcPr>
          <w:p>
            <w:pPr>
              <w:ind w:left="60"/>
              <w:spacing w:after="0" w:line="147" w:lineRule="exact"/>
              <w:rPr>
                <w:sz w:val="20"/>
                <w:szCs w:val="20"/>
                <w:color w:val="auto"/>
              </w:rPr>
            </w:pPr>
            <w:r>
              <w:rPr>
                <w:rFonts w:ascii="Arial" w:cs="Arial" w:eastAsia="Arial" w:hAnsi="Arial"/>
                <w:sz w:val="14"/>
                <w:szCs w:val="14"/>
                <w:color w:val="auto"/>
              </w:rPr>
              <w:t>O</w:t>
            </w:r>
          </w:p>
        </w:tc>
        <w:tc>
          <w:tcPr>
            <w:tcW w:w="2260" w:type="dxa"/>
            <w:vAlign w:val="bottom"/>
          </w:tcPr>
          <w:p>
            <w:pPr>
              <w:ind w:left="100"/>
              <w:spacing w:after="0" w:line="147" w:lineRule="exact"/>
              <w:rPr>
                <w:sz w:val="20"/>
                <w:szCs w:val="20"/>
                <w:color w:val="auto"/>
              </w:rPr>
            </w:pPr>
            <w:r>
              <w:rPr>
                <w:rFonts w:ascii="Arial" w:cs="Arial" w:eastAsia="Arial" w:hAnsi="Arial"/>
                <w:sz w:val="14"/>
                <w:szCs w:val="14"/>
                <w:color w:val="auto"/>
              </w:rPr>
              <w:t>Adrian Gardner</w:t>
            </w:r>
          </w:p>
        </w:tc>
        <w:tc>
          <w:tcPr>
            <w:tcW w:w="980" w:type="dxa"/>
            <w:vAlign w:val="bottom"/>
          </w:tcPr>
          <w:p>
            <w:pPr>
              <w:jc w:val="right"/>
              <w:ind w:right="8"/>
              <w:spacing w:after="0" w:line="147" w:lineRule="exact"/>
              <w:rPr>
                <w:sz w:val="20"/>
                <w:szCs w:val="20"/>
                <w:color w:val="auto"/>
              </w:rPr>
            </w:pPr>
            <w:r>
              <w:rPr>
                <w:rFonts w:ascii="Arial" w:cs="Arial" w:eastAsia="Arial" w:hAnsi="Arial"/>
                <w:sz w:val="14"/>
                <w:szCs w:val="14"/>
                <w:color w:val="auto"/>
              </w:rPr>
              <w:t>3.</w:t>
            </w:r>
          </w:p>
        </w:tc>
        <w:tc>
          <w:tcPr>
            <w:tcW w:w="3940" w:type="dxa"/>
            <w:vAlign w:val="bottom"/>
            <w:gridSpan w:val="4"/>
          </w:tcPr>
          <w:p>
            <w:pPr>
              <w:ind w:left="80"/>
              <w:spacing w:after="0" w:line="147" w:lineRule="exact"/>
              <w:rPr>
                <w:sz w:val="20"/>
                <w:szCs w:val="20"/>
                <w:color w:val="auto"/>
              </w:rPr>
            </w:pPr>
            <w:r>
              <w:rPr>
                <w:rFonts w:ascii="Arial" w:cs="Arial" w:eastAsia="Arial" w:hAnsi="Arial"/>
                <w:sz w:val="14"/>
                <w:szCs w:val="14"/>
                <w:color w:val="auto"/>
              </w:rPr>
              <w:t>RATIFICATION AND APPROVAL OF ERNST &amp; YOUNG</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Arial" w:cs="Arial" w:eastAsia="Arial" w:hAnsi="Arial"/>
                <w:sz w:val="29"/>
                <w:szCs w:val="29"/>
                <w:color w:val="auto"/>
              </w:rPr>
              <w:t>o</w:t>
            </w:r>
          </w:p>
        </w:tc>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WITHHOLD AUTHORITY</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Charles E. Foster</w:t>
            </w:r>
          </w:p>
        </w:tc>
        <w:tc>
          <w:tcPr>
            <w:tcW w:w="980" w:type="dxa"/>
            <w:vAlign w:val="bottom"/>
          </w:tcPr>
          <w:p>
            <w:pPr>
              <w:spacing w:after="0"/>
              <w:rPr>
                <w:sz w:val="14"/>
                <w:szCs w:val="14"/>
                <w:color w:val="auto"/>
              </w:rPr>
            </w:pPr>
          </w:p>
        </w:tc>
        <w:tc>
          <w:tcPr>
            <w:tcW w:w="3940" w:type="dxa"/>
            <w:vAlign w:val="bottom"/>
            <w:gridSpan w:val="4"/>
          </w:tcPr>
          <w:p>
            <w:pPr>
              <w:ind w:left="80"/>
              <w:spacing w:after="0"/>
              <w:rPr>
                <w:sz w:val="20"/>
                <w:szCs w:val="20"/>
                <w:color w:val="auto"/>
              </w:rPr>
            </w:pPr>
            <w:r>
              <w:rPr>
                <w:rFonts w:ascii="Arial" w:cs="Arial" w:eastAsia="Arial" w:hAnsi="Arial"/>
                <w:sz w:val="14"/>
                <w:szCs w:val="14"/>
                <w:color w:val="auto"/>
              </w:rPr>
              <w:t>LLP AND AUTHORIZATION OF AUDIT COMMITTEE OF</w:t>
            </w:r>
          </w:p>
        </w:tc>
        <w:tc>
          <w:tcPr>
            <w:tcW w:w="0" w:type="dxa"/>
            <w:vAlign w:val="bottom"/>
          </w:tcPr>
          <w:p>
            <w:pPr>
              <w:spacing w:after="0"/>
              <w:rPr>
                <w:sz w:val="1"/>
                <w:szCs w:val="1"/>
                <w:color w:val="auto"/>
              </w:rPr>
            </w:pPr>
          </w:p>
        </w:tc>
      </w:tr>
      <w:tr>
        <w:trPr>
          <w:trHeight w:val="196"/>
        </w:trPr>
        <w:tc>
          <w:tcPr>
            <w:tcW w:w="240" w:type="dxa"/>
            <w:vAlign w:val="bottom"/>
            <w:vMerge w:val="continue"/>
          </w:tcPr>
          <w:p>
            <w:pPr>
              <w:spacing w:after="0"/>
              <w:rPr>
                <w:sz w:val="17"/>
                <w:szCs w:val="17"/>
                <w:color w:val="auto"/>
              </w:rPr>
            </w:pPr>
          </w:p>
        </w:tc>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FOR ALL NOMINEES</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James S. Kahan</w:t>
            </w:r>
          </w:p>
        </w:tc>
        <w:tc>
          <w:tcPr>
            <w:tcW w:w="980" w:type="dxa"/>
            <w:vAlign w:val="bottom"/>
          </w:tcPr>
          <w:p>
            <w:pPr>
              <w:spacing w:after="0"/>
              <w:rPr>
                <w:sz w:val="17"/>
                <w:szCs w:val="17"/>
                <w:color w:val="auto"/>
              </w:rPr>
            </w:pPr>
          </w:p>
        </w:tc>
        <w:tc>
          <w:tcPr>
            <w:tcW w:w="3000" w:type="dxa"/>
            <w:vAlign w:val="bottom"/>
            <w:gridSpan w:val="3"/>
          </w:tcPr>
          <w:p>
            <w:pPr>
              <w:ind w:left="80"/>
              <w:spacing w:after="0"/>
              <w:rPr>
                <w:sz w:val="20"/>
                <w:szCs w:val="20"/>
                <w:color w:val="auto"/>
              </w:rPr>
            </w:pPr>
            <w:r>
              <w:rPr>
                <w:rFonts w:ascii="Arial" w:cs="Arial" w:eastAsia="Arial" w:hAnsi="Arial"/>
                <w:sz w:val="14"/>
                <w:szCs w:val="14"/>
                <w:color w:val="auto"/>
              </w:rPr>
              <w:t>BOARD TO FIX REMUNERATION.</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0" w:type="dxa"/>
            <w:vAlign w:val="bottom"/>
            <w:vMerge w:val="restart"/>
          </w:tcPr>
          <w:p>
            <w:pPr>
              <w:spacing w:after="0"/>
              <w:rPr>
                <w:sz w:val="20"/>
                <w:szCs w:val="20"/>
                <w:color w:val="auto"/>
              </w:rPr>
            </w:pPr>
            <w:r>
              <w:rPr>
                <w:rFonts w:ascii="Arial" w:cs="Arial" w:eastAsia="Arial" w:hAnsi="Arial"/>
                <w:sz w:val="29"/>
                <w:szCs w:val="29"/>
                <w:color w:val="auto"/>
              </w:rPr>
              <w:t>o</w:t>
            </w:r>
          </w:p>
        </w:tc>
        <w:tc>
          <w:tcPr>
            <w:tcW w:w="19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Zohar Zisapel</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0" w:type="dxa"/>
            <w:vAlign w:val="bottom"/>
            <w:vMerge w:val="continue"/>
          </w:tcPr>
          <w:p>
            <w:pPr>
              <w:spacing w:after="0"/>
              <w:rPr>
                <w:sz w:val="13"/>
                <w:szCs w:val="13"/>
                <w:color w:val="auto"/>
              </w:rPr>
            </w:pPr>
          </w:p>
        </w:tc>
        <w:tc>
          <w:tcPr>
            <w:tcW w:w="1900" w:type="dxa"/>
            <w:vAlign w:val="bottom"/>
          </w:tcPr>
          <w:p>
            <w:pPr>
              <w:ind w:left="100"/>
              <w:spacing w:after="0"/>
              <w:rPr>
                <w:sz w:val="20"/>
                <w:szCs w:val="20"/>
                <w:color w:val="auto"/>
              </w:rPr>
            </w:pPr>
            <w:r>
              <w:rPr>
                <w:rFonts w:ascii="Arial" w:cs="Arial" w:eastAsia="Arial" w:hAnsi="Arial"/>
                <w:sz w:val="11"/>
                <w:szCs w:val="11"/>
                <w:b w:val="1"/>
                <w:bCs w:val="1"/>
                <w:color w:val="auto"/>
              </w:rPr>
              <w:t>FOR ALL EXCEPT</w:t>
            </w:r>
          </w:p>
        </w:tc>
        <w:tc>
          <w:tcPr>
            <w:tcW w:w="280" w:type="dxa"/>
            <w:vAlign w:val="bottom"/>
          </w:tcPr>
          <w:p>
            <w:pPr>
              <w:ind w:left="60"/>
              <w:spacing w:after="0" w:line="154" w:lineRule="exact"/>
              <w:rPr>
                <w:sz w:val="20"/>
                <w:szCs w:val="20"/>
                <w:color w:val="auto"/>
              </w:rPr>
            </w:pPr>
            <w:r>
              <w:rPr>
                <w:rFonts w:ascii="Arial" w:cs="Arial" w:eastAsia="Arial" w:hAnsi="Arial"/>
                <w:sz w:val="14"/>
                <w:szCs w:val="14"/>
                <w:color w:val="auto"/>
              </w:rPr>
              <w:t>O</w:t>
            </w:r>
          </w:p>
        </w:tc>
        <w:tc>
          <w:tcPr>
            <w:tcW w:w="2260" w:type="dxa"/>
            <w:vAlign w:val="bottom"/>
          </w:tcPr>
          <w:p>
            <w:pPr>
              <w:ind w:left="100"/>
              <w:spacing w:after="0" w:line="154" w:lineRule="exact"/>
              <w:rPr>
                <w:sz w:val="20"/>
                <w:szCs w:val="20"/>
                <w:color w:val="auto"/>
              </w:rPr>
            </w:pPr>
            <w:r>
              <w:rPr>
                <w:rFonts w:ascii="Arial" w:cs="Arial" w:eastAsia="Arial" w:hAnsi="Arial"/>
                <w:sz w:val="14"/>
                <w:szCs w:val="14"/>
                <w:color w:val="auto"/>
              </w:rPr>
              <w:t>Dov Baharav</w:t>
            </w: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 w:type="dxa"/>
            <w:vAlign w:val="bottom"/>
            <w:vMerge w:val="continue"/>
          </w:tcPr>
          <w:p>
            <w:pPr>
              <w:spacing w:after="0"/>
              <w:rPr>
                <w:sz w:val="15"/>
                <w:szCs w:val="15"/>
                <w:color w:val="auto"/>
              </w:rPr>
            </w:pPr>
          </w:p>
        </w:tc>
        <w:tc>
          <w:tcPr>
            <w:tcW w:w="1900" w:type="dxa"/>
            <w:vAlign w:val="bottom"/>
          </w:tcPr>
          <w:p>
            <w:pPr>
              <w:ind w:left="100"/>
              <w:spacing w:after="0"/>
              <w:rPr>
                <w:sz w:val="20"/>
                <w:szCs w:val="20"/>
                <w:color w:val="auto"/>
              </w:rPr>
            </w:pPr>
            <w:r>
              <w:rPr>
                <w:rFonts w:ascii="Arial" w:cs="Arial" w:eastAsia="Arial" w:hAnsi="Arial"/>
                <w:sz w:val="11"/>
                <w:szCs w:val="11"/>
                <w:color w:val="auto"/>
              </w:rPr>
              <w:t>(See instructions below)</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Julian A. Brodsky</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Eli Gelman</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Nehemia Lemelbaum</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John T. McLennan</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Robert A. Minicucci</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Simon Olswang</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2260" w:type="dxa"/>
            <w:vAlign w:val="bottom"/>
          </w:tcPr>
          <w:p>
            <w:pPr>
              <w:ind w:left="100"/>
              <w:spacing w:after="0"/>
              <w:rPr>
                <w:sz w:val="20"/>
                <w:szCs w:val="20"/>
                <w:color w:val="auto"/>
              </w:rPr>
            </w:pPr>
            <w:r>
              <w:rPr>
                <w:rFonts w:ascii="Arial" w:cs="Arial" w:eastAsia="Arial" w:hAnsi="Arial"/>
                <w:sz w:val="14"/>
                <w:szCs w:val="14"/>
                <w:color w:val="auto"/>
              </w:rPr>
              <w:t>Giora Yaron</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60" w:right="4560" w:hanging="1052"/>
        <w:spacing w:after="0" w:line="256" w:lineRule="auto"/>
        <w:rPr>
          <w:sz w:val="20"/>
          <w:szCs w:val="20"/>
          <w:color w:val="auto"/>
        </w:rPr>
      </w:pPr>
      <w:r>
        <w:rPr>
          <w:rFonts w:ascii="Arial" w:cs="Arial" w:eastAsia="Arial" w:hAnsi="Arial"/>
          <w:sz w:val="13"/>
          <w:szCs w:val="13"/>
          <w:b w:val="1"/>
          <w:bCs w:val="1"/>
          <w:u w:val="single" w:color="auto"/>
          <w:color w:val="auto"/>
        </w:rPr>
        <w:t>INSTRUCTIONS:</w:t>
      </w:r>
      <w:r>
        <w:rPr>
          <w:rFonts w:ascii="Arial" w:cs="Arial" w:eastAsia="Arial" w:hAnsi="Arial"/>
          <w:sz w:val="13"/>
          <w:szCs w:val="13"/>
          <w:b w:val="1"/>
          <w:bCs w:val="1"/>
          <w:color w:val="auto"/>
        </w:rPr>
        <w:t xml:space="preserve"> </w:t>
      </w:r>
      <w:r>
        <w:rPr>
          <w:rFonts w:ascii="Arial" w:cs="Arial" w:eastAsia="Arial" w:hAnsi="Arial"/>
          <w:sz w:val="10"/>
          <w:szCs w:val="10"/>
          <w:color w:val="auto"/>
        </w:rPr>
        <w:t>To withhold authority to vote for any individual nominee(s), mark</w:t>
      </w:r>
      <w:r>
        <w:rPr>
          <w:rFonts w:ascii="Arial" w:cs="Arial" w:eastAsia="Arial" w:hAnsi="Arial"/>
          <w:sz w:val="13"/>
          <w:szCs w:val="13"/>
          <w:b w:val="1"/>
          <w:bCs w:val="1"/>
          <w:color w:val="auto"/>
        </w:rPr>
        <w:t xml:space="preserve"> </w:t>
      </w:r>
      <w:r>
        <w:rPr>
          <w:rFonts w:ascii="Arial" w:cs="Arial" w:eastAsia="Arial" w:hAnsi="Arial"/>
          <w:sz w:val="10"/>
          <w:szCs w:val="10"/>
          <w:b w:val="1"/>
          <w:bCs w:val="1"/>
          <w:color w:val="auto"/>
        </w:rPr>
        <w:t>“FOR ALL</w:t>
      </w:r>
      <w:r>
        <w:rPr>
          <w:rFonts w:ascii="Arial" w:cs="Arial" w:eastAsia="Arial" w:hAnsi="Arial"/>
          <w:sz w:val="13"/>
          <w:szCs w:val="13"/>
          <w:b w:val="1"/>
          <w:bCs w:val="1"/>
          <w:color w:val="auto"/>
        </w:rPr>
        <w:t xml:space="preserve"> </w:t>
      </w:r>
      <w:r>
        <w:rPr>
          <w:rFonts w:ascii="Arial" w:cs="Arial" w:eastAsia="Arial" w:hAnsi="Arial"/>
          <w:sz w:val="10"/>
          <w:szCs w:val="10"/>
          <w:b w:val="1"/>
          <w:bCs w:val="1"/>
          <w:color w:val="auto"/>
        </w:rPr>
        <w:t xml:space="preserve">EXCEPT” </w:t>
      </w:r>
      <w:r>
        <w:rPr>
          <w:rFonts w:ascii="Arial" w:cs="Arial" w:eastAsia="Arial" w:hAnsi="Arial"/>
          <w:sz w:val="10"/>
          <w:szCs w:val="10"/>
          <w:color w:val="auto"/>
        </w:rPr>
        <w:t>and fill in the circle next to each nominee you wish to withhold, as shown</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 xml:space="preserve">here: </w:t>
      </w:r>
      <w:r>
        <w:rPr>
          <w:rFonts w:ascii="Arial" w:cs="Arial" w:eastAsia="Arial" w:hAnsi="Arial"/>
          <w:sz w:val="16"/>
          <w:szCs w:val="16"/>
          <w:color w:val="auto"/>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w:t>
      </w:r>
    </w:p>
    <w:p>
      <w:pPr>
        <w:ind w:right="4700"/>
        <w:spacing w:after="0" w:line="191" w:lineRule="auto"/>
        <w:rPr>
          <w:sz w:val="20"/>
          <w:szCs w:val="20"/>
          <w:color w:val="auto"/>
        </w:rPr>
      </w:pPr>
      <w:r>
        <w:rPr>
          <w:rFonts w:ascii="Arial" w:cs="Arial" w:eastAsia="Arial" w:hAnsi="Arial"/>
          <w:sz w:val="14"/>
          <w:szCs w:val="14"/>
          <w:color w:val="auto"/>
        </w:rPr>
        <w:t xml:space="preserve">right and indicate your new address in the address space above. </w:t>
      </w:r>
      <w:r>
        <w:rPr>
          <w:rFonts w:ascii="Arial" w:cs="Arial" w:eastAsia="Arial" w:hAnsi="Arial"/>
          <w:sz w:val="28"/>
          <w:szCs w:val="28"/>
          <w:color w:val="auto"/>
        </w:rPr>
        <w:t>o</w:t>
      </w:r>
      <w:r>
        <w:rPr>
          <w:rFonts w:ascii="Arial" w:cs="Arial" w:eastAsia="Arial" w:hAnsi="Arial"/>
          <w:sz w:val="14"/>
          <w:szCs w:val="14"/>
          <w:color w:val="auto"/>
        </w:rPr>
        <w:t xml:space="preser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tabs>
          <w:tab w:leader="none" w:pos="420" w:val="left"/>
          <w:tab w:leader="none" w:pos="1120" w:val="left"/>
        </w:tabs>
        <w:rPr>
          <w:sz w:val="20"/>
          <w:szCs w:val="20"/>
          <w:color w:val="auto"/>
        </w:rPr>
      </w:pPr>
      <w:r>
        <w:rPr>
          <w:rFonts w:ascii="Arial" w:cs="Arial" w:eastAsia="Arial" w:hAnsi="Arial"/>
          <w:sz w:val="11"/>
          <w:szCs w:val="11"/>
          <w:color w:val="auto"/>
        </w:rPr>
        <w:t>FOR</w:t>
      </w:r>
      <w:r>
        <w:rPr>
          <w:sz w:val="20"/>
          <w:szCs w:val="20"/>
          <w:color w:val="auto"/>
        </w:rPr>
        <w:tab/>
      </w:r>
      <w:r>
        <w:rPr>
          <w:rFonts w:ascii="Arial" w:cs="Arial" w:eastAsia="Arial" w:hAnsi="Arial"/>
          <w:sz w:val="11"/>
          <w:szCs w:val="11"/>
          <w:color w:val="auto"/>
        </w:rPr>
        <w:t>AGAINST</w:t>
      </w:r>
      <w:r>
        <w:rPr>
          <w:sz w:val="20"/>
          <w:szCs w:val="20"/>
          <w:color w:val="auto"/>
        </w:rPr>
        <w:tab/>
      </w:r>
      <w:r>
        <w:rPr>
          <w:rFonts w:ascii="Arial" w:cs="Arial" w:eastAsia="Arial" w:hAnsi="Arial"/>
          <w:sz w:val="10"/>
          <w:szCs w:val="10"/>
          <w:color w:val="auto"/>
        </w:rPr>
        <w:t>ABSTAIN</w:t>
      </w:r>
    </w:p>
    <w:p>
      <w:pPr>
        <w:ind w:left="60"/>
        <w:spacing w:after="0"/>
        <w:tabs>
          <w:tab w:leader="none" w:pos="620" w:val="left"/>
          <w:tab w:leader="none" w:pos="1320" w:val="left"/>
        </w:tabs>
        <w:rPr>
          <w:sz w:val="20"/>
          <w:szCs w:val="20"/>
          <w:color w:val="auto"/>
        </w:rPr>
      </w:pPr>
      <w:r>
        <w:rPr>
          <w:rFonts w:ascii="Arial" w:cs="Arial" w:eastAsia="Arial" w:hAnsi="Arial"/>
          <w:sz w:val="29"/>
          <w:szCs w:val="29"/>
          <w:color w:val="auto"/>
        </w:rPr>
        <w:t>o</w:t>
        <w:tab/>
        <w:t>o</w:t>
      </w:r>
      <w:r>
        <w:rPr>
          <w:sz w:val="20"/>
          <w:szCs w:val="20"/>
          <w:color w:val="auto"/>
        </w:rPr>
        <w:tab/>
      </w:r>
      <w:r>
        <w:rPr>
          <w:rFonts w:ascii="Arial" w:cs="Arial" w:eastAsia="Arial" w:hAnsi="Arial"/>
          <w:sz w:val="25"/>
          <w:szCs w:val="25"/>
          <w:color w:val="auto"/>
        </w:rPr>
        <w:t>o</w:t>
      </w:r>
    </w:p>
    <w:p>
      <w:pPr>
        <w:spacing w:after="0" w:line="304" w:lineRule="exact"/>
        <w:rPr>
          <w:sz w:val="20"/>
          <w:szCs w:val="20"/>
          <w:color w:val="auto"/>
        </w:rPr>
      </w:pPr>
    </w:p>
    <w:p>
      <w:pPr>
        <w:ind w:left="60"/>
        <w:spacing w:after="0"/>
        <w:tabs>
          <w:tab w:leader="none" w:pos="620" w:val="left"/>
          <w:tab w:leader="none" w:pos="1320" w:val="left"/>
        </w:tabs>
        <w:rPr>
          <w:sz w:val="20"/>
          <w:szCs w:val="20"/>
          <w:color w:val="auto"/>
        </w:rPr>
      </w:pPr>
      <w:r>
        <w:rPr>
          <w:rFonts w:ascii="Arial" w:cs="Arial" w:eastAsia="Arial" w:hAnsi="Arial"/>
          <w:sz w:val="29"/>
          <w:szCs w:val="29"/>
          <w:color w:val="auto"/>
        </w:rPr>
        <w:t>o</w:t>
        <w:tab/>
        <w:t>o</w:t>
      </w:r>
      <w:r>
        <w:rPr>
          <w:sz w:val="20"/>
          <w:szCs w:val="20"/>
          <w:color w:val="auto"/>
        </w:rPr>
        <w:tab/>
      </w:r>
      <w:r>
        <w:rPr>
          <w:rFonts w:ascii="Arial" w:cs="Arial" w:eastAsia="Arial" w:hAnsi="Arial"/>
          <w:sz w:val="25"/>
          <w:szCs w:val="25"/>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3257550</wp:posOffset>
            </wp:positionV>
            <wp:extent cx="758825" cy="17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8825" cy="175895"/>
                    </a:xfrm>
                    <a:prstGeom prst="rect">
                      <a:avLst/>
                    </a:prstGeom>
                    <a:noFill/>
                  </pic:spPr>
                </pic:pic>
              </a:graphicData>
            </a:graphic>
          </wp:anchor>
        </w:drawing>
      </w:r>
    </w:p>
    <w:p>
      <w:pPr>
        <w:spacing w:after="0" w:line="5120" w:lineRule="exact"/>
        <w:rPr>
          <w:sz w:val="20"/>
          <w:szCs w:val="20"/>
          <w:color w:val="auto"/>
        </w:rPr>
      </w:pPr>
    </w:p>
    <w:p>
      <w:pPr>
        <w:sectPr>
          <w:pgSz w:w="11900" w:h="16838" w:orient="portrait"/>
          <w:cols w:equalWidth="0" w:num="2">
            <w:col w:w="9600" w:space="160"/>
            <w:col w:w="1600"/>
          </w:cols>
          <w:pgMar w:left="240" w:top="419" w:right="29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1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Signature of Shareholder</w:t>
            </w:r>
          </w:p>
        </w:tc>
        <w:tc>
          <w:tcPr>
            <w:tcW w:w="2320" w:type="dxa"/>
            <w:vAlign w:val="bottom"/>
            <w:tcBorders>
              <w:top w:val="single" w:sz="8" w:color="auto"/>
              <w:bottom w:val="single" w:sz="8" w:color="auto"/>
              <w:right w:val="single" w:sz="8" w:color="auto"/>
            </w:tcBorders>
          </w:tcPr>
          <w:p>
            <w:pPr>
              <w:spacing w:after="0"/>
              <w:rPr>
                <w:sz w:val="21"/>
                <w:szCs w:val="21"/>
                <w:color w:val="auto"/>
              </w:rPr>
            </w:pPr>
          </w:p>
        </w:tc>
        <w:tc>
          <w:tcPr>
            <w:tcW w:w="4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Date:</w:t>
            </w:r>
          </w:p>
        </w:tc>
        <w:tc>
          <w:tcPr>
            <w:tcW w:w="1180" w:type="dxa"/>
            <w:vAlign w:val="bottom"/>
            <w:tcBorders>
              <w:top w:val="single" w:sz="8" w:color="auto"/>
              <w:bottom w:val="single" w:sz="8" w:color="auto"/>
              <w:right w:val="single" w:sz="8" w:color="auto"/>
            </w:tcBorders>
          </w:tcPr>
          <w:p>
            <w:pPr>
              <w:spacing w:after="0"/>
              <w:rPr>
                <w:sz w:val="21"/>
                <w:szCs w:val="21"/>
                <w:color w:val="auto"/>
              </w:rPr>
            </w:pPr>
          </w:p>
        </w:tc>
        <w:tc>
          <w:tcPr>
            <w:tcW w:w="16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Signature of Shareholder</w:t>
            </w:r>
          </w:p>
        </w:tc>
        <w:tc>
          <w:tcPr>
            <w:tcW w:w="2500" w:type="dxa"/>
            <w:vAlign w:val="bottom"/>
            <w:tcBorders>
              <w:top w:val="single" w:sz="8" w:color="auto"/>
              <w:bottom w:val="single" w:sz="8" w:color="auto"/>
              <w:right w:val="single" w:sz="8" w:color="auto"/>
            </w:tcBorders>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w w:val="95"/>
              </w:rPr>
              <w:t>Date:</w:t>
            </w:r>
          </w:p>
        </w:tc>
      </w:tr>
    </w:tbl>
    <w:p>
      <w:pPr>
        <w:spacing w:after="0" w:line="103" w:lineRule="exact"/>
        <w:rPr>
          <w:sz w:val="20"/>
          <w:szCs w:val="20"/>
          <w:color w:val="auto"/>
        </w:rPr>
      </w:pPr>
    </w:p>
    <w:p>
      <w:pPr>
        <w:ind w:left="960" w:right="520" w:hanging="399"/>
        <w:spacing w:after="0" w:line="284" w:lineRule="auto"/>
        <w:tabs>
          <w:tab w:leader="none" w:pos="940" w:val="left"/>
        </w:tabs>
        <w:rPr>
          <w:sz w:val="20"/>
          <w:szCs w:val="20"/>
          <w:color w:val="auto"/>
        </w:rPr>
      </w:pPr>
      <w:r>
        <w:rPr>
          <w:rFonts w:ascii="Arial" w:cs="Arial" w:eastAsia="Arial" w:hAnsi="Arial"/>
          <w:sz w:val="10"/>
          <w:szCs w:val="10"/>
          <w:b w:val="1"/>
          <w:bCs w:val="1"/>
          <w:color w:val="auto"/>
        </w:rPr>
        <w:t>Note:</w:t>
      </w:r>
      <w:r>
        <w:rPr>
          <w:sz w:val="20"/>
          <w:szCs w:val="20"/>
          <w:color w:val="auto"/>
        </w:rPr>
        <w:tab/>
      </w:r>
      <w:r>
        <w:rPr>
          <w:rFonts w:ascii="Arial" w:cs="Arial" w:eastAsia="Arial" w:hAnsi="Arial"/>
          <w:sz w:val="10"/>
          <w:szCs w:val="10"/>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-8255</wp:posOffset>
            </wp:positionV>
            <wp:extent cx="34290"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94615"/>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AMDOCS LIMITED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32" w:lineRule="exact"/>
        <w:rPr>
          <w:sz w:val="20"/>
          <w:szCs w:val="20"/>
          <w:color w:val="auto"/>
        </w:rPr>
      </w:pPr>
    </w:p>
    <w:p>
      <w:pPr>
        <w:ind w:right="180" w:firstLine="296"/>
        <w:spacing w:after="0" w:line="234" w:lineRule="auto"/>
        <w:rPr>
          <w:sz w:val="20"/>
          <w:szCs w:val="20"/>
          <w:color w:val="auto"/>
        </w:rPr>
      </w:pPr>
      <w:r>
        <w:rPr>
          <w:rFonts w:ascii="Arial" w:cs="Arial" w:eastAsia="Arial" w:hAnsi="Arial"/>
          <w:sz w:val="22"/>
          <w:szCs w:val="22"/>
          <w:color w:val="auto"/>
        </w:rPr>
        <w:t>The undersigned hereby appoints Bruce K. Anderson and Thomas G. O’Brien as Proxies, each with the power to appoint his substitute, and hereby authorizes them to represent and vote, as designated on the reverse side, all Ordinary Shares of Amdocs Limited (the “Company”) held of record by the undersigned on November 23, 2009, at the annual General Meeting of shareholders to be held on January 21, 2010 or any adjournment thereof.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80" w:type="dxa"/>
            <w:vAlign w:val="bottom"/>
          </w:tcPr>
          <w:p>
            <w:pPr>
              <w:spacing w:after="0"/>
              <w:rPr>
                <w:sz w:val="20"/>
                <w:szCs w:val="20"/>
                <w:color w:val="auto"/>
              </w:rPr>
            </w:pPr>
            <w:r>
              <w:rPr>
                <w:rFonts w:ascii="Arial" w:cs="Arial" w:eastAsia="Arial" w:hAnsi="Arial"/>
                <w:sz w:val="22"/>
                <w:szCs w:val="22"/>
                <w:color w:val="auto"/>
              </w:rPr>
              <w:t>n</w:t>
            </w:r>
          </w:p>
        </w:tc>
        <w:tc>
          <w:tcPr>
            <w:tcW w:w="6040" w:type="dxa"/>
            <w:vAlign w:val="bottom"/>
          </w:tcPr>
          <w:p>
            <w:pPr>
              <w:ind w:left="5280"/>
              <w:spacing w:after="0"/>
              <w:rPr>
                <w:sz w:val="20"/>
                <w:szCs w:val="20"/>
                <w:color w:val="auto"/>
              </w:rPr>
            </w:pPr>
            <w:r>
              <w:rPr>
                <w:rFonts w:ascii="Arial" w:cs="Arial" w:eastAsia="Arial" w:hAnsi="Arial"/>
                <w:sz w:val="22"/>
                <w:szCs w:val="22"/>
                <w:color w:val="auto"/>
                <w:w w:val="93"/>
              </w:rPr>
              <w:t>14475 n</w:t>
            </w:r>
          </w:p>
        </w:tc>
      </w:tr>
      <w:tr>
        <w:trPr>
          <w:trHeight w:val="595"/>
        </w:trPr>
        <w:tc>
          <w:tcPr>
            <w:tcW w:w="5380" w:type="dxa"/>
            <w:vAlign w:val="bottom"/>
            <w:tcBorders>
              <w:bottom w:val="single" w:sz="8" w:color="808080"/>
            </w:tcBorders>
          </w:tcPr>
          <w:p>
            <w:pPr>
              <w:spacing w:after="0"/>
              <w:rPr>
                <w:sz w:val="24"/>
                <w:szCs w:val="24"/>
                <w:color w:val="auto"/>
              </w:rPr>
            </w:pPr>
          </w:p>
        </w:tc>
        <w:tc>
          <w:tcPr>
            <w:tcW w:w="6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2009</w:t>
      </w:r>
    </w:p>
    <w:sectPr>
      <w:pgSz w:w="11900" w:h="16838" w:orient="portrait"/>
      <w:cols w:equalWidth="0" w:num="1">
        <w:col w:w="11260"/>
      </w:cols>
      <w:pgMar w:left="240" w:top="41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upperLetter"/>
      <w:start w:val="1"/>
    </w:lvl>
  </w:abstractNum>
  <w:abstractNum w:abstractNumId="8">
    <w:nsid w:val="140E0F76"/>
    <w:multiLevelType w:val="hybridMultilevel"/>
    <w:lvl w:ilvl="0">
      <w:lvlJc w:val="left"/>
      <w:lvlText w:val="%1."/>
      <w:numFmt w:val="upperLetter"/>
      <w:start w:val="2"/>
    </w:lvl>
    <w:lvl w:ilvl="1">
      <w:lvlJc w:val="left"/>
      <w:lvlText w:val="%2."/>
      <w:numFmt w:val="decimal"/>
      <w:start w:val="1"/>
    </w:lvl>
  </w:abstractNum>
  <w:abstractNum w:abstractNumId="9">
    <w:nsid w:val="3352255A"/>
    <w:multiLevelType w:val="hybridMultilevel"/>
    <w:lvl w:ilvl="0">
      <w:lvlJc w:val="left"/>
      <w:lvlText w:val="%1."/>
      <w:numFmt w:val="upperLetter"/>
      <w:start w:val="3"/>
    </w:lvl>
    <w:lvl w:ilvl="1">
      <w:lvlJc w:val="left"/>
      <w:lvlText w:val="%2."/>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3"/>
    </w:lvl>
  </w:abstractNum>
  <w:abstractNum w:abstractNumId="13">
    <w:nsid w:val="1BEFD79F"/>
    <w:multiLevelType w:val="hybridMultilevel"/>
    <w:lvl w:ilvl="0">
      <w:lvlJc w:val="left"/>
      <w:lvlText w:val="%1."/>
      <w:numFmt w:val="decimal"/>
      <w:start w:val="4"/>
    </w:lvl>
  </w:abstractNum>
  <w:abstractNum w:abstractNumId="14">
    <w:nsid w:val="41A7C4C9"/>
    <w:multiLevelType w:val="hybridMultilevel"/>
    <w:lvl w:ilvl="0">
      <w:lvlJc w:val="left"/>
      <w:lvlText w:val="(%1)"/>
      <w:numFmt w:val="lowerRoman"/>
      <w:start w:val="2"/>
    </w:lvl>
    <w:lvl w:ilvl="1">
      <w:lvlJc w:val="left"/>
      <w:lvlText w:val="%2."/>
      <w:numFmt w:val="lowerLetter"/>
      <w:start w:val="5"/>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2019-12-10T17:22:27Z</dcterms:created>
  <dcterms:modified xsi:type="dcterms:W3CDTF">2019-12-10T17:22:27Z</dcterms:modified>
</cp:coreProperties>
</file>