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7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7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7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79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0"/>
          <w:szCs w:val="20"/>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0"/>
          <w:szCs w:val="20"/>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7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For the month of November, 2008.</w:t>
      </w:r>
    </w:p>
    <w:p>
      <w:pPr>
        <w:spacing w:after="0" w:line="225"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Commission File Number 1-14840</w:t>
      </w:r>
    </w:p>
    <w:p>
      <w:pPr>
        <w:spacing w:after="0" w:line="200" w:lineRule="exact"/>
        <w:rPr>
          <w:sz w:val="20"/>
          <w:szCs w:val="20"/>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50"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Suite 5, Tower Hill House Le Bordage</w:t>
      </w:r>
    </w:p>
    <w:p>
      <w:pPr>
        <w:spacing w:after="0" w:line="23"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St. Peter Port, Island of Guernsey, GY1 3QT Channel Islands</w:t>
      </w:r>
    </w:p>
    <w:p>
      <w:pPr>
        <w:spacing w:after="0" w:line="211"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9"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0"/>
          <w:szCs w:val="20"/>
          <w:color w:val="auto"/>
        </w:rPr>
      </w:pPr>
    </w:p>
    <w:p>
      <w:pPr>
        <w:ind w:left="4380"/>
        <w:spacing w:after="0" w:line="207" w:lineRule="exact"/>
        <w:tabs>
          <w:tab w:leader="none" w:pos="60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FORM 40-F 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0"/>
          <w:szCs w:val="20"/>
          <w:color w:val="auto"/>
        </w:rPr>
      </w:pPr>
    </w:p>
    <w:p>
      <w:pPr>
        <w:ind w:left="4980"/>
        <w:spacing w:after="0" w:line="207" w:lineRule="exact"/>
        <w:tabs>
          <w:tab w:leader="none" w:pos="59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591185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122" w:right="103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8"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rPr>
          <w:sz w:val="20"/>
          <w:szCs w:val="20"/>
          <w:color w:val="auto"/>
        </w:rPr>
      </w:pPr>
      <w:r>
        <w:rPr>
          <w:rFonts w:ascii="Arial" w:cs="Arial" w:eastAsia="Arial" w:hAnsi="Arial"/>
          <w:sz w:val="22"/>
          <w:szCs w:val="22"/>
          <w:u w:val="single" w:color="auto"/>
          <w:color w:val="0000EE"/>
        </w:rPr>
        <w:t>EX-99.1: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00" w:firstLine="225"/>
        <w:spacing w:after="0" w:line="308" w:lineRule="auto"/>
        <w:rPr>
          <w:sz w:val="20"/>
          <w:szCs w:val="20"/>
          <w:color w:val="auto"/>
        </w:rPr>
      </w:pPr>
      <w:r>
        <w:rPr>
          <w:rFonts w:ascii="Arial" w:cs="Arial" w:eastAsia="Arial" w:hAnsi="Arial"/>
          <w:sz w:val="17"/>
          <w:szCs w:val="17"/>
          <w:color w:val="auto"/>
        </w:rPr>
        <w:t>On November 5, 2008, Amdocs Limited (“Amdocs”) issued a press release announcing financial results for the quarter and fiscal year ended September 30, 2008. A copy of the press release is furnished as Exhibit 99.1 to this Report of Foreign Private Issuer on Form 6-K.</w:t>
      </w:r>
    </w:p>
    <w:p>
      <w:pPr>
        <w:spacing w:after="0" w:line="38"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3666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Thomas G. O’Brien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Treasurer and Secretary</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Authorized U.S. Representative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right"/>
        <w:ind w:right="3839"/>
        <w:spacing w:after="0"/>
        <w:rPr>
          <w:sz w:val="20"/>
          <w:szCs w:val="20"/>
          <w:color w:val="auto"/>
        </w:rPr>
      </w:pPr>
      <w:r>
        <w:rPr>
          <w:rFonts w:ascii="Arial" w:cs="Arial" w:eastAsia="Arial" w:hAnsi="Arial"/>
          <w:sz w:val="18"/>
          <w:szCs w:val="18"/>
          <w:color w:val="auto"/>
        </w:rPr>
        <w:t>EXHIBIT INDEX</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Amdocs Limited Press Release dated November 5, 2008.</w:t>
      </w:r>
    </w:p>
    <w:p>
      <w:pPr>
        <w:sectPr>
          <w:pgSz w:w="11900" w:h="16838" w:orient="portrait"/>
          <w:cols w:equalWidth="0" w:num="1">
            <w:col w:w="10219"/>
          </w:cols>
          <w:pgMar w:left="240" w:top="419"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-130175</wp:posOffset>
            </wp:positionV>
            <wp:extent cx="1243330" cy="248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43330" cy="24892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Limited Reports Quarterly Revenue Growth of 14%</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Reports Record Annual Revenue of $3.16 Billion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104" w:lineRule="exact"/>
        <w:rPr>
          <w:sz w:val="20"/>
          <w:szCs w:val="20"/>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Fourth quarter revenue increased to $825 million, in line with guidance</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Fourth quarter non-GAAP operating income of $148 million, an increase of 16% over prior year fourth quarter</w:t>
      </w:r>
    </w:p>
    <w:p>
      <w:pPr>
        <w:spacing w:after="0" w:line="117" w:lineRule="exact"/>
        <w:rPr>
          <w:rFonts w:ascii="Arial" w:cs="Arial" w:eastAsia="Arial" w:hAnsi="Arial"/>
          <w:sz w:val="18"/>
          <w:szCs w:val="18"/>
          <w:b w:val="1"/>
          <w:bCs w:val="1"/>
          <w:color w:val="auto"/>
        </w:rPr>
      </w:pPr>
    </w:p>
    <w:p>
      <w:pPr>
        <w:jc w:val="both"/>
        <w:ind w:left="660" w:right="44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Fourth quarter diluted non-GAAP EPS, excluding acquisition-related costs, restructuring charges and equity-based compensation expense, net of related tax effects, of $0.54; foreign exchange rate losses reflected in interest expense reduced EPS by $0.08 per share</w:t>
      </w:r>
    </w:p>
    <w:p>
      <w:pPr>
        <w:spacing w:after="0" w:line="108"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Diluted GAAP EPS of $0.38 for the quarter</w:t>
      </w:r>
    </w:p>
    <w:p>
      <w:pPr>
        <w:spacing w:after="0" w:line="117" w:lineRule="exact"/>
        <w:rPr>
          <w:rFonts w:ascii="Arial" w:cs="Arial" w:eastAsia="Arial" w:hAnsi="Arial"/>
          <w:sz w:val="18"/>
          <w:szCs w:val="18"/>
          <w:b w:val="1"/>
          <w:bCs w:val="1"/>
          <w:color w:val="auto"/>
        </w:rPr>
      </w:pPr>
    </w:p>
    <w:p>
      <w:pPr>
        <w:ind w:left="660" w:right="460" w:hanging="436"/>
        <w:spacing w:after="0" w:line="246"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Strong free cash flow of $145 million for the quarter, comprised of cash flow from operations of $178 million less $33 million in net capital expenditures and other</w:t>
      </w:r>
    </w:p>
    <w:p>
      <w:pPr>
        <w:spacing w:after="0" w:line="67" w:lineRule="exact"/>
        <w:rPr>
          <w:sz w:val="20"/>
          <w:szCs w:val="20"/>
          <w:color w:val="auto"/>
        </w:rPr>
      </w:pPr>
    </w:p>
    <w:p>
      <w:pPr>
        <w:ind w:right="60"/>
        <w:spacing w:after="0"/>
        <w:rPr>
          <w:sz w:val="20"/>
          <w:szCs w:val="20"/>
          <w:color w:val="auto"/>
        </w:rPr>
      </w:pPr>
      <w:r>
        <w:rPr>
          <w:rFonts w:ascii="Arial" w:cs="Arial" w:eastAsia="Arial" w:hAnsi="Arial"/>
          <w:sz w:val="18"/>
          <w:szCs w:val="18"/>
          <w:b w:val="1"/>
          <w:bCs w:val="1"/>
          <w:color w:val="auto"/>
        </w:rPr>
        <w:t xml:space="preserve">St. Louis, MO – November 5, 2008 </w:t>
      </w:r>
      <w:r>
        <w:rPr>
          <w:rFonts w:ascii="Arial" w:cs="Arial" w:eastAsia="Arial" w:hAnsi="Arial"/>
          <w:sz w:val="18"/>
          <w:szCs w:val="18"/>
          <w:color w:val="auto"/>
        </w:rPr>
        <w:t>– Amdocs Limited (NYSE: DOX) today reported that for its fiscal fourth quarter ended September 30,</w:t>
      </w:r>
      <w:r>
        <w:rPr>
          <w:rFonts w:ascii="Arial" w:cs="Arial" w:eastAsia="Arial" w:hAnsi="Arial"/>
          <w:sz w:val="18"/>
          <w:szCs w:val="18"/>
          <w:b w:val="1"/>
          <w:bCs w:val="1"/>
          <w:color w:val="auto"/>
        </w:rPr>
        <w:t xml:space="preserve"> </w:t>
      </w:r>
      <w:r>
        <w:rPr>
          <w:rFonts w:ascii="Arial" w:cs="Arial" w:eastAsia="Arial" w:hAnsi="Arial"/>
          <w:sz w:val="18"/>
          <w:szCs w:val="18"/>
          <w:color w:val="auto"/>
        </w:rPr>
        <w:t>2008, revenue was $825.3 million, an increase of 13.6% from last year’s fourth quarter. Net income on a non-GAAP basis was $ 117.2 million, or $0.54 per diluted share, compared to non-GAAP net income of $120.7 million, or $0.54 per diluted share, in the fourth quarter of fiscal 2007. Non-GAAP net income excludes amortization of purchased intangible assets, equity-based compensation expenses and restructuring changes of $34.5 million, net of related tax effects, of in the fourth quarter of fiscal 2008 and excludes such amortization and compensation expenses of $24.5 million, net of related tax effects, in the fourth quarter of fiscal 2007. The Company’s GAAP net income for the fourth quarter of fiscal 2008 was $82.7 million, or $0.38 per diluted share, compared to GAAP net income of $96.2 million, or $0.43 per diluted share, in the prior year’s 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line="237" w:lineRule="auto"/>
        <w:rPr>
          <w:sz w:val="20"/>
          <w:szCs w:val="20"/>
          <w:color w:val="auto"/>
        </w:rPr>
      </w:pPr>
      <w:r>
        <w:rPr>
          <w:rFonts w:ascii="Arial" w:cs="Arial" w:eastAsia="Arial" w:hAnsi="Arial"/>
          <w:sz w:val="18"/>
          <w:szCs w:val="18"/>
          <w:color w:val="auto"/>
        </w:rPr>
        <w:t>“Fiscal 2008 was a good year for Amdocs as we achieved record revenues,” said Dov Baharav, chief executive officer of Amdocs Management Limited. “Revenue in the fourth quarter was up 13.6% and non-GAAP operating income rose to $148 million, an increase of 16.4% compared to the prior year fourth quarter. Our earnings per share were adversely impacted by the unprecedented extreme volatility in exchange rates, including the rapid strengthening of the U.S. dollar against offer currencies, which adversely affected certain balance sheet items denominated in other currencies, reduced fourth quarter earnings per share by $0.08. Absent this, our non-GAAP diluted earnings per share would have been within our guidance range of $0.61 to $0.63.”</w:t>
      </w:r>
    </w:p>
    <w:p>
      <w:pPr>
        <w:spacing w:after="0" w:line="9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the fourth quarter Amdocs had numerous wins across lines of business and geographies. These wins include new business with Comcast, which will deploy customer care, billing and OSS (operational support systems) products based on Amdocs CES 7.5. Another customer in the cable and satellite market has chosen Amdocs Enterprise Product Catalog. Amdocs signed a six-year managed services agreement to support MetroPCS, a provider of advanced wireless services, using Amdocs CES 7.5 capabilities. In Europe, Amdocs was chosen by Debitel, the largest provider of mobile services in Germany, to provide a single billing platform to support its consolidated operations. Vodafone has selected Amdocs OSS fulfillment products for deployments in key European locations. International Telecommunications Company in the Ukraine has selected Amdocs Compact Convergence offering for real-time charging and service delivery across its CDMA network.</w:t>
      </w:r>
    </w:p>
    <w:p>
      <w:pPr>
        <w:spacing w:after="0" w:line="9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Baharav continued, “The financial volatility that we experienced in the fourth quarter is accompanied by economic uncertainty and these factors are impacting our outlook for fiscal 2009. Amdocs expects that revenue for the first quarter of fiscal 2009 will be approximately $785-$ 810 million. Foreign exchange in particular is a headwind in the first quarter of fiscal 2009, accounting for all of the decrease in forecasted revenue when compared to the fourth quarter of fiscal 2008. We are not seeing cancellations of existing projects and in fact we have signed some significant new deals in the past few weeks. Our growth engines, including emerging markets, cable and satellite and managed services, are right for this environment. However, our ability to forecast the level of new signings later in the fiscal year is impacted by these unprecedented market conditions. While we cannot today commit to guidance for the full year, we are managing our expenses under the assumption that fiscal 2009 revenue could be flat to low single-digit percentage growth for the year with operating margins similar to what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8" w:name="page9"/>
    <w:bookmarkEnd w:id="8"/>
    <w:p>
      <w:pPr>
        <w:ind w:right="780"/>
        <w:spacing w:after="0" w:line="246" w:lineRule="auto"/>
        <w:rPr>
          <w:sz w:val="20"/>
          <w:szCs w:val="20"/>
          <w:color w:val="auto"/>
        </w:rPr>
      </w:pPr>
      <w:r>
        <w:rPr>
          <w:rFonts w:ascii="Arial" w:cs="Arial" w:eastAsia="Arial" w:hAnsi="Arial"/>
          <w:sz w:val="18"/>
          <w:szCs w:val="18"/>
          <w:color w:val="auto"/>
        </w:rPr>
        <w:t>we saw in the fourth quarter. This assumes that foreign exchange rates stay relatively stable compared to mid-October levels and that economic conditions do not deteriorate materially from what we see today.”</w:t>
      </w:r>
    </w:p>
    <w:p>
      <w:pPr>
        <w:spacing w:after="0" w:line="8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As reported, GAAP EPS per diluted share for the fourth quarter of fiscal 2008 was $0.38. Non-GAAP EPS per diluted share was $0.54 for the quarter, (excluding acquisition-related costs which include amortization of purchased intangible assets, and excluding restructuring charges and equity-based compensation expense, net of related tax effects). The excluded pre-tax restructuring charges amounted to approximately</w:t>
      </w:r>
    </w:p>
    <w:p>
      <w:pPr>
        <w:spacing w:after="0" w:line="2"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$12 million, reducing GAAP EPS per diluted share by $0.04. The charges consist primarily of severance and other employment related obligations incurred in connection with Amdocs’ measures designed to align its operational structure to its expected future growth and to improve efficiency. During the quarter, rapid and large foreign exchange rate changes, especially the strengthening of the U.S. dollar, caused the Company to record foreign exchange rate losses of approximately $17 million net of tax, or $0.08 per diluted share. These losses were primarily due to revaluation of assets and liabilities denominated in other currencies.</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 the fiscal year ended September 30, 2008, revenue increased by 11.5% to $3.16 billion. Fiscal 2008 net income on a non-GAAP basis was $499.6 million, or $2.29 per diluted share (excluding acquisition-related costs, which include amortization of purchased intangible assets and in-process research and development write-off, and excluding restructuring charges and equity-based compensation expense, net of related tax effects, of $120.7 million), compared to non-GAAP net income of $473.9 million, or $ 2.14 per diluted share, in fiscal 2007 (excluding acquisition-related costs, which include amortization of purchased intangible assets, in-process research and development write-off and other, and excluding restructuring charges, and equity-based compensation expense, net of related tax effects, of $108.9 million). The Company’s GAAP net income in fiscal 2008 was $378.9 million, or $1.74 per diluted share, compared to GAAP net income of $364.9 million, or $1.65 per diluted share, in fiscal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Financial Outlook</w:t>
      </w:r>
    </w:p>
    <w:p>
      <w:pPr>
        <w:spacing w:after="0" w:line="126" w:lineRule="exact"/>
        <w:rPr>
          <w:sz w:val="20"/>
          <w:szCs w:val="20"/>
          <w:color w:val="auto"/>
        </w:rPr>
      </w:pPr>
    </w:p>
    <w:p>
      <w:pPr>
        <w:jc w:val="both"/>
        <w:ind w:right="180"/>
        <w:spacing w:after="0" w:line="237" w:lineRule="auto"/>
        <w:rPr>
          <w:sz w:val="20"/>
          <w:szCs w:val="20"/>
          <w:color w:val="auto"/>
        </w:rPr>
      </w:pPr>
      <w:r>
        <w:rPr>
          <w:rFonts w:ascii="Arial" w:cs="Arial" w:eastAsia="Arial" w:hAnsi="Arial"/>
          <w:sz w:val="18"/>
          <w:szCs w:val="18"/>
          <w:color w:val="auto"/>
        </w:rPr>
        <w:t>Amdocs expects that revenue for the first quarter of fiscal 2009 will be approximately $785-$810 million. Foreign exchange in particular is a headwind in the first quarter of fiscal 2009, accounting for all of the decrease in forecasted revenue when compared to the fourth quarter of fiscal 2008. Amdocs expects diluted earnings per share on a non-GAAP basis for the first quarter to be $0.54-$0.57, excluding acquisition-related costs and approximately $0.05-$0.06 per share of equity-based compensation expense, net of related tax effects. Estimated diluted GAAP EPS will not be known until after preliminary purchase price accounting adjustments for the ChangingWorlds Limited acquisition have been determined.</w:t>
      </w:r>
    </w:p>
    <w:p>
      <w:pPr>
        <w:spacing w:after="0" w:line="97"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Amdocs will host a conference call on November 5, 2008 at 5 p.m. Eastern Time to discuss the Company’s fourth quarter results. The call will be carried live on the Internet via www.InvestorCalendar.com and the Amdocs website, www.amdocs.com.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non-GAAP cost of service, non-GAAP research and development, non-GAAP selling, general and administrative, non-GAAP operating income, non-GAAP income taxes and non-GAAP net income. These non-GAAP measures exclude the following items:</w:t>
      </w:r>
    </w:p>
    <w:p>
      <w:pPr>
        <w:spacing w:after="0" w:line="95"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amortization of purchased intangible assets;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in-process research and development write-off and other;</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restructuring charges;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equity-based compensation expense; and</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tax effects related to the above.</w:t>
      </w:r>
    </w:p>
    <w:p>
      <w:pPr>
        <w:spacing w:after="0" w:line="10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27" w:right="339" w:bottom="1440" w:gutter="0" w:footer="0" w:header="0"/>
        </w:sectPr>
      </w:pPr>
    </w:p>
    <w:bookmarkStart w:id="10" w:name="page11"/>
    <w:bookmarkEnd w:id="10"/>
    <w:p>
      <w:pPr>
        <w:ind w:right="20"/>
        <w:spacing w:after="0" w:line="237" w:lineRule="auto"/>
        <w:rPr>
          <w:sz w:val="20"/>
          <w:szCs w:val="20"/>
          <w:color w:val="auto"/>
        </w:rPr>
      </w:pPr>
      <w:r>
        <w:rPr>
          <w:rFonts w:ascii="Arial" w:cs="Arial" w:eastAsia="Arial" w:hAnsi="Arial"/>
          <w:sz w:val="18"/>
          <w:szCs w:val="18"/>
          <w:color w:val="auto"/>
        </w:rPr>
        <w:t>Amdocs believes that the presentation of non-GAAP diluted earnings per share and other financial measures, including free cash flow, non-GAAP cost of service, non-GAAP research and development, non-GAAP selling, general and administrative, non-GAAP operating income, non-GAAP income taxes and non-GAAP net income,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97"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For its internal budgeting process and in monitoring the results of the business, Amdocs’ management uses financial statements that do not include amortization of purchased intangible assets, in-process research and development write-off and other, restructuring charges,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non-cash expenses in reviewing its results and those of its competitors, because the amounts of the expenses between companies can vary greatly depending on the assumptions used by an individual company in determining the amounts of the expenses.</w:t>
      </w:r>
    </w:p>
    <w:p>
      <w:pPr>
        <w:spacing w:after="0" w:line="9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income taxes and net income), it is useful to investors to understand how these specific line items in the Consolidated Statements of Income are affected by these adjustments.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the Reconciliation of Selected Financial Metrics from GAAP to Non-GAAP tables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6"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Amdocs is the market leader in customer experience systems innovation, enabling world-leading service providers to deliver an integrated, innovative and the intentional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9" w:right="319" w:bottom="1440" w:gutter="0" w:footer="0" w:header="0"/>
        </w:sectPr>
      </w:pPr>
    </w:p>
    <w:bookmarkStart w:id="11" w:name="page12"/>
    <w:bookmarkEnd w:id="11"/>
    <w:p>
      <w:pPr>
        <w:ind w:right="280"/>
        <w:spacing w:after="0" w:line="239" w:lineRule="auto"/>
        <w:rPr>
          <w:sz w:val="20"/>
          <w:szCs w:val="20"/>
          <w:color w:val="auto"/>
        </w:rPr>
      </w:pPr>
      <w:r>
        <w:rPr>
          <w:rFonts w:ascii="Arial" w:cs="Arial" w:eastAsia="Arial" w:hAnsi="Arial"/>
          <w:sz w:val="18"/>
          <w:szCs w:val="18"/>
          <w:color w:val="auto"/>
        </w:rPr>
        <w:t>experience</w:t>
      </w:r>
      <w:r>
        <w:rPr>
          <w:rFonts w:ascii="Arial" w:cs="Arial" w:eastAsia="Arial" w:hAnsi="Arial"/>
          <w:sz w:val="15"/>
          <w:szCs w:val="15"/>
          <w:color w:val="auto"/>
        </w:rPr>
        <w:t>TM</w:t>
      </w:r>
      <w:r>
        <w:rPr>
          <w:rFonts w:ascii="Arial" w:cs="Arial" w:eastAsia="Arial" w:hAnsi="Arial"/>
          <w:sz w:val="18"/>
          <w:szCs w:val="18"/>
          <w:color w:val="auto"/>
        </w:rPr>
        <w:t xml:space="preserve"> – at every point of service. Amdocs provides solutions that deliver customer experience excellence, combining the software, service and expertise to help its customers execute their strategies and achieve service, operational and financial excellence. A global company with revenue of $3.16 billion in fiscal 2008, Amdocs has more than 17,000 employees and serves customers in more than 50 countries around the world. 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9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2007 filed on December 3, 2007 and on Form 6-K furnished on February 11, May 6 and August 11, 2008.</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Thomas G. O’Brien</w:t>
      </w:r>
    </w:p>
    <w:p>
      <w:pPr>
        <w:spacing w:after="0" w:line="234" w:lineRule="auto"/>
        <w:rPr>
          <w:sz w:val="20"/>
          <w:szCs w:val="20"/>
          <w:color w:val="auto"/>
        </w:rPr>
      </w:pPr>
      <w:r>
        <w:rPr>
          <w:rFonts w:ascii="Arial" w:cs="Arial" w:eastAsia="Arial" w:hAnsi="Arial"/>
          <w:sz w:val="18"/>
          <w:szCs w:val="18"/>
          <w:color w:val="auto"/>
        </w:rPr>
        <w:t>Treasurer and Vice President of Investor Relations</w:t>
      </w:r>
    </w:p>
    <w:p>
      <w:pPr>
        <w:spacing w:after="0" w:line="235" w:lineRule="auto"/>
        <w:rPr>
          <w:sz w:val="20"/>
          <w:szCs w:val="20"/>
          <w:color w:val="auto"/>
        </w:rPr>
      </w:pPr>
      <w:r>
        <w:rPr>
          <w:rFonts w:ascii="Arial" w:cs="Arial" w:eastAsia="Arial" w:hAnsi="Arial"/>
          <w:sz w:val="18"/>
          <w:szCs w:val="18"/>
          <w:color w:val="auto"/>
        </w:rPr>
        <w:t>Amdocs Limited</w:t>
      </w:r>
    </w:p>
    <w:p>
      <w:pPr>
        <w:spacing w:after="0" w:line="235" w:lineRule="auto"/>
        <w:rPr>
          <w:sz w:val="20"/>
          <w:szCs w:val="20"/>
          <w:color w:val="auto"/>
        </w:rPr>
      </w:pPr>
      <w:r>
        <w:rPr>
          <w:rFonts w:ascii="Arial" w:cs="Arial" w:eastAsia="Arial" w:hAnsi="Arial"/>
          <w:sz w:val="18"/>
          <w:szCs w:val="18"/>
          <w:color w:val="auto"/>
        </w:rPr>
        <w:t>314-212-8328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6"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04"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Statements of Income</w:t>
      </w:r>
    </w:p>
    <w:p>
      <w:pPr>
        <w:spacing w:after="0" w:line="32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3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5"/>
                <w:szCs w:val="15"/>
                <w:color w:val="auto"/>
              </w:rPr>
            </w:pPr>
          </w:p>
        </w:tc>
        <w:tc>
          <w:tcPr>
            <w:tcW w:w="23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200"/>
              <w:spacing w:after="0" w:line="202" w:lineRule="exact"/>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41,917</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46,266</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135,487</w:t>
            </w:r>
          </w:p>
        </w:tc>
        <w:tc>
          <w:tcPr>
            <w:tcW w:w="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159,357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783,360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680,423</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7"/>
              </w:rPr>
              <w:t>3,026,609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7"/>
              </w:rPr>
              <w:t>2,676,816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825,277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726,689</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3,162,096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2,836,173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200"/>
              <w:spacing w:after="0" w:line="202" w:lineRule="exact"/>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462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869</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2,729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530,428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461,692</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7"/>
              </w:rPr>
              <w:t>2,023,562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7"/>
              </w:rPr>
              <w:t>1,792,468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57,252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55,515</w:t>
            </w:r>
          </w:p>
        </w:tc>
        <w:tc>
          <w:tcPr>
            <w:tcW w:w="120" w:type="dxa"/>
            <w:vAlign w:val="bottom"/>
          </w:tcPr>
          <w:p>
            <w:pPr>
              <w:spacing w:after="0"/>
              <w:rPr>
                <w:sz w:val="17"/>
                <w:szCs w:val="17"/>
                <w:color w:val="auto"/>
              </w:rPr>
            </w:pP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225,492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230,444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103,171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95,299</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404,134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370,194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purchased intangible assets</w:t>
            </w:r>
          </w:p>
        </w:tc>
        <w:tc>
          <w:tcPr>
            <w:tcW w:w="10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20,385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19,174</w:t>
            </w:r>
          </w:p>
        </w:tc>
        <w:tc>
          <w:tcPr>
            <w:tcW w:w="120" w:type="dxa"/>
            <w:vAlign w:val="bottom"/>
          </w:tcPr>
          <w:p>
            <w:pPr>
              <w:spacing w:after="0"/>
              <w:rPr>
                <w:sz w:val="17"/>
                <w:szCs w:val="17"/>
                <w:color w:val="auto"/>
              </w:rPr>
            </w:pP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86,687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74,959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Restructuring charges, in-process research and development and other (1)</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12,116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13,896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723,814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632,549</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2,756,500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2,478,740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101,463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94,140</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405,596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357,433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6520" w:type="dxa"/>
            <w:vAlign w:val="bottom"/>
            <w:gridSpan w:val="2"/>
          </w:tcPr>
          <w:p>
            <w:pPr>
              <w:spacing w:after="0"/>
              <w:rPr>
                <w:sz w:val="20"/>
                <w:szCs w:val="20"/>
                <w:color w:val="auto"/>
              </w:rPr>
            </w:pPr>
            <w:r>
              <w:rPr>
                <w:rFonts w:ascii="Arial" w:cs="Arial" w:eastAsia="Arial" w:hAnsi="Arial"/>
                <w:sz w:val="18"/>
                <w:szCs w:val="18"/>
                <w:color w:val="auto"/>
              </w:rPr>
              <w:t>Interest (expense) income and other, net</w:t>
            </w:r>
          </w:p>
        </w:tc>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(11,842)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13,638</w:t>
            </w:r>
          </w:p>
        </w:tc>
        <w:tc>
          <w:tcPr>
            <w:tcW w:w="12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11,955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50,566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89,621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107,778</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417,551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407,999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65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6,910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11,535</w:t>
            </w:r>
          </w:p>
        </w:tc>
        <w:tc>
          <w:tcPr>
            <w:tcW w:w="12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38,645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43,062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82,711</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96,243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378,906</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364,937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gridSpan w:val="2"/>
          </w:tcPr>
          <w:p>
            <w:pPr>
              <w:spacing w:after="0" w:line="196" w:lineRule="exact"/>
              <w:rPr>
                <w:sz w:val="20"/>
                <w:szCs w:val="20"/>
                <w:color w:val="auto"/>
              </w:rPr>
            </w:pPr>
            <w:r>
              <w:rPr>
                <w:rFonts w:ascii="Arial" w:cs="Arial" w:eastAsia="Arial" w:hAnsi="Arial"/>
                <w:sz w:val="18"/>
                <w:szCs w:val="18"/>
                <w:color w:val="auto"/>
              </w:rPr>
              <w:t>Basic earnings per share</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0.40</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0.46</w:t>
            </w:r>
          </w:p>
        </w:tc>
        <w:tc>
          <w:tcPr>
            <w:tcW w:w="4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1.83</w:t>
            </w: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share (2)</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0.38</w:t>
            </w:r>
          </w:p>
        </w:tc>
        <w:tc>
          <w:tcPr>
            <w:tcW w:w="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0.43</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1.74</w:t>
            </w:r>
          </w:p>
        </w:tc>
        <w:tc>
          <w:tcPr>
            <w:tcW w:w="3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gridSpan w:val="2"/>
          </w:tcPr>
          <w:p>
            <w:pPr>
              <w:spacing w:after="0" w:line="196" w:lineRule="exact"/>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tcPr>
          <w:p>
            <w:pPr>
              <w:spacing w:after="0"/>
              <w:rPr>
                <w:sz w:val="17"/>
                <w:szCs w:val="17"/>
                <w:color w:val="auto"/>
              </w:rPr>
            </w:pPr>
          </w:p>
        </w:tc>
        <w:tc>
          <w:tcPr>
            <w:tcW w:w="94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w w:val="98"/>
              </w:rPr>
              <w:t>205,164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209,371</w:t>
            </w:r>
          </w:p>
        </w:tc>
        <w:tc>
          <w:tcPr>
            <w:tcW w:w="120" w:type="dxa"/>
            <w:vAlign w:val="bottom"/>
          </w:tcPr>
          <w:p>
            <w:pPr>
              <w:spacing w:after="0"/>
              <w:rPr>
                <w:sz w:val="17"/>
                <w:szCs w:val="17"/>
                <w:color w:val="auto"/>
              </w:rPr>
            </w:pPr>
          </w:p>
        </w:tc>
        <w:tc>
          <w:tcPr>
            <w:tcW w:w="10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206,590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207,846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w w:val="98"/>
              </w:rPr>
              <w:t>217,479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60"/>
              <w:spacing w:after="0" w:line="196" w:lineRule="exact"/>
              <w:rPr>
                <w:sz w:val="20"/>
                <w:szCs w:val="20"/>
                <w:color w:val="auto"/>
              </w:rPr>
            </w:pPr>
            <w:r>
              <w:rPr>
                <w:rFonts w:ascii="Arial" w:cs="Arial" w:eastAsia="Arial" w:hAnsi="Arial"/>
                <w:sz w:val="18"/>
                <w:szCs w:val="18"/>
                <w:color w:val="auto"/>
              </w:rPr>
              <w:t>224,033</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219,606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223,256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right="680" w:hanging="452"/>
        <w:spacing w:after="0" w:line="246"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Restructuring charges, in-process research and development and other for the twelve months ended September 30, 2008 include restructuring charges of $12,116 and in-process research and development of $1,780.</w:t>
      </w:r>
    </w:p>
    <w:p>
      <w:pPr>
        <w:spacing w:after="0" w:line="48" w:lineRule="exact"/>
        <w:rPr>
          <w:rFonts w:ascii="Arial" w:cs="Arial" w:eastAsia="Arial" w:hAnsi="Arial"/>
          <w:sz w:val="18"/>
          <w:szCs w:val="18"/>
          <w:color w:val="auto"/>
        </w:rPr>
      </w:pPr>
    </w:p>
    <w:p>
      <w:pPr>
        <w:ind w:left="460" w:right="40" w:hanging="452"/>
        <w:spacing w:after="0" w:line="246"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reflect the impact of assumed conversion of the convertible notes, $985 and $3,940, representing interest expense and amortization of issuance costs, were added back to net income for the three and twelve months ended September 30, 2008 and 2007,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80" w:type="dxa"/>
            <w:vAlign w:val="bottom"/>
            <w:gridSpan w:val="4"/>
          </w:tcPr>
          <w:p>
            <w:pPr>
              <w:jc w:val="right"/>
              <w:ind w:right="753"/>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7"/>
              <w:spacing w:after="0" w:line="196" w:lineRule="exact"/>
              <w:rPr>
                <w:sz w:val="20"/>
                <w:szCs w:val="20"/>
                <w:color w:val="auto"/>
              </w:rPr>
            </w:pPr>
            <w:r>
              <w:rPr>
                <w:rFonts w:ascii="Arial" w:cs="Arial" w:eastAsia="Arial" w:hAnsi="Arial"/>
                <w:sz w:val="18"/>
                <w:szCs w:val="18"/>
                <w:color w:val="auto"/>
                <w:w w:val="95"/>
              </w:rPr>
              <w:t>825,277</w:t>
            </w: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3"/>
              <w:spacing w:after="0" w:line="196" w:lineRule="exact"/>
              <w:rPr>
                <w:sz w:val="20"/>
                <w:szCs w:val="20"/>
                <w:color w:val="auto"/>
              </w:rPr>
            </w:pPr>
            <w:r>
              <w:rPr>
                <w:rFonts w:ascii="Arial" w:cs="Arial" w:eastAsia="Arial" w:hAnsi="Arial"/>
                <w:sz w:val="18"/>
                <w:szCs w:val="18"/>
                <w:color w:val="auto"/>
                <w:w w:val="98"/>
              </w:rPr>
              <w:t>726,689</w:t>
            </w: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7"/>
              <w:spacing w:after="0" w:line="196" w:lineRule="exact"/>
              <w:rPr>
                <w:sz w:val="20"/>
                <w:szCs w:val="20"/>
                <w:color w:val="auto"/>
              </w:rPr>
            </w:pPr>
            <w:r>
              <w:rPr>
                <w:rFonts w:ascii="Arial" w:cs="Arial" w:eastAsia="Arial" w:hAnsi="Arial"/>
                <w:sz w:val="18"/>
                <w:szCs w:val="18"/>
                <w:color w:val="auto"/>
                <w:w w:val="99"/>
              </w:rPr>
              <w:t>3,162,096</w:t>
            </w: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3"/>
              <w:spacing w:after="0" w:line="196" w:lineRule="exact"/>
              <w:rPr>
                <w:sz w:val="20"/>
                <w:szCs w:val="20"/>
                <w:color w:val="auto"/>
              </w:rPr>
            </w:pPr>
            <w:r>
              <w:rPr>
                <w:rFonts w:ascii="Arial" w:cs="Arial" w:eastAsia="Arial" w:hAnsi="Arial"/>
                <w:sz w:val="18"/>
                <w:szCs w:val="18"/>
                <w:color w:val="auto"/>
                <w:w w:val="99"/>
              </w:rPr>
              <w:t>2,836,173</w:t>
            </w:r>
          </w:p>
        </w:tc>
        <w:tc>
          <w:tcPr>
            <w:tcW w:w="0" w:type="dxa"/>
            <w:vAlign w:val="bottom"/>
          </w:tcPr>
          <w:p>
            <w:pPr>
              <w:spacing w:after="0"/>
              <w:rPr>
                <w:sz w:val="1"/>
                <w:szCs w:val="1"/>
                <w:color w:val="auto"/>
              </w:rPr>
            </w:pPr>
          </w:p>
        </w:tc>
      </w:tr>
      <w:tr>
        <w:trPr>
          <w:trHeight w:val="419"/>
        </w:trPr>
        <w:tc>
          <w:tcPr>
            <w:tcW w:w="496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300" w:type="dxa"/>
            <w:vAlign w:val="bottom"/>
          </w:tcPr>
          <w:p>
            <w:pPr>
              <w:spacing w:after="0"/>
              <w:rPr>
                <w:sz w:val="24"/>
                <w:szCs w:val="24"/>
                <w:color w:val="auto"/>
              </w:rPr>
            </w:pPr>
          </w:p>
        </w:tc>
        <w:tc>
          <w:tcPr>
            <w:tcW w:w="920" w:type="dxa"/>
            <w:vAlign w:val="bottom"/>
          </w:tcPr>
          <w:p>
            <w:pPr>
              <w:jc w:val="right"/>
              <w:ind w:right="197"/>
              <w:spacing w:after="0"/>
              <w:rPr>
                <w:sz w:val="20"/>
                <w:szCs w:val="20"/>
                <w:color w:val="auto"/>
              </w:rPr>
            </w:pPr>
            <w:r>
              <w:rPr>
                <w:rFonts w:ascii="Arial" w:cs="Arial" w:eastAsia="Arial" w:hAnsi="Arial"/>
                <w:sz w:val="18"/>
                <w:szCs w:val="18"/>
                <w:color w:val="auto"/>
                <w:w w:val="95"/>
              </w:rPr>
              <w:t>147,744</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173"/>
              <w:spacing w:after="0"/>
              <w:rPr>
                <w:sz w:val="20"/>
                <w:szCs w:val="20"/>
                <w:color w:val="auto"/>
              </w:rPr>
            </w:pPr>
            <w:r>
              <w:rPr>
                <w:rFonts w:ascii="Arial" w:cs="Arial" w:eastAsia="Arial" w:hAnsi="Arial"/>
                <w:sz w:val="18"/>
                <w:szCs w:val="18"/>
                <w:color w:val="auto"/>
                <w:w w:val="98"/>
              </w:rPr>
              <w:t>126,931</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177"/>
              <w:spacing w:after="0"/>
              <w:rPr>
                <w:sz w:val="20"/>
                <w:szCs w:val="20"/>
                <w:color w:val="auto"/>
              </w:rPr>
            </w:pPr>
            <w:r>
              <w:rPr>
                <w:rFonts w:ascii="Arial" w:cs="Arial" w:eastAsia="Arial" w:hAnsi="Arial"/>
                <w:sz w:val="18"/>
                <w:szCs w:val="18"/>
                <w:color w:val="auto"/>
              </w:rPr>
              <w:t>563,669</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492,740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Non-GAAP net income</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7"/>
              <w:spacing w:after="0" w:line="202" w:lineRule="exact"/>
              <w:rPr>
                <w:sz w:val="20"/>
                <w:szCs w:val="20"/>
                <w:color w:val="auto"/>
              </w:rPr>
            </w:pPr>
            <w:r>
              <w:rPr>
                <w:rFonts w:ascii="Arial" w:cs="Arial" w:eastAsia="Arial" w:hAnsi="Arial"/>
                <w:sz w:val="18"/>
                <w:szCs w:val="18"/>
                <w:color w:val="auto"/>
                <w:w w:val="95"/>
              </w:rPr>
              <w:t>117,208</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w w:val="98"/>
              </w:rPr>
              <w:t>120,708</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77"/>
              <w:spacing w:after="0" w:line="202" w:lineRule="exact"/>
              <w:rPr>
                <w:sz w:val="20"/>
                <w:szCs w:val="20"/>
                <w:color w:val="auto"/>
              </w:rPr>
            </w:pPr>
            <w:r>
              <w:rPr>
                <w:rFonts w:ascii="Arial" w:cs="Arial" w:eastAsia="Arial" w:hAnsi="Arial"/>
                <w:sz w:val="18"/>
                <w:szCs w:val="18"/>
                <w:color w:val="auto"/>
              </w:rPr>
              <w:t>499,608</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473,871</w:t>
            </w:r>
          </w:p>
        </w:tc>
        <w:tc>
          <w:tcPr>
            <w:tcW w:w="0" w:type="dxa"/>
            <w:vAlign w:val="bottom"/>
          </w:tcPr>
          <w:p>
            <w:pPr>
              <w:spacing w:after="0"/>
              <w:rPr>
                <w:sz w:val="1"/>
                <w:szCs w:val="1"/>
                <w:color w:val="auto"/>
              </w:rPr>
            </w:pPr>
          </w:p>
        </w:tc>
      </w:tr>
      <w:tr>
        <w:trPr>
          <w:trHeight w:val="419"/>
        </w:trPr>
        <w:tc>
          <w:tcPr>
            <w:tcW w:w="4960" w:type="dxa"/>
            <w:vAlign w:val="bottom"/>
            <w:gridSpan w:val="2"/>
          </w:tcPr>
          <w:p>
            <w:pPr>
              <w:spacing w:after="0"/>
              <w:rPr>
                <w:sz w:val="20"/>
                <w:szCs w:val="20"/>
                <w:color w:val="auto"/>
              </w:rPr>
            </w:pPr>
            <w:r>
              <w:rPr>
                <w:rFonts w:ascii="Arial" w:cs="Arial" w:eastAsia="Arial" w:hAnsi="Arial"/>
                <w:sz w:val="18"/>
                <w:szCs w:val="18"/>
                <w:color w:val="auto"/>
              </w:rPr>
              <w:t>Non-GAAP diluted earnings per share (1)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7"/>
              <w:spacing w:after="0"/>
              <w:rPr>
                <w:sz w:val="20"/>
                <w:szCs w:val="20"/>
                <w:color w:val="auto"/>
              </w:rPr>
            </w:pPr>
            <w:r>
              <w:rPr>
                <w:rFonts w:ascii="Arial" w:cs="Arial" w:eastAsia="Arial" w:hAnsi="Arial"/>
                <w:sz w:val="18"/>
                <w:szCs w:val="18"/>
                <w:color w:val="auto"/>
              </w:rPr>
              <w:t>0.54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3"/>
              <w:spacing w:after="0"/>
              <w:rPr>
                <w:sz w:val="20"/>
                <w:szCs w:val="20"/>
                <w:color w:val="auto"/>
              </w:rPr>
            </w:pPr>
            <w:r>
              <w:rPr>
                <w:rFonts w:ascii="Arial" w:cs="Arial" w:eastAsia="Arial" w:hAnsi="Arial"/>
                <w:sz w:val="18"/>
                <w:szCs w:val="18"/>
                <w:color w:val="auto"/>
              </w:rPr>
              <w:t>0.54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7"/>
              <w:spacing w:after="0"/>
              <w:rPr>
                <w:sz w:val="20"/>
                <w:szCs w:val="20"/>
                <w:color w:val="auto"/>
              </w:rPr>
            </w:pPr>
            <w:r>
              <w:rPr>
                <w:rFonts w:ascii="Arial" w:cs="Arial" w:eastAsia="Arial" w:hAnsi="Arial"/>
                <w:sz w:val="18"/>
                <w:szCs w:val="18"/>
                <w:color w:val="auto"/>
              </w:rPr>
              <w:t>2.29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3"/>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weighted average number of shares outstanding</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7"/>
              <w:spacing w:after="0" w:line="202" w:lineRule="exact"/>
              <w:rPr>
                <w:sz w:val="20"/>
                <w:szCs w:val="20"/>
                <w:color w:val="auto"/>
              </w:rPr>
            </w:pPr>
            <w:r>
              <w:rPr>
                <w:rFonts w:ascii="Arial" w:cs="Arial" w:eastAsia="Arial" w:hAnsi="Arial"/>
                <w:sz w:val="18"/>
                <w:szCs w:val="18"/>
                <w:color w:val="auto"/>
                <w:w w:val="95"/>
              </w:rPr>
              <w:t>217,479</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w w:val="98"/>
              </w:rPr>
              <w:t>224,033</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77"/>
              <w:spacing w:after="0" w:line="202" w:lineRule="exact"/>
              <w:rPr>
                <w:sz w:val="20"/>
                <w:szCs w:val="20"/>
                <w:color w:val="auto"/>
              </w:rPr>
            </w:pPr>
            <w:r>
              <w:rPr>
                <w:rFonts w:ascii="Arial" w:cs="Arial" w:eastAsia="Arial" w:hAnsi="Arial"/>
                <w:sz w:val="18"/>
                <w:szCs w:val="18"/>
                <w:color w:val="auto"/>
              </w:rPr>
              <w:t>219,606</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223,256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0" w:hanging="452"/>
        <w:spacing w:after="0" w:line="246"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reflect the impact of assumed conversion of the convertible notes, $985 and $3,940, representing interest expense and amortization of issuance costs, were added back to net income for the three and twelve months ended September 30, 2008 and 2007,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40" w:type="dxa"/>
            <w:vAlign w:val="bottom"/>
            <w:gridSpan w:val="2"/>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September 30, 2008</w:t>
            </w:r>
          </w:p>
        </w:tc>
        <w:tc>
          <w:tcPr>
            <w:tcW w:w="10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ind w:left="320"/>
              <w:spacing w:after="0" w:line="155" w:lineRule="exact"/>
              <w:rPr>
                <w:sz w:val="20"/>
                <w:szCs w:val="20"/>
                <w:color w:val="auto"/>
              </w:rPr>
            </w:pPr>
            <w:r>
              <w:rPr>
                <w:rFonts w:ascii="Arial" w:cs="Arial" w:eastAsia="Arial" w:hAnsi="Arial"/>
                <w:sz w:val="14"/>
                <w:szCs w:val="14"/>
                <w:b w:val="1"/>
                <w:bCs w:val="1"/>
                <w:color w:val="auto"/>
              </w:rPr>
              <w:t>Reconciliation items</w:t>
            </w:r>
          </w:p>
        </w:tc>
        <w:tc>
          <w:tcPr>
            <w:tcW w:w="10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51"/>
              <w:spacing w:after="0" w:line="143" w:lineRule="exact"/>
              <w:rPr>
                <w:sz w:val="20"/>
                <w:szCs w:val="20"/>
                <w:color w:val="auto"/>
              </w:rPr>
            </w:pPr>
            <w:r>
              <w:rPr>
                <w:rFonts w:ascii="Arial" w:cs="Arial" w:eastAsia="Arial" w:hAnsi="Arial"/>
                <w:sz w:val="14"/>
                <w:szCs w:val="14"/>
                <w:b w:val="1"/>
                <w:bCs w:val="1"/>
                <w:color w:val="auto"/>
              </w:rPr>
              <w:t>Amortization</w:t>
            </w: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1"/>
              <w:spacing w:after="0"/>
              <w:rPr>
                <w:sz w:val="20"/>
                <w:szCs w:val="20"/>
                <w:color w:val="auto"/>
              </w:rPr>
            </w:pPr>
            <w:r>
              <w:rPr>
                <w:rFonts w:ascii="Arial" w:cs="Arial" w:eastAsia="Arial" w:hAnsi="Arial"/>
                <w:sz w:val="14"/>
                <w:szCs w:val="14"/>
                <w:b w:val="1"/>
                <w:bCs w:val="1"/>
                <w:color w:val="auto"/>
              </w:rPr>
              <w:t>of purchased</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40" w:type="dxa"/>
            <w:vAlign w:val="bottom"/>
            <w:gridSpan w:val="2"/>
          </w:tcPr>
          <w:p>
            <w:pPr>
              <w:jc w:val="center"/>
              <w:ind w:left="358"/>
              <w:spacing w:after="0"/>
              <w:rPr>
                <w:sz w:val="20"/>
                <w:szCs w:val="20"/>
                <w:color w:val="auto"/>
              </w:rPr>
            </w:pPr>
            <w:r>
              <w:rPr>
                <w:rFonts w:ascii="Arial" w:cs="Arial" w:eastAsia="Arial" w:hAnsi="Arial"/>
                <w:sz w:val="14"/>
                <w:szCs w:val="14"/>
                <w:b w:val="1"/>
                <w:bCs w:val="1"/>
                <w:color w:val="auto"/>
              </w:rPr>
              <w:t>Equity based</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51"/>
              <w:spacing w:after="0"/>
              <w:rPr>
                <w:sz w:val="20"/>
                <w:szCs w:val="20"/>
                <w:color w:val="auto"/>
              </w:rPr>
            </w:pPr>
            <w:r>
              <w:rPr>
                <w:rFonts w:ascii="Arial" w:cs="Arial" w:eastAsia="Arial" w:hAnsi="Arial"/>
                <w:sz w:val="14"/>
                <w:szCs w:val="14"/>
                <w:b w:val="1"/>
                <w:bCs w:val="1"/>
                <w:color w:val="auto"/>
              </w:rPr>
              <w:t>intangible</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Restructuring</w:t>
            </w:r>
          </w:p>
        </w:tc>
        <w:tc>
          <w:tcPr>
            <w:tcW w:w="1940" w:type="dxa"/>
            <w:vAlign w:val="bottom"/>
            <w:gridSpan w:val="2"/>
          </w:tcPr>
          <w:p>
            <w:pPr>
              <w:jc w:val="center"/>
              <w:ind w:left="358"/>
              <w:spacing w:after="0"/>
              <w:rPr>
                <w:sz w:val="20"/>
                <w:szCs w:val="20"/>
                <w:color w:val="auto"/>
              </w:rPr>
            </w:pPr>
            <w:r>
              <w:rPr>
                <w:rFonts w:ascii="Arial" w:cs="Arial" w:eastAsia="Arial" w:hAnsi="Arial"/>
                <w:sz w:val="14"/>
                <w:szCs w:val="14"/>
                <w:b w:val="1"/>
                <w:bCs w:val="1"/>
                <w:color w:val="auto"/>
              </w:rPr>
              <w:t>compensation</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GAAP</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91"/>
              <w:spacing w:after="0"/>
              <w:rPr>
                <w:sz w:val="20"/>
                <w:szCs w:val="20"/>
                <w:color w:val="auto"/>
              </w:rPr>
            </w:pPr>
            <w:r>
              <w:rPr>
                <w:rFonts w:ascii="Arial" w:cs="Arial" w:eastAsia="Arial" w:hAnsi="Arial"/>
                <w:sz w:val="14"/>
                <w:szCs w:val="14"/>
                <w:b w:val="1"/>
                <w:bCs w:val="1"/>
                <w:color w:val="auto"/>
              </w:rPr>
              <w:t>assets</w:t>
            </w:r>
          </w:p>
        </w:tc>
        <w:tc>
          <w:tcPr>
            <w:tcW w:w="6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charges</w:t>
            </w:r>
          </w:p>
        </w:tc>
        <w:tc>
          <w:tcPr>
            <w:tcW w:w="8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51"/>
              <w:spacing w:after="0"/>
              <w:rPr>
                <w:sz w:val="20"/>
                <w:szCs w:val="20"/>
                <w:color w:val="auto"/>
              </w:rPr>
            </w:pPr>
            <w:r>
              <w:rPr>
                <w:rFonts w:ascii="Arial" w:cs="Arial" w:eastAsia="Arial" w:hAnsi="Arial"/>
                <w:sz w:val="14"/>
                <w:szCs w:val="14"/>
                <w:b w:val="1"/>
                <w:bCs w:val="1"/>
                <w:color w:val="auto"/>
              </w:rPr>
              <w:t>expense</w:t>
            </w:r>
          </w:p>
        </w:tc>
        <w:tc>
          <w:tcPr>
            <w:tcW w:w="13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Tax effect</w:t>
            </w:r>
          </w:p>
        </w:tc>
        <w:tc>
          <w:tcPr>
            <w:tcW w:w="13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Non-GAAP</w:t>
            </w:r>
          </w:p>
        </w:tc>
      </w:tr>
      <w:tr>
        <w:trPr>
          <w:trHeight w:val="203"/>
        </w:trPr>
        <w:tc>
          <w:tcPr>
            <w:tcW w:w="20" w:type="dxa"/>
            <w:vAlign w:val="bottom"/>
          </w:tcPr>
          <w:p>
            <w:pPr>
              <w:spacing w:after="0"/>
              <w:rPr>
                <w:sz w:val="17"/>
                <w:szCs w:val="17"/>
                <w:color w:val="auto"/>
              </w:rPr>
            </w:pPr>
          </w:p>
        </w:tc>
        <w:tc>
          <w:tcPr>
            <w:tcW w:w="2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Cost of license</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462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91"/>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51"/>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ind w:left="40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462</w:t>
            </w:r>
          </w:p>
        </w:tc>
      </w:tr>
      <w:tr>
        <w:trPr>
          <w:trHeight w:val="203"/>
        </w:trPr>
        <w:tc>
          <w:tcPr>
            <w:tcW w:w="20" w:type="dxa"/>
            <w:vAlign w:val="bottom"/>
          </w:tcPr>
          <w:p>
            <w:pPr>
              <w:spacing w:after="0"/>
              <w:rPr>
                <w:sz w:val="17"/>
                <w:szCs w:val="17"/>
                <w:color w:val="auto"/>
              </w:rPr>
            </w:pPr>
          </w:p>
        </w:tc>
        <w:tc>
          <w:tcPr>
            <w:tcW w:w="2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service</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w w:val="98"/>
              </w:rPr>
              <w:t>530,428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91"/>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91"/>
              <w:spacing w:after="0" w:line="202" w:lineRule="exact"/>
              <w:rPr>
                <w:sz w:val="20"/>
                <w:szCs w:val="20"/>
                <w:color w:val="auto"/>
              </w:rPr>
            </w:pPr>
            <w:r>
              <w:rPr>
                <w:rFonts w:ascii="Arial" w:cs="Arial" w:eastAsia="Arial" w:hAnsi="Arial"/>
                <w:sz w:val="18"/>
                <w:szCs w:val="18"/>
                <w:color w:val="auto"/>
              </w:rPr>
              <w:t>(5,836)</w:t>
            </w:r>
          </w:p>
        </w:tc>
        <w:tc>
          <w:tcPr>
            <w:tcW w:w="5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98"/>
              </w:rPr>
              <w:t>524,592</w:t>
            </w:r>
          </w:p>
        </w:tc>
      </w:tr>
      <w:tr>
        <w:trPr>
          <w:trHeight w:val="202"/>
        </w:trPr>
        <w:tc>
          <w:tcPr>
            <w:tcW w:w="20" w:type="dxa"/>
            <w:vAlign w:val="bottom"/>
          </w:tcPr>
          <w:p>
            <w:pPr>
              <w:spacing w:after="0"/>
              <w:rPr>
                <w:sz w:val="17"/>
                <w:szCs w:val="17"/>
                <w:color w:val="auto"/>
              </w:rPr>
            </w:pPr>
          </w:p>
        </w:tc>
        <w:tc>
          <w:tcPr>
            <w:tcW w:w="25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Research and</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520" w:type="dxa"/>
            <w:vAlign w:val="bottom"/>
            <w:gridSpan w:val="2"/>
          </w:tcPr>
          <w:p>
            <w:pPr>
              <w:ind w:left="400"/>
              <w:spacing w:after="0" w:line="203" w:lineRule="exact"/>
              <w:rPr>
                <w:sz w:val="20"/>
                <w:szCs w:val="20"/>
                <w:color w:val="auto"/>
              </w:rPr>
            </w:pPr>
            <w:r>
              <w:rPr>
                <w:rFonts w:ascii="Arial" w:cs="Arial" w:eastAsia="Arial" w:hAnsi="Arial"/>
                <w:sz w:val="18"/>
                <w:szCs w:val="18"/>
                <w:color w:val="auto"/>
              </w:rPr>
              <w:t>development</w:t>
            </w:r>
          </w:p>
        </w:tc>
        <w:tc>
          <w:tcPr>
            <w:tcW w:w="220" w:type="dxa"/>
            <w:vAlign w:val="bottom"/>
          </w:tcPr>
          <w:p>
            <w:pPr>
              <w:spacing w:after="0"/>
              <w:rPr>
                <w:sz w:val="17"/>
                <w:szCs w:val="17"/>
                <w:color w:val="auto"/>
              </w:rPr>
            </w:pPr>
          </w:p>
        </w:tc>
        <w:tc>
          <w:tcPr>
            <w:tcW w:w="980" w:type="dxa"/>
            <w:vAlign w:val="bottom"/>
          </w:tcPr>
          <w:p>
            <w:pPr>
              <w:jc w:val="right"/>
              <w:ind w:right="232"/>
              <w:spacing w:after="0" w:line="203" w:lineRule="exact"/>
              <w:rPr>
                <w:sz w:val="20"/>
                <w:szCs w:val="20"/>
                <w:color w:val="auto"/>
              </w:rPr>
            </w:pPr>
            <w:r>
              <w:rPr>
                <w:rFonts w:ascii="Arial" w:cs="Arial" w:eastAsia="Arial" w:hAnsi="Arial"/>
                <w:sz w:val="18"/>
                <w:szCs w:val="18"/>
                <w:color w:val="auto"/>
              </w:rPr>
              <w:t>57,252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291"/>
              <w:spacing w:after="0" w:line="203"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860" w:type="dxa"/>
            <w:vAlign w:val="bottom"/>
          </w:tcPr>
          <w:p>
            <w:pPr>
              <w:jc w:val="right"/>
              <w:ind w:right="154"/>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spacing w:after="0"/>
              <w:rPr>
                <w:sz w:val="17"/>
                <w:szCs w:val="17"/>
                <w:color w:val="auto"/>
              </w:rPr>
            </w:pPr>
          </w:p>
        </w:tc>
        <w:tc>
          <w:tcPr>
            <w:tcW w:w="1060" w:type="dxa"/>
            <w:vAlign w:val="bottom"/>
          </w:tcPr>
          <w:p>
            <w:pPr>
              <w:jc w:val="right"/>
              <w:ind w:right="291"/>
              <w:spacing w:after="0" w:line="203" w:lineRule="exact"/>
              <w:rPr>
                <w:sz w:val="20"/>
                <w:szCs w:val="20"/>
                <w:color w:val="auto"/>
              </w:rPr>
            </w:pPr>
            <w:r>
              <w:rPr>
                <w:rFonts w:ascii="Arial" w:cs="Arial" w:eastAsia="Arial" w:hAnsi="Arial"/>
                <w:sz w:val="18"/>
                <w:szCs w:val="18"/>
                <w:color w:val="auto"/>
              </w:rPr>
              <w:t>(1,088)</w:t>
            </w:r>
          </w:p>
        </w:tc>
        <w:tc>
          <w:tcPr>
            <w:tcW w:w="500" w:type="dxa"/>
            <w:vAlign w:val="bottom"/>
          </w:tcPr>
          <w:p>
            <w:pPr>
              <w:spacing w:after="0"/>
              <w:rPr>
                <w:sz w:val="17"/>
                <w:szCs w:val="17"/>
                <w:color w:val="auto"/>
              </w:rPr>
            </w:pPr>
          </w:p>
        </w:tc>
        <w:tc>
          <w:tcPr>
            <w:tcW w:w="8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840" w:type="dxa"/>
            <w:vAlign w:val="bottom"/>
          </w:tcPr>
          <w:p>
            <w:pPr>
              <w:jc w:val="right"/>
              <w:ind w:right="90"/>
              <w:spacing w:after="0" w:line="203" w:lineRule="exact"/>
              <w:rPr>
                <w:sz w:val="20"/>
                <w:szCs w:val="20"/>
                <w:color w:val="auto"/>
              </w:rPr>
            </w:pPr>
            <w:r>
              <w:rPr>
                <w:rFonts w:ascii="Arial" w:cs="Arial" w:eastAsia="Arial" w:hAnsi="Arial"/>
                <w:sz w:val="18"/>
                <w:szCs w:val="18"/>
                <w:color w:val="auto"/>
              </w:rPr>
              <w:t>56,164</w:t>
            </w:r>
          </w:p>
        </w:tc>
      </w:tr>
      <w:tr>
        <w:trPr>
          <w:trHeight w:val="202"/>
        </w:trPr>
        <w:tc>
          <w:tcPr>
            <w:tcW w:w="20" w:type="dxa"/>
            <w:vAlign w:val="bottom"/>
          </w:tcPr>
          <w:p>
            <w:pPr>
              <w:spacing w:after="0"/>
              <w:rPr>
                <w:sz w:val="17"/>
                <w:szCs w:val="17"/>
                <w:color w:val="auto"/>
              </w:rPr>
            </w:pPr>
          </w:p>
        </w:tc>
        <w:tc>
          <w:tcPr>
            <w:tcW w:w="25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52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administrative</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32"/>
              <w:spacing w:after="0" w:line="203" w:lineRule="exact"/>
              <w:rPr>
                <w:sz w:val="20"/>
                <w:szCs w:val="20"/>
                <w:color w:val="auto"/>
              </w:rPr>
            </w:pPr>
            <w:r>
              <w:rPr>
                <w:rFonts w:ascii="Arial" w:cs="Arial" w:eastAsia="Arial" w:hAnsi="Arial"/>
                <w:sz w:val="18"/>
                <w:szCs w:val="18"/>
                <w:color w:val="auto"/>
                <w:w w:val="98"/>
              </w:rPr>
              <w:t>103,171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91"/>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54"/>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91"/>
              <w:spacing w:after="0" w:line="203" w:lineRule="exact"/>
              <w:rPr>
                <w:sz w:val="20"/>
                <w:szCs w:val="20"/>
                <w:color w:val="auto"/>
              </w:rPr>
            </w:pPr>
            <w:r>
              <w:rPr>
                <w:rFonts w:ascii="Arial" w:cs="Arial" w:eastAsia="Arial" w:hAnsi="Arial"/>
                <w:sz w:val="18"/>
                <w:szCs w:val="18"/>
                <w:color w:val="auto"/>
              </w:rPr>
              <w:t>(6,856)</w:t>
            </w:r>
          </w:p>
        </w:tc>
        <w:tc>
          <w:tcPr>
            <w:tcW w:w="5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96,315</w:t>
            </w:r>
          </w:p>
        </w:tc>
      </w:tr>
      <w:tr>
        <w:trPr>
          <w:trHeight w:val="202"/>
        </w:trPr>
        <w:tc>
          <w:tcPr>
            <w:tcW w:w="20" w:type="dxa"/>
            <w:vAlign w:val="bottom"/>
          </w:tcPr>
          <w:p>
            <w:pPr>
              <w:spacing w:after="0"/>
              <w:rPr>
                <w:sz w:val="17"/>
                <w:szCs w:val="17"/>
                <w:color w:val="auto"/>
              </w:rPr>
            </w:pPr>
          </w:p>
        </w:tc>
        <w:tc>
          <w:tcPr>
            <w:tcW w:w="25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Amortization of</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52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purchased intangible</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520" w:type="dxa"/>
            <w:vAlign w:val="bottom"/>
            <w:gridSpan w:val="2"/>
          </w:tcPr>
          <w:p>
            <w:pPr>
              <w:ind w:left="400"/>
              <w:spacing w:after="0" w:line="203" w:lineRule="exact"/>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7"/>
                <w:szCs w:val="17"/>
                <w:color w:val="auto"/>
              </w:rPr>
            </w:pPr>
          </w:p>
        </w:tc>
        <w:tc>
          <w:tcPr>
            <w:tcW w:w="980" w:type="dxa"/>
            <w:vAlign w:val="bottom"/>
          </w:tcPr>
          <w:p>
            <w:pPr>
              <w:jc w:val="right"/>
              <w:ind w:right="232"/>
              <w:spacing w:after="0" w:line="203" w:lineRule="exact"/>
              <w:rPr>
                <w:sz w:val="20"/>
                <w:szCs w:val="20"/>
                <w:color w:val="auto"/>
              </w:rPr>
            </w:pPr>
            <w:r>
              <w:rPr>
                <w:rFonts w:ascii="Arial" w:cs="Arial" w:eastAsia="Arial" w:hAnsi="Arial"/>
                <w:sz w:val="18"/>
                <w:szCs w:val="18"/>
                <w:color w:val="auto"/>
              </w:rPr>
              <w:t>20,385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231"/>
              <w:spacing w:after="0" w:line="203" w:lineRule="exact"/>
              <w:rPr>
                <w:sz w:val="20"/>
                <w:szCs w:val="20"/>
                <w:color w:val="auto"/>
              </w:rPr>
            </w:pPr>
            <w:r>
              <w:rPr>
                <w:rFonts w:ascii="Arial" w:cs="Arial" w:eastAsia="Arial" w:hAnsi="Arial"/>
                <w:sz w:val="18"/>
                <w:szCs w:val="18"/>
                <w:color w:val="auto"/>
                <w:w w:val="98"/>
              </w:rPr>
              <w:t>(20,385)</w:t>
            </w:r>
          </w:p>
        </w:tc>
        <w:tc>
          <w:tcPr>
            <w:tcW w:w="680" w:type="dxa"/>
            <w:vAlign w:val="bottom"/>
          </w:tcPr>
          <w:p>
            <w:pPr>
              <w:spacing w:after="0"/>
              <w:rPr>
                <w:sz w:val="17"/>
                <w:szCs w:val="17"/>
                <w:color w:val="auto"/>
              </w:rPr>
            </w:pPr>
          </w:p>
        </w:tc>
        <w:tc>
          <w:tcPr>
            <w:tcW w:w="860" w:type="dxa"/>
            <w:vAlign w:val="bottom"/>
          </w:tcPr>
          <w:p>
            <w:pPr>
              <w:jc w:val="right"/>
              <w:ind w:right="154"/>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spacing w:after="0"/>
              <w:rPr>
                <w:sz w:val="17"/>
                <w:szCs w:val="17"/>
                <w:color w:val="auto"/>
              </w:rPr>
            </w:pPr>
          </w:p>
        </w:tc>
        <w:tc>
          <w:tcPr>
            <w:tcW w:w="1060" w:type="dxa"/>
            <w:vAlign w:val="bottom"/>
          </w:tcPr>
          <w:p>
            <w:pPr>
              <w:jc w:val="right"/>
              <w:ind w:right="351"/>
              <w:spacing w:after="0" w:line="203"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8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840" w:type="dxa"/>
            <w:vAlign w:val="bottom"/>
          </w:tcPr>
          <w:p>
            <w:pPr>
              <w:jc w:val="right"/>
              <w:ind w:right="90"/>
              <w:spacing w:after="0" w:line="203" w:lineRule="exact"/>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25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Restructuring charges,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52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in-process research</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52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and development and</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24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32"/>
              <w:spacing w:after="0" w:line="203" w:lineRule="exact"/>
              <w:rPr>
                <w:sz w:val="20"/>
                <w:szCs w:val="20"/>
                <w:color w:val="auto"/>
              </w:rPr>
            </w:pPr>
            <w:r>
              <w:rPr>
                <w:rFonts w:ascii="Arial" w:cs="Arial" w:eastAsia="Arial" w:hAnsi="Arial"/>
                <w:sz w:val="18"/>
                <w:szCs w:val="18"/>
                <w:color w:val="auto"/>
              </w:rPr>
              <w:t>12,116</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91"/>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94"/>
              <w:spacing w:after="0" w:line="203" w:lineRule="exact"/>
              <w:rPr>
                <w:sz w:val="20"/>
                <w:szCs w:val="20"/>
                <w:color w:val="auto"/>
              </w:rPr>
            </w:pPr>
            <w:r>
              <w:rPr>
                <w:rFonts w:ascii="Arial" w:cs="Arial" w:eastAsia="Arial" w:hAnsi="Arial"/>
                <w:sz w:val="18"/>
                <w:szCs w:val="18"/>
                <w:color w:val="auto"/>
                <w:w w:val="98"/>
              </w:rPr>
              <w:t>(12,116)</w:t>
            </w:r>
          </w:p>
        </w:tc>
        <w:tc>
          <w:tcPr>
            <w:tcW w:w="8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51"/>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w:t>
            </w:r>
          </w:p>
        </w:tc>
      </w:tr>
      <w:tr>
        <w:trPr>
          <w:trHeight w:val="210"/>
        </w:trPr>
        <w:tc>
          <w:tcPr>
            <w:tcW w:w="2540" w:type="dxa"/>
            <w:vAlign w:val="bottom"/>
            <w:gridSpan w:val="3"/>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color w:val="auto"/>
                <w:w w:val="98"/>
              </w:rPr>
              <w:t>723,814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231"/>
              <w:spacing w:after="0"/>
              <w:rPr>
                <w:sz w:val="20"/>
                <w:szCs w:val="20"/>
                <w:color w:val="auto"/>
              </w:rPr>
            </w:pPr>
            <w:r>
              <w:rPr>
                <w:rFonts w:ascii="Arial" w:cs="Arial" w:eastAsia="Arial" w:hAnsi="Arial"/>
                <w:sz w:val="18"/>
                <w:szCs w:val="18"/>
                <w:color w:val="auto"/>
                <w:w w:val="98"/>
              </w:rPr>
              <w:t>(20,385)</w:t>
            </w:r>
          </w:p>
        </w:tc>
        <w:tc>
          <w:tcPr>
            <w:tcW w:w="680" w:type="dxa"/>
            <w:vAlign w:val="bottom"/>
          </w:tcPr>
          <w:p>
            <w:pPr>
              <w:spacing w:after="0"/>
              <w:rPr>
                <w:sz w:val="18"/>
                <w:szCs w:val="18"/>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w w:val="98"/>
              </w:rPr>
              <w:t>(12,116)</w:t>
            </w:r>
          </w:p>
        </w:tc>
        <w:tc>
          <w:tcPr>
            <w:tcW w:w="880" w:type="dxa"/>
            <w:vAlign w:val="bottom"/>
          </w:tcPr>
          <w:p>
            <w:pPr>
              <w:spacing w:after="0"/>
              <w:rPr>
                <w:sz w:val="18"/>
                <w:szCs w:val="18"/>
                <w:color w:val="auto"/>
              </w:rPr>
            </w:pPr>
          </w:p>
        </w:tc>
        <w:tc>
          <w:tcPr>
            <w:tcW w:w="1060" w:type="dxa"/>
            <w:vAlign w:val="bottom"/>
          </w:tcPr>
          <w:p>
            <w:pPr>
              <w:jc w:val="right"/>
              <w:ind w:right="291"/>
              <w:spacing w:after="0"/>
              <w:rPr>
                <w:sz w:val="20"/>
                <w:szCs w:val="20"/>
                <w:color w:val="auto"/>
              </w:rPr>
            </w:pPr>
            <w:r>
              <w:rPr>
                <w:rFonts w:ascii="Arial" w:cs="Arial" w:eastAsia="Arial" w:hAnsi="Arial"/>
                <w:sz w:val="18"/>
                <w:szCs w:val="18"/>
                <w:color w:val="auto"/>
                <w:w w:val="98"/>
              </w:rPr>
              <w:t>(13,780)</w:t>
            </w:r>
          </w:p>
        </w:tc>
        <w:tc>
          <w:tcPr>
            <w:tcW w:w="5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$677,533</w:t>
            </w:r>
          </w:p>
        </w:tc>
      </w:tr>
      <w:tr>
        <w:trPr>
          <w:trHeight w:val="217"/>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w w:val="98"/>
              </w:rPr>
              <w:t>101,463</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91"/>
              <w:spacing w:after="0" w:line="202" w:lineRule="exact"/>
              <w:rPr>
                <w:sz w:val="20"/>
                <w:szCs w:val="20"/>
                <w:color w:val="auto"/>
              </w:rPr>
            </w:pPr>
            <w:r>
              <w:rPr>
                <w:rFonts w:ascii="Arial" w:cs="Arial" w:eastAsia="Arial" w:hAnsi="Arial"/>
                <w:sz w:val="18"/>
                <w:szCs w:val="18"/>
                <w:color w:val="auto"/>
              </w:rPr>
              <w:t>20,385</w:t>
            </w:r>
          </w:p>
        </w:tc>
        <w:tc>
          <w:tcPr>
            <w:tcW w:w="6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12,116</w:t>
            </w:r>
          </w:p>
        </w:tc>
        <w:tc>
          <w:tcPr>
            <w:tcW w:w="8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51"/>
              <w:spacing w:after="0" w:line="202" w:lineRule="exact"/>
              <w:rPr>
                <w:sz w:val="20"/>
                <w:szCs w:val="20"/>
                <w:color w:val="auto"/>
              </w:rPr>
            </w:pPr>
            <w:r>
              <w:rPr>
                <w:rFonts w:ascii="Arial" w:cs="Arial" w:eastAsia="Arial" w:hAnsi="Arial"/>
                <w:sz w:val="18"/>
                <w:szCs w:val="18"/>
                <w:color w:val="auto"/>
              </w:rPr>
              <w:t>13,780</w:t>
            </w:r>
          </w:p>
        </w:tc>
        <w:tc>
          <w:tcPr>
            <w:tcW w:w="5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98"/>
              </w:rPr>
              <w:t>147,744</w:t>
            </w:r>
          </w:p>
        </w:tc>
      </w:tr>
      <w:tr>
        <w:trPr>
          <w:trHeight w:val="210"/>
        </w:trPr>
        <w:tc>
          <w:tcPr>
            <w:tcW w:w="2260" w:type="dxa"/>
            <w:vAlign w:val="bottom"/>
            <w:gridSpan w:val="2"/>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10"/>
        </w:trPr>
        <w:tc>
          <w:tcPr>
            <w:tcW w:w="2540" w:type="dxa"/>
            <w:vAlign w:val="bottom"/>
            <w:gridSpan w:val="3"/>
          </w:tcPr>
          <w:p>
            <w:pPr>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6,910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06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11,784</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18,694</w:t>
            </w:r>
          </w:p>
        </w:tc>
      </w:tr>
      <w:tr>
        <w:trPr>
          <w:trHeight w:val="217"/>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82,711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91"/>
              <w:spacing w:after="0" w:line="202" w:lineRule="exact"/>
              <w:rPr>
                <w:sz w:val="20"/>
                <w:szCs w:val="20"/>
                <w:color w:val="auto"/>
              </w:rPr>
            </w:pPr>
            <w:r>
              <w:rPr>
                <w:rFonts w:ascii="Arial" w:cs="Arial" w:eastAsia="Arial" w:hAnsi="Arial"/>
                <w:sz w:val="18"/>
                <w:szCs w:val="18"/>
                <w:color w:val="auto"/>
              </w:rPr>
              <w:t>20,385</w:t>
            </w:r>
          </w:p>
        </w:tc>
        <w:tc>
          <w:tcPr>
            <w:tcW w:w="1540" w:type="dxa"/>
            <w:vAlign w:val="bottom"/>
            <w:gridSpan w:val="2"/>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$ 12,116</w:t>
            </w:r>
          </w:p>
        </w:tc>
        <w:tc>
          <w:tcPr>
            <w:tcW w:w="1940" w:type="dxa"/>
            <w:vAlign w:val="bottom"/>
            <w:gridSpan w:val="2"/>
            <w:shd w:val="clear" w:color="auto" w:fill="CCEEFF"/>
          </w:tcPr>
          <w:p>
            <w:pPr>
              <w:jc w:val="right"/>
              <w:ind w:right="351"/>
              <w:spacing w:after="0" w:line="202" w:lineRule="exact"/>
              <w:rPr>
                <w:sz w:val="20"/>
                <w:szCs w:val="20"/>
                <w:color w:val="auto"/>
              </w:rPr>
            </w:pPr>
            <w:r>
              <w:rPr>
                <w:rFonts w:ascii="Arial" w:cs="Arial" w:eastAsia="Arial" w:hAnsi="Arial"/>
                <w:sz w:val="18"/>
                <w:szCs w:val="18"/>
                <w:color w:val="auto"/>
              </w:rPr>
              <w:t>$ 13,780</w:t>
            </w:r>
          </w:p>
        </w:tc>
        <w:tc>
          <w:tcPr>
            <w:tcW w:w="13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$(11,784)</w:t>
            </w:r>
          </w:p>
        </w:tc>
        <w:tc>
          <w:tcPr>
            <w:tcW w:w="136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$117,208</w:t>
            </w:r>
          </w:p>
        </w:tc>
      </w:tr>
      <w:tr>
        <w:trPr>
          <w:trHeight w:val="358"/>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gridSpan w:val="2"/>
          </w:tcPr>
          <w:p>
            <w:pPr>
              <w:jc w:val="center"/>
              <w:ind w:right="311"/>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jc w:val="center"/>
              <w:ind w:right="311"/>
              <w:spacing w:after="0"/>
              <w:rPr>
                <w:sz w:val="20"/>
                <w:szCs w:val="20"/>
                <w:color w:val="auto"/>
              </w:rPr>
            </w:pPr>
            <w:r>
              <w:rPr>
                <w:rFonts w:ascii="Arial" w:cs="Arial" w:eastAsia="Arial" w:hAnsi="Arial"/>
                <w:sz w:val="14"/>
                <w:szCs w:val="14"/>
                <w:b w:val="1"/>
                <w:bCs w:val="1"/>
                <w:color w:val="auto"/>
              </w:rPr>
              <w:t>September 30, 2007</w:t>
            </w:r>
          </w:p>
        </w:tc>
        <w:tc>
          <w:tcPr>
            <w:tcW w:w="5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2"/>
          </w:tcPr>
          <w:p>
            <w:pPr>
              <w:jc w:val="center"/>
              <w:ind w:right="331"/>
              <w:spacing w:after="0" w:line="155" w:lineRule="exact"/>
              <w:rPr>
                <w:sz w:val="20"/>
                <w:szCs w:val="20"/>
                <w:color w:val="auto"/>
              </w:rPr>
            </w:pPr>
            <w:r>
              <w:rPr>
                <w:rFonts w:ascii="Arial" w:cs="Arial" w:eastAsia="Arial" w:hAnsi="Arial"/>
                <w:sz w:val="14"/>
                <w:szCs w:val="14"/>
                <w:b w:val="1"/>
                <w:bCs w:val="1"/>
                <w:color w:val="auto"/>
              </w:rPr>
              <w:t>Reconciliation items</w:t>
            </w:r>
          </w:p>
        </w:tc>
        <w:tc>
          <w:tcPr>
            <w:tcW w:w="5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2"/>
          </w:tcPr>
          <w:p>
            <w:pPr>
              <w:jc w:val="center"/>
              <w:ind w:right="94"/>
              <w:spacing w:after="0" w:line="143" w:lineRule="exact"/>
              <w:rPr>
                <w:sz w:val="20"/>
                <w:szCs w:val="20"/>
                <w:color w:val="auto"/>
              </w:rPr>
            </w:pPr>
            <w:r>
              <w:rPr>
                <w:rFonts w:ascii="Arial" w:cs="Arial" w:eastAsia="Arial" w:hAnsi="Arial"/>
                <w:sz w:val="14"/>
                <w:szCs w:val="14"/>
                <w:b w:val="1"/>
                <w:bCs w:val="1"/>
                <w:color w:val="auto"/>
              </w:rPr>
              <w:t>Amortization</w:t>
            </w: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gridSpan w:val="2"/>
          </w:tcPr>
          <w:p>
            <w:pPr>
              <w:jc w:val="center"/>
              <w:ind w:right="74"/>
              <w:spacing w:after="0"/>
              <w:rPr>
                <w:sz w:val="20"/>
                <w:szCs w:val="20"/>
                <w:color w:val="auto"/>
              </w:rPr>
            </w:pPr>
            <w:r>
              <w:rPr>
                <w:rFonts w:ascii="Arial" w:cs="Arial" w:eastAsia="Arial" w:hAnsi="Arial"/>
                <w:sz w:val="14"/>
                <w:szCs w:val="14"/>
                <w:b w:val="1"/>
                <w:bCs w:val="1"/>
                <w:color w:val="auto"/>
              </w:rPr>
              <w:t>of purchased</w:t>
            </w: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Equity based</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gridSpan w:val="2"/>
          </w:tcPr>
          <w:p>
            <w:pPr>
              <w:jc w:val="center"/>
              <w:ind w:right="94"/>
              <w:spacing w:after="0"/>
              <w:rPr>
                <w:sz w:val="20"/>
                <w:szCs w:val="20"/>
                <w:color w:val="auto"/>
              </w:rPr>
            </w:pPr>
            <w:r>
              <w:rPr>
                <w:rFonts w:ascii="Arial" w:cs="Arial" w:eastAsia="Arial" w:hAnsi="Arial"/>
                <w:sz w:val="14"/>
                <w:szCs w:val="14"/>
                <w:b w:val="1"/>
                <w:bCs w:val="1"/>
                <w:color w:val="auto"/>
              </w:rPr>
              <w:t>intangible</w:t>
            </w: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651"/>
              <w:spacing w:after="0"/>
              <w:rPr>
                <w:sz w:val="20"/>
                <w:szCs w:val="20"/>
                <w:color w:val="auto"/>
              </w:rPr>
            </w:pPr>
            <w:r>
              <w:rPr>
                <w:rFonts w:ascii="Arial" w:cs="Arial" w:eastAsia="Arial" w:hAnsi="Arial"/>
                <w:sz w:val="14"/>
                <w:szCs w:val="14"/>
                <w:b w:val="1"/>
                <w:bCs w:val="1"/>
                <w:color w:val="auto"/>
              </w:rPr>
              <w:t>GAAP</w:t>
            </w:r>
          </w:p>
        </w:tc>
        <w:tc>
          <w:tcPr>
            <w:tcW w:w="1540" w:type="dxa"/>
            <w:vAlign w:val="bottom"/>
            <w:tcBorders>
              <w:bottom w:val="single" w:sz="8" w:color="auto"/>
            </w:tcBorders>
            <w:gridSpan w:val="2"/>
          </w:tcPr>
          <w:p>
            <w:pPr>
              <w:jc w:val="center"/>
              <w:ind w:right="94"/>
              <w:spacing w:after="0"/>
              <w:rPr>
                <w:sz w:val="20"/>
                <w:szCs w:val="20"/>
                <w:color w:val="auto"/>
              </w:rPr>
            </w:pPr>
            <w:r>
              <w:rPr>
                <w:rFonts w:ascii="Arial" w:cs="Arial" w:eastAsia="Arial" w:hAnsi="Arial"/>
                <w:sz w:val="14"/>
                <w:szCs w:val="14"/>
                <w:b w:val="1"/>
                <w:bCs w:val="1"/>
                <w:color w:val="auto"/>
              </w:rPr>
              <w:t>assets</w:t>
            </w:r>
          </w:p>
        </w:tc>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expense</w:t>
            </w:r>
          </w:p>
        </w:tc>
        <w:tc>
          <w:tcPr>
            <w:tcW w:w="13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Tax effect</w:t>
            </w:r>
          </w:p>
        </w:tc>
        <w:tc>
          <w:tcPr>
            <w:tcW w:w="136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Non-GAAP</w:t>
            </w:r>
          </w:p>
        </w:tc>
      </w:tr>
      <w:tr>
        <w:trPr>
          <w:trHeight w:val="203"/>
        </w:trPr>
        <w:tc>
          <w:tcPr>
            <w:tcW w:w="20" w:type="dxa"/>
            <w:vAlign w:val="bottom"/>
          </w:tcPr>
          <w:p>
            <w:pPr>
              <w:spacing w:after="0"/>
              <w:rPr>
                <w:sz w:val="17"/>
                <w:szCs w:val="17"/>
                <w:color w:val="auto"/>
              </w:rPr>
            </w:pPr>
          </w:p>
        </w:tc>
        <w:tc>
          <w:tcPr>
            <w:tcW w:w="2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Cost of license</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7"/>
                <w:szCs w:val="17"/>
                <w:color w:val="auto"/>
              </w:rPr>
            </w:pPr>
          </w:p>
        </w:tc>
        <w:tc>
          <w:tcPr>
            <w:tcW w:w="1000" w:type="dxa"/>
            <w:vAlign w:val="bottom"/>
          </w:tcPr>
          <w:p>
            <w:pPr>
              <w:jc w:val="right"/>
              <w:ind w:right="531"/>
              <w:spacing w:after="0" w:line="202" w:lineRule="exact"/>
              <w:rPr>
                <w:sz w:val="20"/>
                <w:szCs w:val="20"/>
                <w:color w:val="auto"/>
              </w:rPr>
            </w:pPr>
            <w:r>
              <w:rPr>
                <w:rFonts w:ascii="Arial" w:cs="Arial" w:eastAsia="Arial" w:hAnsi="Arial"/>
                <w:sz w:val="18"/>
                <w:szCs w:val="18"/>
                <w:color w:val="auto"/>
              </w:rPr>
              <w:t>869</w:t>
            </w:r>
          </w:p>
        </w:tc>
        <w:tc>
          <w:tcPr>
            <w:tcW w:w="680" w:type="dxa"/>
            <w:vAlign w:val="bottom"/>
          </w:tcPr>
          <w:p>
            <w:pPr>
              <w:jc w:val="right"/>
              <w:ind w:right="217"/>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454"/>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78"/>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591"/>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869</w:t>
            </w:r>
          </w:p>
        </w:tc>
      </w:tr>
      <w:tr>
        <w:trPr>
          <w:trHeight w:val="203"/>
        </w:trPr>
        <w:tc>
          <w:tcPr>
            <w:tcW w:w="20" w:type="dxa"/>
            <w:vAlign w:val="bottom"/>
          </w:tcPr>
          <w:p>
            <w:pPr>
              <w:spacing w:after="0"/>
              <w:rPr>
                <w:sz w:val="17"/>
                <w:szCs w:val="17"/>
                <w:color w:val="auto"/>
              </w:rPr>
            </w:pPr>
          </w:p>
        </w:tc>
        <w:tc>
          <w:tcPr>
            <w:tcW w:w="2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service</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31"/>
              <w:spacing w:after="0" w:line="202" w:lineRule="exact"/>
              <w:rPr>
                <w:sz w:val="20"/>
                <w:szCs w:val="20"/>
                <w:color w:val="auto"/>
              </w:rPr>
            </w:pPr>
            <w:r>
              <w:rPr>
                <w:rFonts w:ascii="Arial" w:cs="Arial" w:eastAsia="Arial" w:hAnsi="Arial"/>
                <w:sz w:val="18"/>
                <w:szCs w:val="18"/>
                <w:color w:val="auto"/>
                <w:w w:val="95"/>
              </w:rPr>
              <w:t>461,692</w:t>
            </w: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54"/>
              <w:spacing w:after="0" w:line="202" w:lineRule="exact"/>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531"/>
              <w:spacing w:after="0" w:line="202" w:lineRule="exact"/>
              <w:rPr>
                <w:sz w:val="20"/>
                <w:szCs w:val="20"/>
                <w:color w:val="auto"/>
              </w:rPr>
            </w:pPr>
            <w:r>
              <w:rPr>
                <w:rFonts w:ascii="Arial" w:cs="Arial" w:eastAsia="Arial" w:hAnsi="Arial"/>
                <w:sz w:val="18"/>
                <w:szCs w:val="18"/>
                <w:color w:val="auto"/>
              </w:rPr>
              <w:t>(6,504)</w:t>
            </w:r>
          </w:p>
        </w:tc>
        <w:tc>
          <w:tcPr>
            <w:tcW w:w="5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455,188</w:t>
            </w:r>
          </w:p>
        </w:tc>
      </w:tr>
      <w:tr>
        <w:trPr>
          <w:trHeight w:val="203"/>
        </w:trPr>
        <w:tc>
          <w:tcPr>
            <w:tcW w:w="20" w:type="dxa"/>
            <w:vAlign w:val="bottom"/>
          </w:tcPr>
          <w:p>
            <w:pPr>
              <w:spacing w:after="0"/>
              <w:rPr>
                <w:sz w:val="17"/>
                <w:szCs w:val="17"/>
                <w:color w:val="auto"/>
              </w:rPr>
            </w:pPr>
          </w:p>
        </w:tc>
        <w:tc>
          <w:tcPr>
            <w:tcW w:w="2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531"/>
              <w:spacing w:after="0" w:line="202" w:lineRule="exact"/>
              <w:rPr>
                <w:sz w:val="20"/>
                <w:szCs w:val="20"/>
                <w:color w:val="auto"/>
              </w:rPr>
            </w:pPr>
            <w:r>
              <w:rPr>
                <w:rFonts w:ascii="Arial" w:cs="Arial" w:eastAsia="Arial" w:hAnsi="Arial"/>
                <w:sz w:val="18"/>
                <w:szCs w:val="18"/>
                <w:color w:val="auto"/>
              </w:rPr>
              <w:t>55,515</w:t>
            </w:r>
          </w:p>
        </w:tc>
        <w:tc>
          <w:tcPr>
            <w:tcW w:w="680" w:type="dxa"/>
            <w:vAlign w:val="bottom"/>
          </w:tcPr>
          <w:p>
            <w:pPr>
              <w:spacing w:after="0"/>
              <w:rPr>
                <w:sz w:val="17"/>
                <w:szCs w:val="17"/>
                <w:color w:val="auto"/>
              </w:rPr>
            </w:pPr>
          </w:p>
        </w:tc>
        <w:tc>
          <w:tcPr>
            <w:tcW w:w="860" w:type="dxa"/>
            <w:vAlign w:val="bottom"/>
          </w:tcPr>
          <w:p>
            <w:pPr>
              <w:jc w:val="right"/>
              <w:ind w:right="454"/>
              <w:spacing w:after="0" w:line="202" w:lineRule="exact"/>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531"/>
              <w:spacing w:after="0" w:line="202" w:lineRule="exact"/>
              <w:rPr>
                <w:sz w:val="20"/>
                <w:szCs w:val="20"/>
                <w:color w:val="auto"/>
              </w:rPr>
            </w:pPr>
            <w:r>
              <w:rPr>
                <w:rFonts w:ascii="Arial" w:cs="Arial" w:eastAsia="Arial" w:hAnsi="Arial"/>
                <w:sz w:val="18"/>
                <w:szCs w:val="18"/>
                <w:color w:val="auto"/>
              </w:rPr>
              <w:t>(1,475)</w:t>
            </w:r>
          </w:p>
        </w:tc>
        <w:tc>
          <w:tcPr>
            <w:tcW w:w="500" w:type="dxa"/>
            <w:vAlign w:val="bottom"/>
          </w:tcPr>
          <w:p>
            <w:pPr>
              <w:spacing w:after="0"/>
              <w:rPr>
                <w:sz w:val="17"/>
                <w:szCs w:val="17"/>
                <w:color w:val="auto"/>
              </w:rPr>
            </w:pPr>
          </w:p>
        </w:tc>
        <w:tc>
          <w:tcPr>
            <w:tcW w:w="8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8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54,040</w:t>
            </w:r>
          </w:p>
        </w:tc>
      </w:tr>
      <w:tr>
        <w:trPr>
          <w:trHeight w:val="203"/>
        </w:trPr>
        <w:tc>
          <w:tcPr>
            <w:tcW w:w="20" w:type="dxa"/>
            <w:vAlign w:val="bottom"/>
          </w:tcPr>
          <w:p>
            <w:pPr>
              <w:spacing w:after="0"/>
              <w:rPr>
                <w:sz w:val="17"/>
                <w:szCs w:val="17"/>
                <w:color w:val="auto"/>
              </w:rPr>
            </w:pPr>
          </w:p>
        </w:tc>
        <w:tc>
          <w:tcPr>
            <w:tcW w:w="3880" w:type="dxa"/>
            <w:vAlign w:val="bottom"/>
            <w:gridSpan w:val="5"/>
            <w:shd w:val="clear" w:color="auto" w:fill="CCEEFF"/>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31"/>
              <w:spacing w:after="0" w:line="202" w:lineRule="exact"/>
              <w:rPr>
                <w:sz w:val="20"/>
                <w:szCs w:val="20"/>
                <w:color w:val="auto"/>
              </w:rPr>
            </w:pPr>
            <w:r>
              <w:rPr>
                <w:rFonts w:ascii="Arial" w:cs="Arial" w:eastAsia="Arial" w:hAnsi="Arial"/>
                <w:sz w:val="18"/>
                <w:szCs w:val="18"/>
                <w:color w:val="auto"/>
              </w:rPr>
              <w:t>95,299</w:t>
            </w: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54"/>
              <w:spacing w:after="0" w:line="202" w:lineRule="exact"/>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531"/>
              <w:spacing w:after="0" w:line="202" w:lineRule="exact"/>
              <w:rPr>
                <w:sz w:val="20"/>
                <w:szCs w:val="20"/>
                <w:color w:val="auto"/>
              </w:rPr>
            </w:pPr>
            <w:r>
              <w:rPr>
                <w:rFonts w:ascii="Arial" w:cs="Arial" w:eastAsia="Arial" w:hAnsi="Arial"/>
                <w:sz w:val="18"/>
                <w:szCs w:val="18"/>
                <w:color w:val="auto"/>
              </w:rPr>
              <w:t>(5,638)</w:t>
            </w:r>
          </w:p>
        </w:tc>
        <w:tc>
          <w:tcPr>
            <w:tcW w:w="5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89,661</w:t>
            </w:r>
          </w:p>
        </w:tc>
      </w:tr>
      <w:tr>
        <w:trPr>
          <w:trHeight w:val="202"/>
        </w:trPr>
        <w:tc>
          <w:tcPr>
            <w:tcW w:w="20" w:type="dxa"/>
            <w:vAlign w:val="bottom"/>
          </w:tcPr>
          <w:p>
            <w:pPr>
              <w:spacing w:after="0"/>
              <w:rPr>
                <w:sz w:val="17"/>
                <w:szCs w:val="17"/>
                <w:color w:val="auto"/>
              </w:rPr>
            </w:pPr>
          </w:p>
        </w:tc>
        <w:tc>
          <w:tcPr>
            <w:tcW w:w="3880" w:type="dxa"/>
            <w:vAlign w:val="bottom"/>
            <w:gridSpan w:val="5"/>
          </w:tcPr>
          <w:p>
            <w:pPr>
              <w:ind w:left="200"/>
              <w:spacing w:after="0" w:line="201" w:lineRule="exact"/>
              <w:rPr>
                <w:sz w:val="20"/>
                <w:szCs w:val="20"/>
                <w:color w:val="auto"/>
              </w:rPr>
            </w:pPr>
            <w:r>
              <w:rPr>
                <w:rFonts w:ascii="Arial" w:cs="Arial" w:eastAsia="Arial" w:hAnsi="Arial"/>
                <w:sz w:val="18"/>
                <w:szCs w:val="18"/>
                <w:color w:val="auto"/>
              </w:rPr>
              <w:t>Amortization of purchased intangible</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520" w:type="dxa"/>
            <w:vAlign w:val="bottom"/>
            <w:gridSpan w:val="2"/>
          </w:tcPr>
          <w:p>
            <w:pPr>
              <w:ind w:left="400"/>
              <w:spacing w:after="0" w:line="203" w:lineRule="exact"/>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531"/>
              <w:spacing w:after="0" w:line="203" w:lineRule="exact"/>
              <w:rPr>
                <w:sz w:val="20"/>
                <w:szCs w:val="20"/>
                <w:color w:val="auto"/>
              </w:rPr>
            </w:pPr>
            <w:r>
              <w:rPr>
                <w:rFonts w:ascii="Arial" w:cs="Arial" w:eastAsia="Arial" w:hAnsi="Arial"/>
                <w:sz w:val="18"/>
                <w:szCs w:val="18"/>
                <w:color w:val="auto"/>
              </w:rPr>
              <w:t>19,174</w:t>
            </w:r>
          </w:p>
        </w:tc>
        <w:tc>
          <w:tcPr>
            <w:tcW w:w="1540" w:type="dxa"/>
            <w:vAlign w:val="bottom"/>
            <w:tcBorders>
              <w:bottom w:val="single" w:sz="8" w:color="auto"/>
            </w:tcBorders>
            <w:gridSpan w:val="2"/>
          </w:tcPr>
          <w:p>
            <w:pPr>
              <w:jc w:val="right"/>
              <w:ind w:right="394"/>
              <w:spacing w:after="0" w:line="203" w:lineRule="exact"/>
              <w:rPr>
                <w:sz w:val="20"/>
                <w:szCs w:val="20"/>
                <w:color w:val="auto"/>
              </w:rPr>
            </w:pPr>
            <w:r>
              <w:rPr>
                <w:rFonts w:ascii="Arial" w:cs="Arial" w:eastAsia="Arial" w:hAnsi="Arial"/>
                <w:sz w:val="18"/>
                <w:szCs w:val="18"/>
                <w:color w:val="auto"/>
              </w:rPr>
              <w:t>(19,174)</w:t>
            </w:r>
          </w:p>
        </w:tc>
        <w:tc>
          <w:tcPr>
            <w:tcW w:w="8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1"/>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420"/>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2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gridSpan w:val="2"/>
            <w:shd w:val="clear" w:color="auto" w:fill="CCEEFF"/>
          </w:tcPr>
          <w:p>
            <w:pPr>
              <w:jc w:val="right"/>
              <w:ind w:right="531"/>
              <w:spacing w:after="0" w:line="202" w:lineRule="exact"/>
              <w:rPr>
                <w:sz w:val="20"/>
                <w:szCs w:val="20"/>
                <w:color w:val="auto"/>
              </w:rPr>
            </w:pPr>
            <w:r>
              <w:rPr>
                <w:rFonts w:ascii="Arial" w:cs="Arial" w:eastAsia="Arial" w:hAnsi="Arial"/>
                <w:sz w:val="18"/>
                <w:szCs w:val="18"/>
                <w:color w:val="auto"/>
                <w:w w:val="95"/>
              </w:rPr>
              <w:t>632,549</w:t>
            </w:r>
          </w:p>
        </w:tc>
        <w:tc>
          <w:tcPr>
            <w:tcW w:w="1540" w:type="dxa"/>
            <w:vAlign w:val="bottom"/>
            <w:tcBorders>
              <w:bottom w:val="single" w:sz="8" w:color="auto"/>
            </w:tcBorders>
            <w:gridSpan w:val="2"/>
            <w:shd w:val="clear" w:color="auto" w:fill="CCEEFF"/>
          </w:tcPr>
          <w:p>
            <w:pPr>
              <w:jc w:val="right"/>
              <w:ind w:right="394"/>
              <w:spacing w:after="0" w:line="202" w:lineRule="exact"/>
              <w:rPr>
                <w:sz w:val="20"/>
                <w:szCs w:val="20"/>
                <w:color w:val="auto"/>
              </w:rPr>
            </w:pPr>
            <w:r>
              <w:rPr>
                <w:rFonts w:ascii="Arial" w:cs="Arial" w:eastAsia="Arial" w:hAnsi="Arial"/>
                <w:sz w:val="18"/>
                <w:szCs w:val="18"/>
                <w:color w:val="auto"/>
              </w:rPr>
              <w:t>(19,174)</w:t>
            </w:r>
          </w:p>
        </w:tc>
        <w:tc>
          <w:tcPr>
            <w:tcW w:w="1940" w:type="dxa"/>
            <w:vAlign w:val="bottom"/>
            <w:tcBorders>
              <w:bottom w:val="single" w:sz="8" w:color="auto"/>
            </w:tcBorders>
            <w:gridSpan w:val="2"/>
            <w:shd w:val="clear" w:color="auto" w:fill="CCEEFF"/>
          </w:tcPr>
          <w:p>
            <w:pPr>
              <w:jc w:val="right"/>
              <w:ind w:right="531"/>
              <w:spacing w:after="0" w:line="202" w:lineRule="exact"/>
              <w:rPr>
                <w:sz w:val="20"/>
                <w:szCs w:val="20"/>
                <w:color w:val="auto"/>
              </w:rPr>
            </w:pPr>
            <w:r>
              <w:rPr>
                <w:rFonts w:ascii="Arial" w:cs="Arial" w:eastAsia="Arial" w:hAnsi="Arial"/>
                <w:sz w:val="18"/>
                <w:szCs w:val="18"/>
                <w:color w:val="auto"/>
              </w:rPr>
              <w:t>(13,617)</w:t>
            </w:r>
          </w:p>
        </w:tc>
        <w:tc>
          <w:tcPr>
            <w:tcW w:w="5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gridSpan w:val="2"/>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599,758</w:t>
            </w:r>
          </w:p>
        </w:tc>
      </w:tr>
      <w:tr>
        <w:trPr>
          <w:trHeight w:val="210"/>
        </w:trPr>
        <w:tc>
          <w:tcPr>
            <w:tcW w:w="254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spacing w:after="0"/>
              <w:rPr>
                <w:sz w:val="18"/>
                <w:szCs w:val="18"/>
                <w:color w:val="auto"/>
              </w:rPr>
            </w:pPr>
          </w:p>
        </w:tc>
        <w:tc>
          <w:tcPr>
            <w:tcW w:w="1540" w:type="dxa"/>
            <w:vAlign w:val="bottom"/>
            <w:tcBorders>
              <w:bottom w:val="single" w:sz="8" w:color="auto"/>
            </w:tcBorders>
            <w:gridSpan w:val="2"/>
          </w:tcPr>
          <w:p>
            <w:pPr>
              <w:spacing w:after="0"/>
              <w:rPr>
                <w:sz w:val="18"/>
                <w:szCs w:val="18"/>
                <w:color w:val="auto"/>
              </w:rPr>
            </w:pPr>
          </w:p>
        </w:tc>
        <w:tc>
          <w:tcPr>
            <w:tcW w:w="1940" w:type="dxa"/>
            <w:vAlign w:val="bottom"/>
            <w:tcBorders>
              <w:bottom w:val="single" w:sz="8" w:color="auto"/>
            </w:tcBorders>
            <w:gridSpan w:val="2"/>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1360" w:type="dxa"/>
            <w:vAlign w:val="bottom"/>
            <w:tcBorders>
              <w:bottom w:val="single" w:sz="8" w:color="auto"/>
            </w:tcBorders>
            <w:gridSpan w:val="2"/>
          </w:tcPr>
          <w:p>
            <w:pPr>
              <w:spacing w:after="0"/>
              <w:rPr>
                <w:sz w:val="18"/>
                <w:szCs w:val="18"/>
                <w:color w:val="auto"/>
              </w:rPr>
            </w:pPr>
          </w:p>
        </w:tc>
      </w:tr>
      <w:tr>
        <w:trPr>
          <w:trHeight w:val="210"/>
        </w:trPr>
        <w:tc>
          <w:tcPr>
            <w:tcW w:w="254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531"/>
              <w:spacing w:after="0"/>
              <w:rPr>
                <w:sz w:val="20"/>
                <w:szCs w:val="20"/>
                <w:color w:val="auto"/>
              </w:rPr>
            </w:pPr>
            <w:r>
              <w:rPr>
                <w:rFonts w:ascii="Arial" w:cs="Arial" w:eastAsia="Arial" w:hAnsi="Arial"/>
                <w:sz w:val="18"/>
                <w:szCs w:val="18"/>
                <w:color w:val="auto"/>
              </w:rPr>
              <w:t>94,140</w:t>
            </w:r>
          </w:p>
        </w:tc>
        <w:tc>
          <w:tcPr>
            <w:tcW w:w="1540" w:type="dxa"/>
            <w:vAlign w:val="bottom"/>
            <w:tcBorders>
              <w:bottom w:val="single" w:sz="8" w:color="auto"/>
            </w:tcBorders>
            <w:gridSpan w:val="2"/>
          </w:tcPr>
          <w:p>
            <w:pPr>
              <w:jc w:val="right"/>
              <w:ind w:right="454"/>
              <w:spacing w:after="0"/>
              <w:rPr>
                <w:sz w:val="20"/>
                <w:szCs w:val="20"/>
                <w:color w:val="auto"/>
              </w:rPr>
            </w:pPr>
            <w:r>
              <w:rPr>
                <w:rFonts w:ascii="Arial" w:cs="Arial" w:eastAsia="Arial" w:hAnsi="Arial"/>
                <w:sz w:val="18"/>
                <w:szCs w:val="18"/>
                <w:color w:val="auto"/>
              </w:rPr>
              <w:t>19,174</w:t>
            </w:r>
          </w:p>
        </w:tc>
        <w:tc>
          <w:tcPr>
            <w:tcW w:w="1940" w:type="dxa"/>
            <w:vAlign w:val="bottom"/>
            <w:tcBorders>
              <w:bottom w:val="single" w:sz="8" w:color="auto"/>
            </w:tcBorders>
            <w:gridSpan w:val="2"/>
          </w:tcPr>
          <w:p>
            <w:pPr>
              <w:jc w:val="right"/>
              <w:ind w:right="591"/>
              <w:spacing w:after="0"/>
              <w:rPr>
                <w:sz w:val="20"/>
                <w:szCs w:val="20"/>
                <w:color w:val="auto"/>
              </w:rPr>
            </w:pPr>
            <w:r>
              <w:rPr>
                <w:rFonts w:ascii="Arial" w:cs="Arial" w:eastAsia="Arial" w:hAnsi="Arial"/>
                <w:sz w:val="18"/>
                <w:szCs w:val="18"/>
                <w:color w:val="auto"/>
              </w:rPr>
              <w:t>13,617</w:t>
            </w: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126,931</w:t>
            </w:r>
          </w:p>
        </w:tc>
      </w:tr>
      <w:tr>
        <w:trPr>
          <w:trHeight w:val="217"/>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gridSpan w:val="2"/>
            <w:shd w:val="clear" w:color="auto" w:fill="CCEEFF"/>
          </w:tcPr>
          <w:p>
            <w:pPr>
              <w:jc w:val="right"/>
              <w:ind w:right="531"/>
              <w:spacing w:after="0" w:line="202" w:lineRule="exact"/>
              <w:rPr>
                <w:sz w:val="20"/>
                <w:szCs w:val="20"/>
                <w:color w:val="auto"/>
              </w:rPr>
            </w:pPr>
            <w:r>
              <w:rPr>
                <w:rFonts w:ascii="Arial" w:cs="Arial" w:eastAsia="Arial" w:hAnsi="Arial"/>
                <w:sz w:val="18"/>
                <w:szCs w:val="18"/>
                <w:color w:val="auto"/>
              </w:rPr>
              <w:t>11,535</w:t>
            </w:r>
          </w:p>
        </w:tc>
        <w:tc>
          <w:tcPr>
            <w:tcW w:w="6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54"/>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591"/>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8,326</w:t>
            </w:r>
          </w:p>
        </w:tc>
        <w:tc>
          <w:tcPr>
            <w:tcW w:w="1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19,861</w:t>
            </w:r>
          </w:p>
        </w:tc>
      </w:tr>
      <w:tr>
        <w:trPr>
          <w:trHeight w:val="210"/>
        </w:trPr>
        <w:tc>
          <w:tcPr>
            <w:tcW w:w="254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spacing w:after="0"/>
              <w:rPr>
                <w:sz w:val="18"/>
                <w:szCs w:val="18"/>
                <w:color w:val="auto"/>
              </w:rPr>
            </w:pPr>
          </w:p>
        </w:tc>
        <w:tc>
          <w:tcPr>
            <w:tcW w:w="1540" w:type="dxa"/>
            <w:vAlign w:val="bottom"/>
            <w:tcBorders>
              <w:bottom w:val="single" w:sz="8" w:color="auto"/>
            </w:tcBorders>
            <w:gridSpan w:val="2"/>
          </w:tcPr>
          <w:p>
            <w:pPr>
              <w:spacing w:after="0"/>
              <w:rPr>
                <w:sz w:val="18"/>
                <w:szCs w:val="18"/>
                <w:color w:val="auto"/>
              </w:rPr>
            </w:pPr>
          </w:p>
        </w:tc>
        <w:tc>
          <w:tcPr>
            <w:tcW w:w="1940" w:type="dxa"/>
            <w:vAlign w:val="bottom"/>
            <w:tcBorders>
              <w:bottom w:val="single" w:sz="8" w:color="auto"/>
            </w:tcBorders>
            <w:gridSpan w:val="2"/>
          </w:tcPr>
          <w:p>
            <w:pPr>
              <w:spacing w:after="0"/>
              <w:rPr>
                <w:sz w:val="18"/>
                <w:szCs w:val="18"/>
                <w:color w:val="auto"/>
              </w:rPr>
            </w:pPr>
          </w:p>
        </w:tc>
        <w:tc>
          <w:tcPr>
            <w:tcW w:w="1120" w:type="dxa"/>
            <w:vAlign w:val="bottom"/>
            <w:tcBorders>
              <w:bottom w:val="single" w:sz="8" w:color="auto"/>
            </w:tcBorders>
            <w:gridSpan w:val="2"/>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spacing w:after="0"/>
              <w:rPr>
                <w:sz w:val="18"/>
                <w:szCs w:val="18"/>
                <w:color w:val="auto"/>
              </w:rPr>
            </w:pPr>
          </w:p>
        </w:tc>
      </w:tr>
      <w:tr>
        <w:trPr>
          <w:trHeight w:val="210"/>
        </w:trPr>
        <w:tc>
          <w:tcPr>
            <w:tcW w:w="25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2"/>
          </w:tcPr>
          <w:p>
            <w:pPr>
              <w:jc w:val="right"/>
              <w:ind w:right="531"/>
              <w:spacing w:after="0"/>
              <w:rPr>
                <w:sz w:val="20"/>
                <w:szCs w:val="20"/>
                <w:color w:val="auto"/>
              </w:rPr>
            </w:pPr>
            <w:r>
              <w:rPr>
                <w:rFonts w:ascii="Arial" w:cs="Arial" w:eastAsia="Arial" w:hAnsi="Arial"/>
                <w:sz w:val="18"/>
                <w:szCs w:val="18"/>
                <w:color w:val="auto"/>
              </w:rPr>
              <w:t>96,243</w:t>
            </w:r>
          </w:p>
        </w:tc>
        <w:tc>
          <w:tcPr>
            <w:tcW w:w="1540" w:type="dxa"/>
            <w:vAlign w:val="bottom"/>
            <w:tcBorders>
              <w:bottom w:val="single" w:sz="8" w:color="auto"/>
            </w:tcBorders>
            <w:gridSpan w:val="2"/>
          </w:tcPr>
          <w:p>
            <w:pPr>
              <w:jc w:val="right"/>
              <w:ind w:right="454"/>
              <w:spacing w:after="0"/>
              <w:rPr>
                <w:sz w:val="20"/>
                <w:szCs w:val="20"/>
                <w:color w:val="auto"/>
              </w:rPr>
            </w:pPr>
            <w:r>
              <w:rPr>
                <w:rFonts w:ascii="Arial" w:cs="Arial" w:eastAsia="Arial" w:hAnsi="Arial"/>
                <w:sz w:val="18"/>
                <w:szCs w:val="18"/>
                <w:color w:val="auto"/>
              </w:rPr>
              <w:t>$ 19,174</w:t>
            </w:r>
          </w:p>
        </w:tc>
        <w:tc>
          <w:tcPr>
            <w:tcW w:w="1940" w:type="dxa"/>
            <w:vAlign w:val="bottom"/>
            <w:tcBorders>
              <w:bottom w:val="single" w:sz="8" w:color="auto"/>
            </w:tcBorders>
            <w:gridSpan w:val="2"/>
          </w:tcPr>
          <w:p>
            <w:pPr>
              <w:jc w:val="right"/>
              <w:ind w:right="591"/>
              <w:spacing w:after="0"/>
              <w:rPr>
                <w:sz w:val="20"/>
                <w:szCs w:val="20"/>
                <w:color w:val="auto"/>
              </w:rPr>
            </w:pPr>
            <w:r>
              <w:rPr>
                <w:rFonts w:ascii="Arial" w:cs="Arial" w:eastAsia="Arial" w:hAnsi="Arial"/>
                <w:sz w:val="18"/>
                <w:szCs w:val="18"/>
                <w:color w:val="auto"/>
              </w:rPr>
              <w:t>$ 13,617</w:t>
            </w: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$(8,326)</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$120,708</w:t>
            </w:r>
          </w:p>
        </w:tc>
      </w:tr>
      <w:tr>
        <w:trPr>
          <w:trHeight w:val="625"/>
        </w:trPr>
        <w:tc>
          <w:tcPr>
            <w:tcW w:w="20" w:type="dxa"/>
            <w:vAlign w:val="bottom"/>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40" w:type="dxa"/>
            <w:vAlign w:val="bottom"/>
            <w:gridSpan w:val="3"/>
          </w:tcPr>
          <w:p>
            <w:pPr>
              <w:jc w:val="center"/>
              <w:ind w:right="751"/>
              <w:spacing w:after="0"/>
              <w:rPr>
                <w:sz w:val="20"/>
                <w:szCs w:val="20"/>
                <w:color w:val="auto"/>
              </w:rPr>
            </w:pPr>
            <w:r>
              <w:rPr>
                <w:rFonts w:ascii="Arial" w:cs="Arial" w:eastAsia="Arial" w:hAnsi="Arial"/>
                <w:sz w:val="14"/>
                <w:szCs w:val="14"/>
                <w:b w:val="1"/>
                <w:bCs w:val="1"/>
                <w:color w:val="auto"/>
              </w:rPr>
              <w:t>Twelve months ended</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center"/>
              <w:ind w:left="155"/>
              <w:spacing w:after="0"/>
              <w:rPr>
                <w:sz w:val="20"/>
                <w:szCs w:val="20"/>
                <w:color w:val="auto"/>
              </w:rPr>
            </w:pPr>
            <w:r>
              <w:rPr>
                <w:rFonts w:ascii="Arial" w:cs="Arial" w:eastAsia="Arial" w:hAnsi="Arial"/>
                <w:sz w:val="14"/>
                <w:szCs w:val="14"/>
                <w:b w:val="1"/>
                <w:bCs w:val="1"/>
                <w:color w:val="auto"/>
              </w:rPr>
              <w:t>September 30, 2008</w:t>
            </w:r>
          </w:p>
        </w:tc>
        <w:tc>
          <w:tcPr>
            <w:tcW w:w="10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center"/>
              <w:ind w:left="135"/>
              <w:spacing w:after="0" w:line="155" w:lineRule="exact"/>
              <w:rPr>
                <w:sz w:val="20"/>
                <w:szCs w:val="20"/>
                <w:color w:val="auto"/>
              </w:rPr>
            </w:pPr>
            <w:r>
              <w:rPr>
                <w:rFonts w:ascii="Arial" w:cs="Arial" w:eastAsia="Arial" w:hAnsi="Arial"/>
                <w:sz w:val="14"/>
                <w:szCs w:val="14"/>
                <w:b w:val="1"/>
                <w:bCs w:val="1"/>
                <w:color w:val="auto"/>
              </w:rPr>
              <w:t>Reconciliation items</w:t>
            </w:r>
          </w:p>
        </w:tc>
        <w:tc>
          <w:tcPr>
            <w:tcW w:w="10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Restructuring</w:t>
            </w:r>
          </w:p>
        </w:tc>
        <w:tc>
          <w:tcPr>
            <w:tcW w:w="5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rPr>
              <w:t>Amortization</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charges and</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rPr>
              <w:t>of purchased</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in-process</w:t>
            </w:r>
          </w:p>
        </w:tc>
        <w:tc>
          <w:tcPr>
            <w:tcW w:w="1660" w:type="dxa"/>
            <w:vAlign w:val="bottom"/>
            <w:gridSpan w:val="2"/>
          </w:tcPr>
          <w:p>
            <w:pPr>
              <w:jc w:val="right"/>
              <w:ind w:right="251"/>
              <w:spacing w:after="0"/>
              <w:rPr>
                <w:sz w:val="20"/>
                <w:szCs w:val="20"/>
                <w:color w:val="auto"/>
              </w:rPr>
            </w:pPr>
            <w:r>
              <w:rPr>
                <w:rFonts w:ascii="Arial" w:cs="Arial" w:eastAsia="Arial" w:hAnsi="Arial"/>
                <w:sz w:val="14"/>
                <w:szCs w:val="14"/>
                <w:b w:val="1"/>
                <w:bCs w:val="1"/>
                <w:color w:val="auto"/>
              </w:rPr>
              <w:t>Equity based</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rPr>
              <w:t>intangible</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research and</w:t>
            </w:r>
          </w:p>
        </w:tc>
        <w:tc>
          <w:tcPr>
            <w:tcW w:w="1660" w:type="dxa"/>
            <w:vAlign w:val="bottom"/>
            <w:gridSpan w:val="2"/>
          </w:tcPr>
          <w:p>
            <w:pPr>
              <w:ind w:left="380"/>
              <w:spacing w:after="0"/>
              <w:rPr>
                <w:sz w:val="20"/>
                <w:szCs w:val="20"/>
                <w:color w:val="auto"/>
              </w:rPr>
            </w:pPr>
            <w:r>
              <w:rPr>
                <w:rFonts w:ascii="Arial" w:cs="Arial" w:eastAsia="Arial" w:hAnsi="Arial"/>
                <w:sz w:val="14"/>
                <w:szCs w:val="14"/>
                <w:b w:val="1"/>
                <w:bCs w:val="1"/>
                <w:color w:val="auto"/>
              </w:rPr>
              <w:t>compensation</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GAAP</w:t>
            </w:r>
          </w:p>
        </w:tc>
        <w:tc>
          <w:tcPr>
            <w:tcW w:w="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472"/>
              <w:spacing w:after="0"/>
              <w:rPr>
                <w:sz w:val="20"/>
                <w:szCs w:val="20"/>
                <w:color w:val="auto"/>
              </w:rPr>
            </w:pPr>
            <w:r>
              <w:rPr>
                <w:rFonts w:ascii="Arial" w:cs="Arial" w:eastAsia="Arial" w:hAnsi="Arial"/>
                <w:sz w:val="14"/>
                <w:szCs w:val="14"/>
                <w:b w:val="1"/>
                <w:bCs w:val="1"/>
                <w:color w:val="auto"/>
              </w:rPr>
              <w:t>assets</w:t>
            </w: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development</w:t>
            </w: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99"/>
              </w:rPr>
              <w:t>expense</w:t>
            </w:r>
          </w:p>
        </w:tc>
        <w:tc>
          <w:tcPr>
            <w:tcW w:w="12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Tax effect</w:t>
            </w: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Non-GAAP</w:t>
            </w: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40" w:type="dxa"/>
            <w:vAlign w:val="bottom"/>
          </w:tcPr>
          <w:p>
            <w:pPr>
              <w:ind w:left="200"/>
              <w:spacing w:after="0" w:line="202" w:lineRule="exact"/>
              <w:rPr>
                <w:sz w:val="20"/>
                <w:szCs w:val="20"/>
                <w:color w:val="auto"/>
              </w:rPr>
            </w:pPr>
            <w:r>
              <w:rPr>
                <w:rFonts w:ascii="Arial" w:cs="Arial" w:eastAsia="Arial" w:hAnsi="Arial"/>
                <w:sz w:val="18"/>
                <w:szCs w:val="18"/>
                <w:color w:val="auto"/>
              </w:rPr>
              <w:t>Cost of license</w:t>
            </w:r>
          </w:p>
        </w:tc>
        <w:tc>
          <w:tcPr>
            <w:tcW w:w="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2,729</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415"/>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91"/>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2,729</w:t>
            </w: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service</w:t>
            </w:r>
          </w:p>
        </w:tc>
        <w:tc>
          <w:tcPr>
            <w:tcW w:w="1460" w:type="dxa"/>
            <w:vAlign w:val="bottom"/>
            <w:gridSpan w:val="3"/>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2,023,562</w:t>
            </w: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15"/>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31"/>
              <w:spacing w:after="0" w:line="202" w:lineRule="exact"/>
              <w:rPr>
                <w:sz w:val="20"/>
                <w:szCs w:val="20"/>
                <w:color w:val="auto"/>
              </w:rPr>
            </w:pPr>
            <w:r>
              <w:rPr>
                <w:rFonts w:ascii="Arial" w:cs="Arial" w:eastAsia="Arial" w:hAnsi="Arial"/>
                <w:sz w:val="18"/>
                <w:szCs w:val="18"/>
                <w:color w:val="auto"/>
                <w:w w:val="95"/>
              </w:rPr>
              <w:t>(23,547)</w:t>
            </w:r>
          </w:p>
        </w:tc>
        <w:tc>
          <w:tcPr>
            <w:tcW w:w="4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7"/>
              </w:rPr>
              <w:t>2,000,015</w:t>
            </w:r>
          </w:p>
        </w:tc>
      </w:tr>
      <w:tr>
        <w:trPr>
          <w:trHeight w:val="202"/>
        </w:trPr>
        <w:tc>
          <w:tcPr>
            <w:tcW w:w="20" w:type="dxa"/>
            <w:vAlign w:val="bottom"/>
          </w:tcPr>
          <w:p>
            <w:pPr>
              <w:spacing w:after="0"/>
              <w:rPr>
                <w:sz w:val="17"/>
                <w:szCs w:val="17"/>
                <w:color w:val="auto"/>
              </w:rPr>
            </w:pPr>
          </w:p>
        </w:tc>
        <w:tc>
          <w:tcPr>
            <w:tcW w:w="2440" w:type="dxa"/>
            <w:vAlign w:val="bottom"/>
          </w:tcPr>
          <w:p>
            <w:pPr>
              <w:ind w:left="200"/>
              <w:spacing w:after="0" w:line="201" w:lineRule="exact"/>
              <w:rPr>
                <w:sz w:val="20"/>
                <w:szCs w:val="20"/>
                <w:color w:val="auto"/>
              </w:rPr>
            </w:pPr>
            <w:r>
              <w:rPr>
                <w:rFonts w:ascii="Arial" w:cs="Arial" w:eastAsia="Arial" w:hAnsi="Arial"/>
                <w:sz w:val="18"/>
                <w:szCs w:val="18"/>
                <w:color w:val="auto"/>
              </w:rPr>
              <w:t>Research and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40" w:type="dxa"/>
            <w:vAlign w:val="bottom"/>
          </w:tcPr>
          <w:p>
            <w:pPr>
              <w:ind w:left="400"/>
              <w:spacing w:after="0" w:line="203" w:lineRule="exact"/>
              <w:rPr>
                <w:sz w:val="20"/>
                <w:szCs w:val="20"/>
                <w:color w:val="auto"/>
              </w:rPr>
            </w:pPr>
            <w:r>
              <w:rPr>
                <w:rFonts w:ascii="Arial" w:cs="Arial" w:eastAsia="Arial" w:hAnsi="Arial"/>
                <w:sz w:val="18"/>
                <w:szCs w:val="18"/>
                <w:color w:val="auto"/>
              </w:rPr>
              <w:t>development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372"/>
              <w:spacing w:after="0" w:line="203" w:lineRule="exact"/>
              <w:rPr>
                <w:sz w:val="20"/>
                <w:szCs w:val="20"/>
                <w:color w:val="auto"/>
              </w:rPr>
            </w:pPr>
            <w:r>
              <w:rPr>
                <w:rFonts w:ascii="Arial" w:cs="Arial" w:eastAsia="Arial" w:hAnsi="Arial"/>
                <w:sz w:val="18"/>
                <w:szCs w:val="18"/>
                <w:color w:val="auto"/>
              </w:rPr>
              <w:t>225,492</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ind w:right="412"/>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080" w:type="dxa"/>
            <w:vAlign w:val="bottom"/>
          </w:tcPr>
          <w:p>
            <w:pPr>
              <w:jc w:val="right"/>
              <w:ind w:right="415"/>
              <w:spacing w:after="0" w:line="203"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080" w:type="dxa"/>
            <w:vAlign w:val="bottom"/>
          </w:tcPr>
          <w:p>
            <w:pPr>
              <w:jc w:val="right"/>
              <w:ind w:right="331"/>
              <w:spacing w:after="0" w:line="203" w:lineRule="exact"/>
              <w:rPr>
                <w:sz w:val="20"/>
                <w:szCs w:val="20"/>
                <w:color w:val="auto"/>
              </w:rPr>
            </w:pPr>
            <w:r>
              <w:rPr>
                <w:rFonts w:ascii="Arial" w:cs="Arial" w:eastAsia="Arial" w:hAnsi="Arial"/>
                <w:sz w:val="18"/>
                <w:szCs w:val="18"/>
                <w:color w:val="auto"/>
              </w:rPr>
              <w:t>(4,714)</w:t>
            </w:r>
          </w:p>
        </w:tc>
        <w:tc>
          <w:tcPr>
            <w:tcW w:w="440" w:type="dxa"/>
            <w:vAlign w:val="bottom"/>
          </w:tcPr>
          <w:p>
            <w:pPr>
              <w:spacing w:after="0"/>
              <w:rPr>
                <w:sz w:val="17"/>
                <w:szCs w:val="17"/>
                <w:color w:val="auto"/>
              </w:rPr>
            </w:pPr>
          </w:p>
        </w:tc>
        <w:tc>
          <w:tcPr>
            <w:tcW w:w="78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980" w:type="dxa"/>
            <w:vAlign w:val="bottom"/>
          </w:tcPr>
          <w:p>
            <w:pPr>
              <w:jc w:val="right"/>
              <w:ind w:right="92"/>
              <w:spacing w:after="0" w:line="203" w:lineRule="exact"/>
              <w:rPr>
                <w:sz w:val="20"/>
                <w:szCs w:val="20"/>
                <w:color w:val="auto"/>
              </w:rPr>
            </w:pPr>
            <w:r>
              <w:rPr>
                <w:rFonts w:ascii="Arial" w:cs="Arial" w:eastAsia="Arial" w:hAnsi="Arial"/>
                <w:sz w:val="18"/>
                <w:szCs w:val="18"/>
                <w:color w:val="auto"/>
              </w:rPr>
              <w:t>220,778</w:t>
            </w: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administrative</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72"/>
              <w:spacing w:after="0" w:line="203" w:lineRule="exact"/>
              <w:rPr>
                <w:sz w:val="20"/>
                <w:szCs w:val="20"/>
                <w:color w:val="auto"/>
              </w:rPr>
            </w:pPr>
            <w:r>
              <w:rPr>
                <w:rFonts w:ascii="Arial" w:cs="Arial" w:eastAsia="Arial" w:hAnsi="Arial"/>
                <w:sz w:val="18"/>
                <w:szCs w:val="18"/>
                <w:color w:val="auto"/>
              </w:rPr>
              <w:t>404,134</w:t>
            </w: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12"/>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15"/>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31"/>
              <w:spacing w:after="0" w:line="203" w:lineRule="exact"/>
              <w:rPr>
                <w:sz w:val="20"/>
                <w:szCs w:val="20"/>
                <w:color w:val="auto"/>
              </w:rPr>
            </w:pPr>
            <w:r>
              <w:rPr>
                <w:rFonts w:ascii="Arial" w:cs="Arial" w:eastAsia="Arial" w:hAnsi="Arial"/>
                <w:sz w:val="18"/>
                <w:szCs w:val="18"/>
                <w:color w:val="auto"/>
                <w:w w:val="95"/>
              </w:rPr>
              <w:t>(29,229)</w:t>
            </w:r>
          </w:p>
        </w:tc>
        <w:tc>
          <w:tcPr>
            <w:tcW w:w="4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2"/>
              <w:spacing w:after="0" w:line="203" w:lineRule="exact"/>
              <w:rPr>
                <w:sz w:val="20"/>
                <w:szCs w:val="20"/>
                <w:color w:val="auto"/>
              </w:rPr>
            </w:pPr>
            <w:r>
              <w:rPr>
                <w:rFonts w:ascii="Arial" w:cs="Arial" w:eastAsia="Arial" w:hAnsi="Arial"/>
                <w:sz w:val="18"/>
                <w:szCs w:val="18"/>
                <w:color w:val="auto"/>
              </w:rPr>
              <w:t>374,905</w:t>
            </w:r>
          </w:p>
        </w:tc>
      </w:tr>
      <w:tr>
        <w:trPr>
          <w:trHeight w:val="202"/>
        </w:trPr>
        <w:tc>
          <w:tcPr>
            <w:tcW w:w="20" w:type="dxa"/>
            <w:vAlign w:val="bottom"/>
          </w:tcPr>
          <w:p>
            <w:pPr>
              <w:spacing w:after="0"/>
              <w:rPr>
                <w:sz w:val="17"/>
                <w:szCs w:val="17"/>
                <w:color w:val="auto"/>
              </w:rPr>
            </w:pPr>
          </w:p>
        </w:tc>
        <w:tc>
          <w:tcPr>
            <w:tcW w:w="244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40" w:type="dxa"/>
            <w:vAlign w:val="bottom"/>
          </w:tcPr>
          <w:p>
            <w:pPr>
              <w:ind w:left="400"/>
              <w:spacing w:after="0" w:line="202" w:lineRule="exact"/>
              <w:rPr>
                <w:sz w:val="20"/>
                <w:szCs w:val="20"/>
                <w:color w:val="auto"/>
              </w:rPr>
            </w:pPr>
            <w:r>
              <w:rPr>
                <w:rFonts w:ascii="Arial" w:cs="Arial" w:eastAsia="Arial" w:hAnsi="Arial"/>
                <w:sz w:val="18"/>
                <w:szCs w:val="18"/>
                <w:color w:val="auto"/>
              </w:rPr>
              <w:t>purchased intangible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40" w:type="dxa"/>
            <w:vAlign w:val="bottom"/>
          </w:tcPr>
          <w:p>
            <w:pPr>
              <w:ind w:left="400"/>
              <w:spacing w:after="0" w:line="203" w:lineRule="exact"/>
              <w:rPr>
                <w:sz w:val="20"/>
                <w:szCs w:val="20"/>
                <w:color w:val="auto"/>
              </w:rPr>
            </w:pPr>
            <w:r>
              <w:rPr>
                <w:rFonts w:ascii="Arial" w:cs="Arial" w:eastAsia="Arial" w:hAnsi="Arial"/>
                <w:sz w:val="18"/>
                <w:szCs w:val="18"/>
                <w:color w:val="auto"/>
              </w:rPr>
              <w:t>assets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372"/>
              <w:spacing w:after="0" w:line="203" w:lineRule="exact"/>
              <w:rPr>
                <w:sz w:val="20"/>
                <w:szCs w:val="20"/>
                <w:color w:val="auto"/>
              </w:rPr>
            </w:pPr>
            <w:r>
              <w:rPr>
                <w:rFonts w:ascii="Arial" w:cs="Arial" w:eastAsia="Arial" w:hAnsi="Arial"/>
                <w:sz w:val="18"/>
                <w:szCs w:val="18"/>
                <w:color w:val="auto"/>
              </w:rPr>
              <w:t>86,687</w:t>
            </w:r>
          </w:p>
        </w:tc>
        <w:tc>
          <w:tcPr>
            <w:tcW w:w="1500" w:type="dxa"/>
            <w:vAlign w:val="bottom"/>
            <w:gridSpan w:val="3"/>
          </w:tcPr>
          <w:p>
            <w:pPr>
              <w:jc w:val="right"/>
              <w:ind w:right="352"/>
              <w:spacing w:after="0" w:line="203" w:lineRule="exact"/>
              <w:rPr>
                <w:sz w:val="20"/>
                <w:szCs w:val="20"/>
                <w:color w:val="auto"/>
              </w:rPr>
            </w:pPr>
            <w:r>
              <w:rPr>
                <w:rFonts w:ascii="Arial" w:cs="Arial" w:eastAsia="Arial" w:hAnsi="Arial"/>
                <w:sz w:val="18"/>
                <w:szCs w:val="18"/>
                <w:color w:val="auto"/>
              </w:rPr>
              <w:t>(86,687)</w:t>
            </w:r>
          </w:p>
        </w:tc>
        <w:tc>
          <w:tcPr>
            <w:tcW w:w="560" w:type="dxa"/>
            <w:vAlign w:val="bottom"/>
          </w:tcPr>
          <w:p>
            <w:pPr>
              <w:spacing w:after="0"/>
              <w:rPr>
                <w:sz w:val="17"/>
                <w:szCs w:val="17"/>
                <w:color w:val="auto"/>
              </w:rPr>
            </w:pPr>
          </w:p>
        </w:tc>
        <w:tc>
          <w:tcPr>
            <w:tcW w:w="1080" w:type="dxa"/>
            <w:vAlign w:val="bottom"/>
          </w:tcPr>
          <w:p>
            <w:pPr>
              <w:jc w:val="right"/>
              <w:ind w:right="415"/>
              <w:spacing w:after="0" w:line="203"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080" w:type="dxa"/>
            <w:vAlign w:val="bottom"/>
          </w:tcPr>
          <w:p>
            <w:pPr>
              <w:jc w:val="right"/>
              <w:ind w:right="391"/>
              <w:spacing w:after="0" w:line="203"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78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980" w:type="dxa"/>
            <w:vAlign w:val="bottom"/>
          </w:tcPr>
          <w:p>
            <w:pPr>
              <w:jc w:val="right"/>
              <w:ind w:right="92"/>
              <w:spacing w:after="0" w:line="203" w:lineRule="exact"/>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Restructuring charges,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in-process research</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and development and</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72"/>
              <w:spacing w:after="0" w:line="203" w:lineRule="exact"/>
              <w:rPr>
                <w:sz w:val="20"/>
                <w:szCs w:val="20"/>
                <w:color w:val="auto"/>
              </w:rPr>
            </w:pPr>
            <w:r>
              <w:rPr>
                <w:rFonts w:ascii="Arial" w:cs="Arial" w:eastAsia="Arial" w:hAnsi="Arial"/>
                <w:sz w:val="18"/>
                <w:szCs w:val="18"/>
                <w:color w:val="auto"/>
              </w:rPr>
              <w:t>13,896</w:t>
            </w:r>
          </w:p>
        </w:tc>
        <w:tc>
          <w:tcPr>
            <w:tcW w:w="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12"/>
              <w:spacing w:after="0" w:line="203" w:lineRule="exact"/>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gridSpan w:val="2"/>
            <w:shd w:val="clear" w:color="auto" w:fill="CCEEFF"/>
          </w:tcPr>
          <w:p>
            <w:pPr>
              <w:jc w:val="right"/>
              <w:ind w:right="355"/>
              <w:spacing w:after="0" w:line="203" w:lineRule="exact"/>
              <w:rPr>
                <w:sz w:val="20"/>
                <w:szCs w:val="20"/>
                <w:color w:val="auto"/>
              </w:rPr>
            </w:pPr>
            <w:r>
              <w:rPr>
                <w:rFonts w:ascii="Arial" w:cs="Arial" w:eastAsia="Arial" w:hAnsi="Arial"/>
                <w:sz w:val="18"/>
                <w:szCs w:val="18"/>
                <w:color w:val="auto"/>
              </w:rPr>
              <w:t>(13,896)</w:t>
            </w:r>
          </w:p>
        </w:tc>
        <w:tc>
          <w:tcPr>
            <w:tcW w:w="5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91"/>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92"/>
              <w:spacing w:after="0" w:line="203" w:lineRule="exact"/>
              <w:rPr>
                <w:sz w:val="20"/>
                <w:szCs w:val="20"/>
                <w:color w:val="auto"/>
              </w:rPr>
            </w:pPr>
            <w:r>
              <w:rPr>
                <w:rFonts w:ascii="Arial" w:cs="Arial" w:eastAsia="Arial" w:hAnsi="Arial"/>
                <w:sz w:val="18"/>
                <w:szCs w:val="18"/>
                <w:color w:val="auto"/>
              </w:rPr>
              <w:t>—</w:t>
            </w:r>
          </w:p>
        </w:tc>
      </w:tr>
      <w:tr>
        <w:trPr>
          <w:trHeight w:val="210"/>
        </w:trPr>
        <w:tc>
          <w:tcPr>
            <w:tcW w:w="24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46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8"/>
                <w:szCs w:val="18"/>
                <w:color w:val="auto"/>
              </w:rPr>
              <w:t>2,756,500</w:t>
            </w:r>
          </w:p>
        </w:tc>
        <w:tc>
          <w:tcPr>
            <w:tcW w:w="150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8"/>
                <w:szCs w:val="18"/>
                <w:color w:val="auto"/>
              </w:rPr>
              <w:t>(86,687)</w:t>
            </w:r>
          </w:p>
        </w:tc>
        <w:tc>
          <w:tcPr>
            <w:tcW w:w="1640" w:type="dxa"/>
            <w:vAlign w:val="bottom"/>
            <w:tcBorders>
              <w:bottom w:val="single" w:sz="8" w:color="auto"/>
            </w:tcBorders>
            <w:gridSpan w:val="2"/>
          </w:tcPr>
          <w:p>
            <w:pPr>
              <w:jc w:val="right"/>
              <w:ind w:right="355"/>
              <w:spacing w:after="0"/>
              <w:rPr>
                <w:sz w:val="20"/>
                <w:szCs w:val="20"/>
                <w:color w:val="auto"/>
              </w:rPr>
            </w:pPr>
            <w:r>
              <w:rPr>
                <w:rFonts w:ascii="Arial" w:cs="Arial" w:eastAsia="Arial" w:hAnsi="Arial"/>
                <w:sz w:val="18"/>
                <w:szCs w:val="18"/>
                <w:color w:val="auto"/>
              </w:rPr>
              <w:t>(13,896)</w:t>
            </w: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95"/>
              </w:rPr>
              <w:t>(57,490)</w:t>
            </w: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7"/>
              </w:rPr>
              <w:t>2,598,427</w:t>
            </w:r>
          </w:p>
        </w:tc>
      </w:tr>
      <w:tr>
        <w:trPr>
          <w:trHeight w:val="217"/>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405,596</w:t>
            </w:r>
          </w:p>
        </w:tc>
        <w:tc>
          <w:tcPr>
            <w:tcW w:w="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86,687</w:t>
            </w: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15"/>
              <w:spacing w:after="0" w:line="202" w:lineRule="exact"/>
              <w:rPr>
                <w:sz w:val="20"/>
                <w:szCs w:val="20"/>
                <w:color w:val="auto"/>
              </w:rPr>
            </w:pPr>
            <w:r>
              <w:rPr>
                <w:rFonts w:ascii="Arial" w:cs="Arial" w:eastAsia="Arial" w:hAnsi="Arial"/>
                <w:sz w:val="18"/>
                <w:szCs w:val="18"/>
                <w:color w:val="auto"/>
              </w:rPr>
              <w:t>13,896</w:t>
            </w:r>
          </w:p>
        </w:tc>
        <w:tc>
          <w:tcPr>
            <w:tcW w:w="5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91"/>
              <w:spacing w:after="0" w:line="202" w:lineRule="exact"/>
              <w:rPr>
                <w:sz w:val="20"/>
                <w:szCs w:val="20"/>
                <w:color w:val="auto"/>
              </w:rPr>
            </w:pPr>
            <w:r>
              <w:rPr>
                <w:rFonts w:ascii="Arial" w:cs="Arial" w:eastAsia="Arial" w:hAnsi="Arial"/>
                <w:sz w:val="18"/>
                <w:szCs w:val="18"/>
                <w:color w:val="auto"/>
              </w:rPr>
              <w:t>57,490</w:t>
            </w:r>
          </w:p>
        </w:tc>
        <w:tc>
          <w:tcPr>
            <w:tcW w:w="4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563,669</w:t>
            </w:r>
          </w:p>
        </w:tc>
      </w:tr>
      <w:tr>
        <w:trPr>
          <w:trHeight w:val="210"/>
        </w:trPr>
        <w:tc>
          <w:tcPr>
            <w:tcW w:w="246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0"/>
        </w:trPr>
        <w:tc>
          <w:tcPr>
            <w:tcW w:w="24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38,645</w:t>
            </w: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37,371</w:t>
            </w: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76,016</w:t>
            </w:r>
          </w:p>
        </w:tc>
      </w:tr>
      <w:tr>
        <w:trPr>
          <w:trHeight w:val="217"/>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378,906</w:t>
            </w:r>
          </w:p>
        </w:tc>
        <w:tc>
          <w:tcPr>
            <w:tcW w:w="1500" w:type="dxa"/>
            <w:vAlign w:val="bottom"/>
            <w:tcBorders>
              <w:bottom w:val="single" w:sz="8" w:color="auto"/>
            </w:tcBorders>
            <w:gridSpan w:val="3"/>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$ 86,687</w:t>
            </w:r>
          </w:p>
        </w:tc>
        <w:tc>
          <w:tcPr>
            <w:tcW w:w="1640" w:type="dxa"/>
            <w:vAlign w:val="bottom"/>
            <w:tcBorders>
              <w:bottom w:val="single" w:sz="8" w:color="auto"/>
            </w:tcBorders>
            <w:gridSpan w:val="2"/>
            <w:shd w:val="clear" w:color="auto" w:fill="CCEEFF"/>
          </w:tcPr>
          <w:p>
            <w:pPr>
              <w:jc w:val="right"/>
              <w:ind w:right="415"/>
              <w:spacing w:after="0" w:line="202" w:lineRule="exact"/>
              <w:rPr>
                <w:sz w:val="20"/>
                <w:szCs w:val="20"/>
                <w:color w:val="auto"/>
              </w:rPr>
            </w:pPr>
            <w:r>
              <w:rPr>
                <w:rFonts w:ascii="Arial" w:cs="Arial" w:eastAsia="Arial" w:hAnsi="Arial"/>
                <w:sz w:val="18"/>
                <w:szCs w:val="18"/>
                <w:color w:val="auto"/>
              </w:rPr>
              <w:t>$ 13,896</w:t>
            </w:r>
          </w:p>
        </w:tc>
        <w:tc>
          <w:tcPr>
            <w:tcW w:w="1660" w:type="dxa"/>
            <w:vAlign w:val="bottom"/>
            <w:tcBorders>
              <w:bottom w:val="single" w:sz="8" w:color="auto"/>
            </w:tcBorders>
            <w:gridSpan w:val="2"/>
            <w:shd w:val="clear" w:color="auto" w:fill="CCEEFF"/>
          </w:tcPr>
          <w:p>
            <w:pPr>
              <w:jc w:val="right"/>
              <w:ind w:right="391"/>
              <w:spacing w:after="0" w:line="202" w:lineRule="exact"/>
              <w:rPr>
                <w:sz w:val="20"/>
                <w:szCs w:val="20"/>
                <w:color w:val="auto"/>
              </w:rPr>
            </w:pPr>
            <w:r>
              <w:rPr>
                <w:rFonts w:ascii="Arial" w:cs="Arial" w:eastAsia="Arial" w:hAnsi="Arial"/>
                <w:sz w:val="18"/>
                <w:szCs w:val="18"/>
                <w:color w:val="auto"/>
              </w:rPr>
              <w:t>$ 57,490</w:t>
            </w:r>
          </w:p>
        </w:tc>
        <w:tc>
          <w:tcPr>
            <w:tcW w:w="1200" w:type="dxa"/>
            <w:vAlign w:val="bottom"/>
            <w:tcBorders>
              <w:bottom w:val="single" w:sz="8" w:color="auto"/>
            </w:tcBorders>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$(37,371)</w:t>
            </w:r>
          </w:p>
        </w:tc>
        <w:tc>
          <w:tcPr>
            <w:tcW w:w="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499,608</w:t>
            </w:r>
          </w:p>
        </w:tc>
      </w:tr>
      <w:tr>
        <w:trPr>
          <w:trHeight w:val="358"/>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40" w:type="dxa"/>
            <w:vAlign w:val="bottom"/>
            <w:gridSpan w:val="3"/>
          </w:tcPr>
          <w:p>
            <w:pPr>
              <w:jc w:val="center"/>
              <w:ind w:right="711"/>
              <w:spacing w:after="0"/>
              <w:rPr>
                <w:sz w:val="20"/>
                <w:szCs w:val="20"/>
                <w:color w:val="auto"/>
              </w:rPr>
            </w:pPr>
            <w:r>
              <w:rPr>
                <w:rFonts w:ascii="Arial" w:cs="Arial" w:eastAsia="Arial" w:hAnsi="Arial"/>
                <w:sz w:val="14"/>
                <w:szCs w:val="14"/>
                <w:b w:val="1"/>
                <w:bCs w:val="1"/>
                <w:color w:val="auto"/>
              </w:rPr>
              <w:t>Twelve months ended</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center"/>
              <w:ind w:left="195"/>
              <w:spacing w:after="0"/>
              <w:rPr>
                <w:sz w:val="20"/>
                <w:szCs w:val="20"/>
                <w:color w:val="auto"/>
              </w:rPr>
            </w:pPr>
            <w:r>
              <w:rPr>
                <w:rFonts w:ascii="Arial" w:cs="Arial" w:eastAsia="Arial" w:hAnsi="Arial"/>
                <w:sz w:val="14"/>
                <w:szCs w:val="14"/>
                <w:b w:val="1"/>
                <w:bCs w:val="1"/>
                <w:color w:val="auto"/>
              </w:rPr>
              <w:t>September 30, 2007</w:t>
            </w:r>
          </w:p>
        </w:tc>
        <w:tc>
          <w:tcPr>
            <w:tcW w:w="10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center"/>
              <w:ind w:left="175"/>
              <w:spacing w:after="0" w:line="155" w:lineRule="exact"/>
              <w:rPr>
                <w:sz w:val="20"/>
                <w:szCs w:val="20"/>
                <w:color w:val="auto"/>
              </w:rPr>
            </w:pPr>
            <w:r>
              <w:rPr>
                <w:rFonts w:ascii="Arial" w:cs="Arial" w:eastAsia="Arial" w:hAnsi="Arial"/>
                <w:sz w:val="14"/>
                <w:szCs w:val="14"/>
                <w:b w:val="1"/>
                <w:bCs w:val="1"/>
                <w:color w:val="auto"/>
              </w:rPr>
              <w:t>Reconciliation items</w:t>
            </w:r>
          </w:p>
        </w:tc>
        <w:tc>
          <w:tcPr>
            <w:tcW w:w="10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Restructuring</w:t>
            </w:r>
          </w:p>
        </w:tc>
        <w:tc>
          <w:tcPr>
            <w:tcW w:w="5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charges,</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rPr>
              <w:t>Amortization</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in-process</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rPr>
              <w:t>of purchased</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research and</w:t>
            </w:r>
          </w:p>
        </w:tc>
        <w:tc>
          <w:tcPr>
            <w:tcW w:w="1660" w:type="dxa"/>
            <w:vAlign w:val="bottom"/>
            <w:gridSpan w:val="2"/>
          </w:tcPr>
          <w:p>
            <w:pPr>
              <w:ind w:left="380"/>
              <w:spacing w:after="0"/>
              <w:rPr>
                <w:sz w:val="20"/>
                <w:szCs w:val="20"/>
                <w:color w:val="auto"/>
              </w:rPr>
            </w:pPr>
            <w:r>
              <w:rPr>
                <w:rFonts w:ascii="Arial" w:cs="Arial" w:eastAsia="Arial" w:hAnsi="Arial"/>
                <w:sz w:val="14"/>
                <w:szCs w:val="14"/>
                <w:b w:val="1"/>
                <w:bCs w:val="1"/>
                <w:color w:val="auto"/>
              </w:rPr>
              <w:t>Equity based</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rPr>
              <w:t>intangible</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development</w:t>
            </w:r>
          </w:p>
        </w:tc>
        <w:tc>
          <w:tcPr>
            <w:tcW w:w="1660" w:type="dxa"/>
            <w:vAlign w:val="bottom"/>
            <w:gridSpan w:val="2"/>
          </w:tcPr>
          <w:p>
            <w:pPr>
              <w:jc w:val="right"/>
              <w:ind w:right="271"/>
              <w:spacing w:after="0"/>
              <w:rPr>
                <w:sz w:val="20"/>
                <w:szCs w:val="20"/>
                <w:color w:val="auto"/>
              </w:rPr>
            </w:pPr>
            <w:r>
              <w:rPr>
                <w:rFonts w:ascii="Arial" w:cs="Arial" w:eastAsia="Arial" w:hAnsi="Arial"/>
                <w:sz w:val="14"/>
                <w:szCs w:val="14"/>
                <w:b w:val="1"/>
                <w:bCs w:val="1"/>
                <w:color w:val="auto"/>
              </w:rPr>
              <w:t>compensation</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GAAP</w:t>
            </w:r>
          </w:p>
        </w:tc>
        <w:tc>
          <w:tcPr>
            <w:tcW w:w="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392"/>
              <w:spacing w:after="0"/>
              <w:rPr>
                <w:sz w:val="20"/>
                <w:szCs w:val="20"/>
                <w:color w:val="auto"/>
              </w:rPr>
            </w:pPr>
            <w:r>
              <w:rPr>
                <w:rFonts w:ascii="Arial" w:cs="Arial" w:eastAsia="Arial" w:hAnsi="Arial"/>
                <w:sz w:val="14"/>
                <w:szCs w:val="14"/>
                <w:b w:val="1"/>
                <w:bCs w:val="1"/>
                <w:color w:val="auto"/>
              </w:rPr>
              <w:t>assets</w:t>
            </w: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and other</w:t>
            </w:r>
          </w:p>
        </w:tc>
        <w:tc>
          <w:tcPr>
            <w:tcW w:w="1660" w:type="dxa"/>
            <w:vAlign w:val="bottom"/>
            <w:tcBorders>
              <w:bottom w:val="single" w:sz="8" w:color="auto"/>
            </w:tcBorders>
            <w:gridSpan w:val="2"/>
          </w:tcPr>
          <w:p>
            <w:pPr>
              <w:jc w:val="right"/>
              <w:ind w:right="471"/>
              <w:spacing w:after="0"/>
              <w:rPr>
                <w:sz w:val="20"/>
                <w:szCs w:val="20"/>
                <w:color w:val="auto"/>
              </w:rPr>
            </w:pPr>
            <w:r>
              <w:rPr>
                <w:rFonts w:ascii="Arial" w:cs="Arial" w:eastAsia="Arial" w:hAnsi="Arial"/>
                <w:sz w:val="14"/>
                <w:szCs w:val="14"/>
                <w:b w:val="1"/>
                <w:bCs w:val="1"/>
                <w:color w:val="auto"/>
              </w:rPr>
              <w:t>expense</w:t>
            </w:r>
          </w:p>
        </w:tc>
        <w:tc>
          <w:tcPr>
            <w:tcW w:w="12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Tax effect</w:t>
            </w: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9"/>
              </w:rPr>
              <w:t>Non-GAAP</w:t>
            </w: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40" w:type="dxa"/>
            <w:vAlign w:val="bottom"/>
          </w:tcPr>
          <w:p>
            <w:pPr>
              <w:ind w:left="200"/>
              <w:spacing w:after="0" w:line="202" w:lineRule="exact"/>
              <w:rPr>
                <w:sz w:val="20"/>
                <w:szCs w:val="20"/>
                <w:color w:val="auto"/>
              </w:rPr>
            </w:pPr>
            <w:r>
              <w:rPr>
                <w:rFonts w:ascii="Arial" w:cs="Arial" w:eastAsia="Arial" w:hAnsi="Arial"/>
                <w:sz w:val="18"/>
                <w:szCs w:val="18"/>
                <w:color w:val="auto"/>
              </w:rPr>
              <w:t>Cost of license</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3,914</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475"/>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431"/>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3,914</w:t>
            </w: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service</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w w:val="97"/>
              </w:rPr>
              <w:t>1,792,468</w:t>
            </w: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75"/>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71"/>
              <w:spacing w:after="0" w:line="202" w:lineRule="exact"/>
              <w:rPr>
                <w:sz w:val="20"/>
                <w:szCs w:val="20"/>
                <w:color w:val="auto"/>
              </w:rPr>
            </w:pPr>
            <w:r>
              <w:rPr>
                <w:rFonts w:ascii="Arial" w:cs="Arial" w:eastAsia="Arial" w:hAnsi="Arial"/>
                <w:sz w:val="18"/>
                <w:szCs w:val="18"/>
                <w:color w:val="auto"/>
              </w:rPr>
              <w:t>(25,418)</w:t>
            </w:r>
          </w:p>
        </w:tc>
        <w:tc>
          <w:tcPr>
            <w:tcW w:w="4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1,767,050</w:t>
            </w:r>
          </w:p>
        </w:tc>
      </w:tr>
      <w:tr>
        <w:trPr>
          <w:trHeight w:val="202"/>
        </w:trPr>
        <w:tc>
          <w:tcPr>
            <w:tcW w:w="20" w:type="dxa"/>
            <w:vAlign w:val="bottom"/>
          </w:tcPr>
          <w:p>
            <w:pPr>
              <w:spacing w:after="0"/>
              <w:rPr>
                <w:sz w:val="17"/>
                <w:szCs w:val="17"/>
                <w:color w:val="auto"/>
              </w:rPr>
            </w:pPr>
          </w:p>
        </w:tc>
        <w:tc>
          <w:tcPr>
            <w:tcW w:w="2440" w:type="dxa"/>
            <w:vAlign w:val="bottom"/>
          </w:tcPr>
          <w:p>
            <w:pPr>
              <w:ind w:left="200"/>
              <w:spacing w:after="0" w:line="201" w:lineRule="exact"/>
              <w:rPr>
                <w:sz w:val="20"/>
                <w:szCs w:val="20"/>
                <w:color w:val="auto"/>
              </w:rPr>
            </w:pPr>
            <w:r>
              <w:rPr>
                <w:rFonts w:ascii="Arial" w:cs="Arial" w:eastAsia="Arial" w:hAnsi="Arial"/>
                <w:sz w:val="18"/>
                <w:szCs w:val="18"/>
                <w:color w:val="auto"/>
              </w:rPr>
              <w:t>Research and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40" w:type="dxa"/>
            <w:vAlign w:val="bottom"/>
          </w:tcPr>
          <w:p>
            <w:pPr>
              <w:ind w:left="400"/>
              <w:spacing w:after="0" w:line="203" w:lineRule="exact"/>
              <w:rPr>
                <w:sz w:val="20"/>
                <w:szCs w:val="20"/>
                <w:color w:val="auto"/>
              </w:rPr>
            </w:pPr>
            <w:r>
              <w:rPr>
                <w:rFonts w:ascii="Arial" w:cs="Arial" w:eastAsia="Arial" w:hAnsi="Arial"/>
                <w:sz w:val="18"/>
                <w:szCs w:val="18"/>
                <w:color w:val="auto"/>
              </w:rPr>
              <w:t>development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Arial" w:cs="Arial" w:eastAsia="Arial" w:hAnsi="Arial"/>
                <w:sz w:val="18"/>
                <w:szCs w:val="18"/>
                <w:color w:val="auto"/>
              </w:rPr>
              <w:t>230,444</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ind w:right="372"/>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080" w:type="dxa"/>
            <w:vAlign w:val="bottom"/>
          </w:tcPr>
          <w:p>
            <w:pPr>
              <w:jc w:val="right"/>
              <w:ind w:right="475"/>
              <w:spacing w:after="0" w:line="203"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080" w:type="dxa"/>
            <w:vAlign w:val="bottom"/>
          </w:tcPr>
          <w:p>
            <w:pPr>
              <w:jc w:val="right"/>
              <w:ind w:right="371"/>
              <w:spacing w:after="0" w:line="203" w:lineRule="exact"/>
              <w:rPr>
                <w:sz w:val="20"/>
                <w:szCs w:val="20"/>
                <w:color w:val="auto"/>
              </w:rPr>
            </w:pPr>
            <w:r>
              <w:rPr>
                <w:rFonts w:ascii="Arial" w:cs="Arial" w:eastAsia="Arial" w:hAnsi="Arial"/>
                <w:sz w:val="18"/>
                <w:szCs w:val="18"/>
                <w:color w:val="auto"/>
              </w:rPr>
              <w:t>(6,574)</w:t>
            </w:r>
          </w:p>
        </w:tc>
        <w:tc>
          <w:tcPr>
            <w:tcW w:w="440" w:type="dxa"/>
            <w:vAlign w:val="bottom"/>
          </w:tcPr>
          <w:p>
            <w:pPr>
              <w:spacing w:after="0"/>
              <w:rPr>
                <w:sz w:val="17"/>
                <w:szCs w:val="17"/>
                <w:color w:val="auto"/>
              </w:rPr>
            </w:pPr>
          </w:p>
        </w:tc>
        <w:tc>
          <w:tcPr>
            <w:tcW w:w="78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980" w:type="dxa"/>
            <w:vAlign w:val="bottom"/>
          </w:tcPr>
          <w:p>
            <w:pPr>
              <w:jc w:val="right"/>
              <w:ind w:right="92"/>
              <w:spacing w:after="0" w:line="203" w:lineRule="exact"/>
              <w:rPr>
                <w:sz w:val="20"/>
                <w:szCs w:val="20"/>
                <w:color w:val="auto"/>
              </w:rPr>
            </w:pPr>
            <w:r>
              <w:rPr>
                <w:rFonts w:ascii="Arial" w:cs="Arial" w:eastAsia="Arial" w:hAnsi="Arial"/>
                <w:sz w:val="18"/>
                <w:szCs w:val="18"/>
                <w:color w:val="auto"/>
              </w:rPr>
              <w:t>223,870</w:t>
            </w: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administrative</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32"/>
              <w:spacing w:after="0" w:line="203" w:lineRule="exact"/>
              <w:rPr>
                <w:sz w:val="20"/>
                <w:szCs w:val="20"/>
                <w:color w:val="auto"/>
              </w:rPr>
            </w:pPr>
            <w:r>
              <w:rPr>
                <w:rFonts w:ascii="Arial" w:cs="Arial" w:eastAsia="Arial" w:hAnsi="Arial"/>
                <w:sz w:val="18"/>
                <w:szCs w:val="18"/>
                <w:color w:val="auto"/>
              </w:rPr>
              <w:t>370,194</w:t>
            </w: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72"/>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75"/>
              <w:spacing w:after="0" w:line="203"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71"/>
              <w:spacing w:after="0" w:line="203" w:lineRule="exact"/>
              <w:rPr>
                <w:sz w:val="20"/>
                <w:szCs w:val="20"/>
                <w:color w:val="auto"/>
              </w:rPr>
            </w:pPr>
            <w:r>
              <w:rPr>
                <w:rFonts w:ascii="Arial" w:cs="Arial" w:eastAsia="Arial" w:hAnsi="Arial"/>
                <w:sz w:val="18"/>
                <w:szCs w:val="18"/>
                <w:color w:val="auto"/>
              </w:rPr>
              <w:t>(21,595)</w:t>
            </w:r>
          </w:p>
        </w:tc>
        <w:tc>
          <w:tcPr>
            <w:tcW w:w="4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2"/>
              <w:spacing w:after="0" w:line="203" w:lineRule="exact"/>
              <w:rPr>
                <w:sz w:val="20"/>
                <w:szCs w:val="20"/>
                <w:color w:val="auto"/>
              </w:rPr>
            </w:pPr>
            <w:r>
              <w:rPr>
                <w:rFonts w:ascii="Arial" w:cs="Arial" w:eastAsia="Arial" w:hAnsi="Arial"/>
                <w:sz w:val="18"/>
                <w:szCs w:val="18"/>
                <w:color w:val="auto"/>
              </w:rPr>
              <w:t>348,599</w:t>
            </w:r>
          </w:p>
        </w:tc>
      </w:tr>
      <w:tr>
        <w:trPr>
          <w:trHeight w:val="202"/>
        </w:trPr>
        <w:tc>
          <w:tcPr>
            <w:tcW w:w="20" w:type="dxa"/>
            <w:vAlign w:val="bottom"/>
          </w:tcPr>
          <w:p>
            <w:pPr>
              <w:spacing w:after="0"/>
              <w:rPr>
                <w:sz w:val="17"/>
                <w:szCs w:val="17"/>
                <w:color w:val="auto"/>
              </w:rPr>
            </w:pPr>
          </w:p>
        </w:tc>
        <w:tc>
          <w:tcPr>
            <w:tcW w:w="244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40" w:type="dxa"/>
            <w:vAlign w:val="bottom"/>
          </w:tcPr>
          <w:p>
            <w:pPr>
              <w:ind w:left="400"/>
              <w:spacing w:after="0" w:line="202" w:lineRule="exact"/>
              <w:rPr>
                <w:sz w:val="20"/>
                <w:szCs w:val="20"/>
                <w:color w:val="auto"/>
              </w:rPr>
            </w:pPr>
            <w:r>
              <w:rPr>
                <w:rFonts w:ascii="Arial" w:cs="Arial" w:eastAsia="Arial" w:hAnsi="Arial"/>
                <w:sz w:val="18"/>
                <w:szCs w:val="18"/>
                <w:color w:val="auto"/>
              </w:rPr>
              <w:t>purchased intangible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40" w:type="dxa"/>
            <w:vAlign w:val="bottom"/>
          </w:tcPr>
          <w:p>
            <w:pPr>
              <w:ind w:left="400"/>
              <w:spacing w:after="0" w:line="203" w:lineRule="exact"/>
              <w:rPr>
                <w:sz w:val="20"/>
                <w:szCs w:val="20"/>
                <w:color w:val="auto"/>
              </w:rPr>
            </w:pPr>
            <w:r>
              <w:rPr>
                <w:rFonts w:ascii="Arial" w:cs="Arial" w:eastAsia="Arial" w:hAnsi="Arial"/>
                <w:sz w:val="18"/>
                <w:szCs w:val="18"/>
                <w:color w:val="auto"/>
              </w:rPr>
              <w:t>assets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Arial" w:cs="Arial" w:eastAsia="Arial" w:hAnsi="Arial"/>
                <w:sz w:val="18"/>
                <w:szCs w:val="18"/>
                <w:color w:val="auto"/>
              </w:rPr>
              <w:t>74,959</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ind w:right="312"/>
              <w:spacing w:after="0" w:line="203" w:lineRule="exact"/>
              <w:rPr>
                <w:sz w:val="20"/>
                <w:szCs w:val="20"/>
                <w:color w:val="auto"/>
              </w:rPr>
            </w:pPr>
            <w:r>
              <w:rPr>
                <w:rFonts w:ascii="Arial" w:cs="Arial" w:eastAsia="Arial" w:hAnsi="Arial"/>
                <w:sz w:val="18"/>
                <w:szCs w:val="18"/>
                <w:color w:val="auto"/>
                <w:w w:val="98"/>
              </w:rPr>
              <w:t>(74,959)</w:t>
            </w:r>
          </w:p>
        </w:tc>
        <w:tc>
          <w:tcPr>
            <w:tcW w:w="560" w:type="dxa"/>
            <w:vAlign w:val="bottom"/>
          </w:tcPr>
          <w:p>
            <w:pPr>
              <w:spacing w:after="0"/>
              <w:rPr>
                <w:sz w:val="17"/>
                <w:szCs w:val="17"/>
                <w:color w:val="auto"/>
              </w:rPr>
            </w:pPr>
          </w:p>
        </w:tc>
        <w:tc>
          <w:tcPr>
            <w:tcW w:w="1080" w:type="dxa"/>
            <w:vAlign w:val="bottom"/>
          </w:tcPr>
          <w:p>
            <w:pPr>
              <w:jc w:val="right"/>
              <w:ind w:right="475"/>
              <w:spacing w:after="0" w:line="203"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080" w:type="dxa"/>
            <w:vAlign w:val="bottom"/>
          </w:tcPr>
          <w:p>
            <w:pPr>
              <w:jc w:val="right"/>
              <w:ind w:right="431"/>
              <w:spacing w:after="0" w:line="203"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78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980" w:type="dxa"/>
            <w:vAlign w:val="bottom"/>
          </w:tcPr>
          <w:p>
            <w:pPr>
              <w:jc w:val="right"/>
              <w:ind w:right="92"/>
              <w:spacing w:after="0" w:line="203" w:lineRule="exact"/>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Restructuring charges,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in-process research</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and development and</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32"/>
              <w:spacing w:after="0" w:line="203" w:lineRule="exact"/>
              <w:rPr>
                <w:sz w:val="20"/>
                <w:szCs w:val="20"/>
                <w:color w:val="auto"/>
              </w:rPr>
            </w:pPr>
            <w:r>
              <w:rPr>
                <w:rFonts w:ascii="Arial" w:cs="Arial" w:eastAsia="Arial" w:hAnsi="Arial"/>
                <w:sz w:val="18"/>
                <w:szCs w:val="18"/>
                <w:color w:val="auto"/>
              </w:rPr>
              <w:t>6,761</w:t>
            </w:r>
          </w:p>
        </w:tc>
        <w:tc>
          <w:tcPr>
            <w:tcW w:w="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72"/>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15"/>
              <w:spacing w:after="0" w:line="203" w:lineRule="exact"/>
              <w:rPr>
                <w:sz w:val="20"/>
                <w:szCs w:val="20"/>
                <w:color w:val="auto"/>
              </w:rPr>
            </w:pPr>
            <w:r>
              <w:rPr>
                <w:rFonts w:ascii="Arial" w:cs="Arial" w:eastAsia="Arial" w:hAnsi="Arial"/>
                <w:sz w:val="18"/>
                <w:szCs w:val="18"/>
                <w:color w:val="auto"/>
                <w:w w:val="98"/>
              </w:rPr>
              <w:t>(6,761)</w:t>
            </w:r>
          </w:p>
        </w:tc>
        <w:tc>
          <w:tcPr>
            <w:tcW w:w="5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31"/>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92"/>
              <w:spacing w:after="0" w:line="203" w:lineRule="exact"/>
              <w:rPr>
                <w:sz w:val="20"/>
                <w:szCs w:val="20"/>
                <w:color w:val="auto"/>
              </w:rPr>
            </w:pPr>
            <w:r>
              <w:rPr>
                <w:rFonts w:ascii="Arial" w:cs="Arial" w:eastAsia="Arial" w:hAnsi="Arial"/>
                <w:sz w:val="18"/>
                <w:szCs w:val="18"/>
                <w:color w:val="auto"/>
              </w:rPr>
              <w:t>—</w:t>
            </w:r>
          </w:p>
        </w:tc>
      </w:tr>
      <w:tr>
        <w:trPr>
          <w:trHeight w:val="210"/>
        </w:trPr>
        <w:tc>
          <w:tcPr>
            <w:tcW w:w="24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7"/>
              </w:rPr>
              <w:t>2,478,740</w:t>
            </w: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8"/>
              </w:rPr>
              <w:t>(74,959)</w:t>
            </w: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color w:val="auto"/>
                <w:w w:val="98"/>
              </w:rPr>
              <w:t>(6,761)</w:t>
            </w:r>
          </w:p>
        </w:tc>
        <w:tc>
          <w:tcPr>
            <w:tcW w:w="1660" w:type="dxa"/>
            <w:vAlign w:val="bottom"/>
            <w:tcBorders>
              <w:bottom w:val="single" w:sz="8" w:color="auto"/>
            </w:tcBorders>
            <w:gridSpan w:val="2"/>
          </w:tcPr>
          <w:p>
            <w:pPr>
              <w:jc w:val="right"/>
              <w:ind w:right="371"/>
              <w:spacing w:after="0"/>
              <w:rPr>
                <w:sz w:val="20"/>
                <w:szCs w:val="20"/>
                <w:color w:val="auto"/>
              </w:rPr>
            </w:pPr>
            <w:r>
              <w:rPr>
                <w:rFonts w:ascii="Arial" w:cs="Arial" w:eastAsia="Arial" w:hAnsi="Arial"/>
                <w:sz w:val="18"/>
                <w:szCs w:val="18"/>
                <w:color w:val="auto"/>
              </w:rPr>
              <w:t>(53,587)</w:t>
            </w: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color w:val="auto"/>
              </w:rPr>
              <w:t>2,343,433</w:t>
            </w:r>
          </w:p>
        </w:tc>
      </w:tr>
      <w:tr>
        <w:trPr>
          <w:trHeight w:val="217"/>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357,433</w:t>
            </w:r>
          </w:p>
        </w:tc>
        <w:tc>
          <w:tcPr>
            <w:tcW w:w="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74,959</w:t>
            </w: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75"/>
              <w:spacing w:after="0" w:line="202" w:lineRule="exact"/>
              <w:rPr>
                <w:sz w:val="20"/>
                <w:szCs w:val="20"/>
                <w:color w:val="auto"/>
              </w:rPr>
            </w:pPr>
            <w:r>
              <w:rPr>
                <w:rFonts w:ascii="Arial" w:cs="Arial" w:eastAsia="Arial" w:hAnsi="Arial"/>
                <w:sz w:val="18"/>
                <w:szCs w:val="18"/>
                <w:color w:val="auto"/>
              </w:rPr>
              <w:t>6,761</w:t>
            </w:r>
          </w:p>
        </w:tc>
        <w:tc>
          <w:tcPr>
            <w:tcW w:w="5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31"/>
              <w:spacing w:after="0" w:line="202" w:lineRule="exact"/>
              <w:rPr>
                <w:sz w:val="20"/>
                <w:szCs w:val="20"/>
                <w:color w:val="auto"/>
              </w:rPr>
            </w:pPr>
            <w:r>
              <w:rPr>
                <w:rFonts w:ascii="Arial" w:cs="Arial" w:eastAsia="Arial" w:hAnsi="Arial"/>
                <w:sz w:val="18"/>
                <w:szCs w:val="18"/>
                <w:color w:val="auto"/>
                <w:w w:val="98"/>
              </w:rPr>
              <w:t>53,587</w:t>
            </w:r>
          </w:p>
        </w:tc>
        <w:tc>
          <w:tcPr>
            <w:tcW w:w="4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492,740</w:t>
            </w:r>
          </w:p>
        </w:tc>
      </w:tr>
      <w:tr>
        <w:trPr>
          <w:trHeight w:val="210"/>
        </w:trPr>
        <w:tc>
          <w:tcPr>
            <w:tcW w:w="24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0"/>
        </w:trPr>
        <w:tc>
          <w:tcPr>
            <w:tcW w:w="24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43,062</w:t>
            </w: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26,373</w:t>
            </w: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69,435</w:t>
            </w:r>
          </w:p>
        </w:tc>
      </w:tr>
      <w:tr>
        <w:trPr>
          <w:trHeight w:val="217"/>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364,937</w:t>
            </w:r>
          </w:p>
        </w:tc>
        <w:tc>
          <w:tcPr>
            <w:tcW w:w="1500" w:type="dxa"/>
            <w:vAlign w:val="bottom"/>
            <w:gridSpan w:val="3"/>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$ 74,959</w:t>
            </w:r>
          </w:p>
        </w:tc>
        <w:tc>
          <w:tcPr>
            <w:tcW w:w="1640" w:type="dxa"/>
            <w:vAlign w:val="bottom"/>
            <w:gridSpan w:val="2"/>
            <w:shd w:val="clear" w:color="auto" w:fill="CCEEFF"/>
          </w:tcPr>
          <w:p>
            <w:pPr>
              <w:jc w:val="right"/>
              <w:ind w:right="475"/>
              <w:spacing w:after="0" w:line="202" w:lineRule="exact"/>
              <w:rPr>
                <w:sz w:val="20"/>
                <w:szCs w:val="20"/>
                <w:color w:val="auto"/>
              </w:rPr>
            </w:pPr>
            <w:r>
              <w:rPr>
                <w:rFonts w:ascii="Arial" w:cs="Arial" w:eastAsia="Arial" w:hAnsi="Arial"/>
                <w:sz w:val="18"/>
                <w:szCs w:val="18"/>
                <w:color w:val="auto"/>
              </w:rPr>
              <w:t>$ 6,761</w:t>
            </w:r>
          </w:p>
        </w:tc>
        <w:tc>
          <w:tcPr>
            <w:tcW w:w="1660" w:type="dxa"/>
            <w:vAlign w:val="bottom"/>
            <w:gridSpan w:val="2"/>
            <w:shd w:val="clear" w:color="auto" w:fill="CCEEFF"/>
          </w:tcPr>
          <w:p>
            <w:pPr>
              <w:jc w:val="right"/>
              <w:ind w:right="431"/>
              <w:spacing w:after="0" w:line="202" w:lineRule="exact"/>
              <w:rPr>
                <w:sz w:val="20"/>
                <w:szCs w:val="20"/>
                <w:color w:val="auto"/>
              </w:rPr>
            </w:pPr>
            <w:r>
              <w:rPr>
                <w:rFonts w:ascii="Arial" w:cs="Arial" w:eastAsia="Arial" w:hAnsi="Arial"/>
                <w:sz w:val="18"/>
                <w:szCs w:val="18"/>
                <w:color w:val="auto"/>
              </w:rPr>
              <w:t>$ 53,587</w:t>
            </w:r>
          </w:p>
        </w:tc>
        <w:tc>
          <w:tcPr>
            <w:tcW w:w="120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$(26,373)</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473,871</w:t>
            </w:r>
          </w:p>
        </w:tc>
      </w:tr>
      <w:tr>
        <w:trPr>
          <w:trHeight w:val="625"/>
        </w:trPr>
        <w:tc>
          <w:tcPr>
            <w:tcW w:w="20" w:type="dxa"/>
            <w:vAlign w:val="bottom"/>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20" w:type="dxa"/>
            <w:vAlign w:val="bottom"/>
            <w:tcBorders>
              <w:top w:val="single" w:sz="8" w:color="auto"/>
              <w:bottom w:val="single" w:sz="8" w:color="808080"/>
            </w:tcBorders>
          </w:tcPr>
          <w:p>
            <w:pPr>
              <w:spacing w:after="0"/>
              <w:rPr>
                <w:sz w:val="24"/>
                <w:szCs w:val="24"/>
                <w:color w:val="auto"/>
              </w:rPr>
            </w:pPr>
          </w:p>
        </w:tc>
        <w:tc>
          <w:tcPr>
            <w:tcW w:w="1220" w:type="dxa"/>
            <w:vAlign w:val="bottom"/>
            <w:tcBorders>
              <w:top w:val="single" w:sz="8" w:color="auto"/>
              <w:bottom w:val="single" w:sz="8" w:color="808080"/>
            </w:tcBorders>
          </w:tcPr>
          <w:p>
            <w:pPr>
              <w:spacing w:after="0"/>
              <w:rPr>
                <w:sz w:val="24"/>
                <w:szCs w:val="24"/>
                <w:color w:val="auto"/>
              </w:rPr>
            </w:pPr>
          </w:p>
        </w:tc>
        <w:tc>
          <w:tcPr>
            <w:tcW w:w="40" w:type="dxa"/>
            <w:vAlign w:val="bottom"/>
            <w:tcBorders>
              <w:top w:val="single" w:sz="8" w:color="auto"/>
              <w:bottom w:val="single" w:sz="8" w:color="808080"/>
            </w:tcBorders>
          </w:tcPr>
          <w:p>
            <w:pPr>
              <w:spacing w:after="0"/>
              <w:rPr>
                <w:sz w:val="24"/>
                <w:szCs w:val="24"/>
                <w:color w:val="auto"/>
              </w:rPr>
            </w:pPr>
          </w:p>
        </w:tc>
        <w:tc>
          <w:tcPr>
            <w:tcW w:w="380" w:type="dxa"/>
            <w:vAlign w:val="bottom"/>
            <w:tcBorders>
              <w:top w:val="single" w:sz="8" w:color="auto"/>
              <w:bottom w:val="single" w:sz="8" w:color="808080"/>
            </w:tcBorders>
          </w:tcPr>
          <w:p>
            <w:pPr>
              <w:spacing w:after="0"/>
              <w:rPr>
                <w:sz w:val="24"/>
                <w:szCs w:val="24"/>
                <w:color w:val="auto"/>
              </w:rPr>
            </w:pPr>
          </w:p>
        </w:tc>
        <w:tc>
          <w:tcPr>
            <w:tcW w:w="1080" w:type="dxa"/>
            <w:vAlign w:val="bottom"/>
            <w:tcBorders>
              <w:top w:val="single" w:sz="8" w:color="auto"/>
              <w:bottom w:val="single" w:sz="8" w:color="808080"/>
            </w:tcBorders>
          </w:tcPr>
          <w:p>
            <w:pPr>
              <w:spacing w:after="0"/>
              <w:rPr>
                <w:sz w:val="24"/>
                <w:szCs w:val="24"/>
                <w:color w:val="auto"/>
              </w:rPr>
            </w:pPr>
          </w:p>
        </w:tc>
        <w:tc>
          <w:tcPr>
            <w:tcW w:w="560" w:type="dxa"/>
            <w:vAlign w:val="bottom"/>
            <w:tcBorders>
              <w:top w:val="single" w:sz="8" w:color="auto"/>
              <w:bottom w:val="single" w:sz="8" w:color="808080"/>
            </w:tcBorders>
          </w:tcPr>
          <w:p>
            <w:pPr>
              <w:spacing w:after="0"/>
              <w:rPr>
                <w:sz w:val="24"/>
                <w:szCs w:val="24"/>
                <w:color w:val="auto"/>
              </w:rPr>
            </w:pPr>
          </w:p>
        </w:tc>
        <w:tc>
          <w:tcPr>
            <w:tcW w:w="1080" w:type="dxa"/>
            <w:vAlign w:val="bottom"/>
            <w:tcBorders>
              <w:top w:val="single" w:sz="8" w:color="auto"/>
              <w:bottom w:val="single" w:sz="8" w:color="808080"/>
            </w:tcBorders>
          </w:tcPr>
          <w:p>
            <w:pPr>
              <w:spacing w:after="0"/>
              <w:rPr>
                <w:sz w:val="24"/>
                <w:szCs w:val="24"/>
                <w:color w:val="auto"/>
              </w:rPr>
            </w:pPr>
          </w:p>
        </w:tc>
        <w:tc>
          <w:tcPr>
            <w:tcW w:w="580" w:type="dxa"/>
            <w:vAlign w:val="bottom"/>
            <w:tcBorders>
              <w:top w:val="single" w:sz="8" w:color="auto"/>
              <w:bottom w:val="single" w:sz="8" w:color="808080"/>
            </w:tcBorders>
          </w:tcPr>
          <w:p>
            <w:pPr>
              <w:spacing w:after="0"/>
              <w:rPr>
                <w:sz w:val="24"/>
                <w:szCs w:val="24"/>
                <w:color w:val="auto"/>
              </w:rPr>
            </w:pPr>
          </w:p>
        </w:tc>
        <w:tc>
          <w:tcPr>
            <w:tcW w:w="1080" w:type="dxa"/>
            <w:vAlign w:val="bottom"/>
            <w:tcBorders>
              <w:top w:val="single" w:sz="8" w:color="auto"/>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760" w:type="dxa"/>
            <w:vAlign w:val="bottom"/>
            <w:tcBorders>
              <w:top w:val="single" w:sz="8" w:color="auto"/>
              <w:bottom w:val="single" w:sz="8" w:color="808080"/>
            </w:tcBorders>
          </w:tcPr>
          <w:p>
            <w:pPr>
              <w:spacing w:after="0"/>
              <w:rPr>
                <w:sz w:val="24"/>
                <w:szCs w:val="24"/>
                <w:color w:val="auto"/>
              </w:rPr>
            </w:pPr>
          </w:p>
        </w:tc>
        <w:tc>
          <w:tcPr>
            <w:tcW w:w="20" w:type="dxa"/>
            <w:vAlign w:val="bottom"/>
            <w:tcBorders>
              <w:top w:val="single" w:sz="8" w:color="auto"/>
              <w:bottom w:val="single" w:sz="8" w:color="808080"/>
            </w:tcBorders>
          </w:tcPr>
          <w:p>
            <w:pPr>
              <w:spacing w:after="0"/>
              <w:rPr>
                <w:sz w:val="24"/>
                <w:szCs w:val="24"/>
                <w:color w:val="auto"/>
              </w:rPr>
            </w:pPr>
          </w:p>
        </w:tc>
        <w:tc>
          <w:tcPr>
            <w:tcW w:w="500" w:type="dxa"/>
            <w:vAlign w:val="bottom"/>
            <w:tcBorders>
              <w:top w:val="single" w:sz="8" w:color="auto"/>
              <w:bottom w:val="single" w:sz="8" w:color="808080"/>
            </w:tcBorders>
          </w:tcPr>
          <w:p>
            <w:pPr>
              <w:spacing w:after="0"/>
              <w:rPr>
                <w:sz w:val="24"/>
                <w:szCs w:val="24"/>
                <w:color w:val="auto"/>
              </w:rPr>
            </w:pPr>
          </w:p>
        </w:tc>
        <w:tc>
          <w:tcPr>
            <w:tcW w:w="980" w:type="dxa"/>
            <w:vAlign w:val="bottom"/>
            <w:tcBorders>
              <w:top w:val="single" w:sz="8" w:color="auto"/>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08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September 30,</w:t>
            </w:r>
          </w:p>
        </w:tc>
        <w:tc>
          <w:tcPr>
            <w:tcW w:w="540" w:type="dxa"/>
            <w:vAlign w:val="bottom"/>
          </w:tcPr>
          <w:p>
            <w:pPr>
              <w:spacing w:after="0"/>
              <w:rPr>
                <w:sz w:val="12"/>
                <w:szCs w:val="12"/>
                <w:color w:val="auto"/>
              </w:rPr>
            </w:pPr>
          </w:p>
        </w:tc>
        <w:tc>
          <w:tcPr>
            <w:tcW w:w="108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short-term interest-bearing investments</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1,244,378</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1,179,280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spacing w:after="0" w:line="202" w:lineRule="exact"/>
              <w:rPr>
                <w:sz w:val="20"/>
                <w:szCs w:val="20"/>
                <w:color w:val="auto"/>
              </w:rPr>
            </w:pPr>
            <w:r>
              <w:rPr>
                <w:rFonts w:ascii="Arial" w:cs="Arial" w:eastAsia="Arial" w:hAnsi="Arial"/>
                <w:sz w:val="18"/>
                <w:szCs w:val="18"/>
                <w:color w:val="auto"/>
              </w:rPr>
              <w:t>Accounts receivable, net, including unbilled of $48,264 and $43,870 respectively (*)</w:t>
            </w: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573,764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473,847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and taxes receivable</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84,515</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117,623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102,930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2,005,587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1,869,496</w:t>
            </w:r>
          </w:p>
        </w:tc>
        <w:tc>
          <w:tcPr>
            <w:tcW w:w="0" w:type="dxa"/>
            <w:vAlign w:val="bottom"/>
          </w:tcPr>
          <w:p>
            <w:pPr>
              <w:spacing w:after="0"/>
              <w:rPr>
                <w:sz w:val="1"/>
                <w:szCs w:val="1"/>
                <w:color w:val="auto"/>
              </w:rPr>
            </w:pPr>
          </w:p>
        </w:tc>
      </w:tr>
      <w:tr>
        <w:trPr>
          <w:trHeight w:val="405"/>
        </w:trPr>
        <w:tc>
          <w:tcPr>
            <w:tcW w:w="8720" w:type="dxa"/>
            <w:vAlign w:val="bottom"/>
            <w:gridSpan w:val="2"/>
          </w:tcPr>
          <w:p>
            <w:pPr>
              <w:spacing w:after="0"/>
              <w:rPr>
                <w:sz w:val="20"/>
                <w:szCs w:val="20"/>
                <w:color w:val="auto"/>
              </w:rPr>
            </w:pPr>
            <w:r>
              <w:rPr>
                <w:rFonts w:ascii="Arial" w:cs="Arial" w:eastAsia="Arial" w:hAnsi="Arial"/>
                <w:sz w:val="18"/>
                <w:szCs w:val="18"/>
                <w:color w:val="auto"/>
              </w:rPr>
              <w:t>Equipment, vehicles and leasehold improvements, net</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317,081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283,839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and other intangible assets, net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1,796,922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1,792,588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Pr>
          <w:p>
            <w:pPr>
              <w:spacing w:after="0" w:line="202" w:lineRule="exact"/>
              <w:rPr>
                <w:sz w:val="20"/>
                <w:szCs w:val="20"/>
                <w:color w:val="auto"/>
              </w:rPr>
            </w:pPr>
            <w:r>
              <w:rPr>
                <w:rFonts w:ascii="Arial" w:cs="Arial" w:eastAsia="Arial" w:hAnsi="Arial"/>
                <w:sz w:val="18"/>
                <w:szCs w:val="18"/>
                <w:color w:val="auto"/>
              </w:rPr>
              <w:t>Other noncurrent assets (*)</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459,473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399,427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4,579,063</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4,345,350</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7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spacing w:after="0" w:line="202" w:lineRule="exact"/>
              <w:rPr>
                <w:sz w:val="20"/>
                <w:szCs w:val="20"/>
                <w:color w:val="auto"/>
              </w:rPr>
            </w:pPr>
            <w:r>
              <w:rPr>
                <w:rFonts w:ascii="Arial" w:cs="Arial" w:eastAsia="Arial" w:hAnsi="Arial"/>
                <w:sz w:val="18"/>
                <w:szCs w:val="18"/>
                <w:color w:val="auto"/>
              </w:rPr>
              <w:t>Accounts payable and accruals</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600,285</w:t>
            </w:r>
          </w:p>
        </w:tc>
        <w:tc>
          <w:tcPr>
            <w:tcW w:w="100" w:type="dxa"/>
            <w:vAlign w:val="bottom"/>
          </w:tcPr>
          <w:p>
            <w:pPr>
              <w:spacing w:after="0"/>
              <w:rPr>
                <w:sz w:val="17"/>
                <w:szCs w:val="17"/>
                <w:color w:val="auto"/>
              </w:rPr>
            </w:pPr>
          </w:p>
        </w:tc>
        <w:tc>
          <w:tcPr>
            <w:tcW w:w="68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592,937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portion of capital lease obligations and other financing arrangements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spacing w:after="0" w:line="202" w:lineRule="exact"/>
              <w:rPr>
                <w:sz w:val="20"/>
                <w:szCs w:val="20"/>
                <w:color w:val="auto"/>
              </w:rPr>
            </w:pPr>
            <w:r>
              <w:rPr>
                <w:rFonts w:ascii="Arial" w:cs="Arial" w:eastAsia="Arial" w:hAnsi="Arial"/>
                <w:sz w:val="18"/>
                <w:szCs w:val="18"/>
                <w:color w:val="auto"/>
              </w:rPr>
              <w:t>Deferred revenue (*)</w:t>
            </w: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197,851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174,526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and taxes payable</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30,228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205,960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830,024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975,478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0.50% Convertible notes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450,000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spacing w:after="0" w:line="202" w:lineRule="exact"/>
              <w:rPr>
                <w:sz w:val="20"/>
                <w:szCs w:val="20"/>
                <w:color w:val="auto"/>
              </w:rPr>
            </w:pPr>
            <w:r>
              <w:rPr>
                <w:rFonts w:ascii="Arial" w:cs="Arial" w:eastAsia="Arial" w:hAnsi="Arial"/>
                <w:sz w:val="18"/>
                <w:szCs w:val="18"/>
                <w:color w:val="auto"/>
              </w:rPr>
              <w:t>Noncurrent liabilities and other</w:t>
            </w: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493,848</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319,629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Shareholders’ equity</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2,805,191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2,600,243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2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4,579,063</w:t>
            </w:r>
          </w:p>
        </w:tc>
        <w:tc>
          <w:tcPr>
            <w:tcW w:w="100" w:type="dxa"/>
            <w:vAlign w:val="bottom"/>
          </w:tcPr>
          <w:p>
            <w:pPr>
              <w:spacing w:after="0"/>
              <w:rPr>
                <w:sz w:val="18"/>
                <w:szCs w:val="18"/>
                <w:color w:val="auto"/>
              </w:rPr>
            </w:pP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4,345,350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amounts in prior period financial statements have been reclassified to conform to the current period presentation.</w:t>
      </w:r>
    </w:p>
    <w:p>
      <w:pPr>
        <w:spacing w:after="0" w:line="297" w:lineRule="exact"/>
        <w:rPr>
          <w:rFonts w:ascii="Arial" w:cs="Arial" w:eastAsia="Arial" w:hAnsi="Arial"/>
          <w:sz w:val="18"/>
          <w:szCs w:val="18"/>
          <w:color w:val="auto"/>
        </w:rPr>
      </w:pPr>
    </w:p>
    <w:p>
      <w:pPr>
        <w:ind w:left="5660" w:hanging="146"/>
        <w:spacing w:after="0"/>
        <w:tabs>
          <w:tab w:leader="none" w:pos="5660" w:val="left"/>
        </w:tabs>
        <w:numPr>
          <w:ilvl w:val="1"/>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w:t>
      </w:r>
    </w:p>
    <w:sectPr>
      <w:pgSz w:w="11900" w:h="16838" w:orient="portrait"/>
      <w:cols w:equalWidth="0" w:num="1">
        <w:col w:w="11420"/>
      </w:cols>
      <w:pgMar w:left="240" w:top="9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2019-12-14T21:18:28Z</dcterms:created>
  <dcterms:modified xsi:type="dcterms:W3CDTF">2019-12-14T21:18:28Z</dcterms:modified>
</cp:coreProperties>
</file>