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168910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9"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123"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4340" w:right="3480" w:hanging="4136"/>
        <w:spacing w:after="0" w:line="402" w:lineRule="auto"/>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September 30, 2019</w:t>
      </w:r>
    </w:p>
    <w:p>
      <w:pPr>
        <w:ind w:left="560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220"/>
        <w:spacing w:after="0"/>
        <w:tabs>
          <w:tab w:leader="none" w:pos="6560" w:val="left"/>
          <w:tab w:leader="none" w:pos="71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7"/>
          <w:szCs w:val="7"/>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3883660</wp:posOffset>
            </wp:positionH>
            <wp:positionV relativeFrom="paragraph">
              <wp:posOffset>-1270</wp:posOffset>
            </wp:positionV>
            <wp:extent cx="669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76"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3920" w:right="2840" w:hanging="3716"/>
        <w:spacing w:after="0" w:line="402" w:lineRule="auto"/>
        <w:tabs>
          <w:tab w:leader="none" w:pos="64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 Date of event requiring this shell company report</w:t>
      </w:r>
    </w:p>
    <w:p>
      <w:pPr>
        <w:ind w:left="464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4" w:lineRule="exact"/>
        <w:rPr>
          <w:sz w:val="24"/>
          <w:szCs w:val="24"/>
          <w:color w:val="auto"/>
        </w:rPr>
      </w:pPr>
    </w:p>
    <w:p>
      <w:pPr>
        <w:jc w:val="center"/>
        <w:ind w:right="-279"/>
        <w:spacing w:after="0"/>
        <w:rPr>
          <w:sz w:val="20"/>
          <w:szCs w:val="20"/>
          <w:color w:val="auto"/>
        </w:rPr>
      </w:pPr>
      <w:r>
        <w:rPr>
          <w:rFonts w:ascii="Arial" w:cs="Arial" w:eastAsia="Arial" w:hAnsi="Arial"/>
          <w:sz w:val="40"/>
          <w:szCs w:val="40"/>
          <w:b w:val="1"/>
          <w:bCs w:val="1"/>
          <w:color w:val="auto"/>
        </w:rPr>
        <w:t>AMDOCS LIMITED</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3"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Island of Guernsey</w:t>
      </w:r>
    </w:p>
    <w:p>
      <w:pPr>
        <w:jc w:val="center"/>
        <w:ind w:right="-279"/>
        <w:spacing w:after="0" w:line="226"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279"/>
        <w:spacing w:after="0" w:line="222" w:lineRule="auto"/>
        <w:rPr>
          <w:sz w:val="20"/>
          <w:szCs w:val="20"/>
          <w:color w:val="auto"/>
        </w:rPr>
      </w:pPr>
      <w:r>
        <w:rPr>
          <w:rFonts w:ascii="Arial" w:cs="Arial" w:eastAsia="Arial" w:hAnsi="Arial"/>
          <w:sz w:val="14"/>
          <w:szCs w:val="14"/>
          <w:b w:val="1"/>
          <w:bCs w:val="1"/>
          <w:color w:val="auto"/>
        </w:rPr>
        <w:t>Hirzel House, Smith Street,</w:t>
      </w:r>
    </w:p>
    <w:p>
      <w:pPr>
        <w:jc w:val="center"/>
        <w:ind w:right="-279"/>
        <w:spacing w:after="0" w:line="221" w:lineRule="auto"/>
        <w:rPr>
          <w:sz w:val="20"/>
          <w:szCs w:val="20"/>
          <w:color w:val="auto"/>
        </w:rPr>
      </w:pPr>
      <w:r>
        <w:rPr>
          <w:rFonts w:ascii="Arial" w:cs="Arial" w:eastAsia="Arial" w:hAnsi="Arial"/>
          <w:sz w:val="14"/>
          <w:szCs w:val="14"/>
          <w:b w:val="1"/>
          <w:bCs w:val="1"/>
          <w:color w:val="auto"/>
        </w:rPr>
        <w:t>St. Peter Port, Guernsey, GY1 2NG</w:t>
      </w:r>
    </w:p>
    <w:p>
      <w:pPr>
        <w:jc w:val="center"/>
        <w:ind w:right="-279"/>
        <w:spacing w:after="0" w:line="222" w:lineRule="auto"/>
        <w:rPr>
          <w:sz w:val="20"/>
          <w:szCs w:val="20"/>
          <w:color w:val="auto"/>
        </w:rPr>
      </w:pPr>
      <w:r>
        <w:rPr>
          <w:rFonts w:ascii="Arial" w:cs="Arial" w:eastAsia="Arial" w:hAnsi="Arial"/>
          <w:sz w:val="14"/>
          <w:szCs w:val="14"/>
          <w:b w:val="1"/>
          <w:bCs w:val="1"/>
          <w:color w:val="auto"/>
        </w:rPr>
        <w:t>Amdocs, Inc.</w:t>
      </w:r>
    </w:p>
    <w:p>
      <w:pPr>
        <w:jc w:val="center"/>
        <w:ind w:right="-279"/>
        <w:spacing w:after="0" w:line="221"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2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0"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Matthew E. Smith</w:t>
      </w:r>
    </w:p>
    <w:p>
      <w:pPr>
        <w:jc w:val="center"/>
        <w:ind w:right="-279"/>
        <w:spacing w:after="0" w:line="226" w:lineRule="auto"/>
        <w:rPr>
          <w:sz w:val="20"/>
          <w:szCs w:val="20"/>
          <w:color w:val="auto"/>
        </w:rPr>
      </w:pPr>
      <w:r>
        <w:rPr>
          <w:rFonts w:ascii="Arial" w:cs="Arial" w:eastAsia="Arial" w:hAnsi="Arial"/>
          <w:sz w:val="14"/>
          <w:szCs w:val="14"/>
          <w:b w:val="1"/>
          <w:bCs w:val="1"/>
          <w:color w:val="auto"/>
        </w:rPr>
        <w:t>Amdocs, Inc.</w:t>
      </w:r>
    </w:p>
    <w:p>
      <w:pPr>
        <w:jc w:val="center"/>
        <w:ind w:right="-27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279"/>
        <w:spacing w:after="0" w:line="221" w:lineRule="auto"/>
        <w:rPr>
          <w:sz w:val="20"/>
          <w:szCs w:val="20"/>
          <w:color w:val="auto"/>
        </w:rPr>
      </w:pPr>
      <w:r>
        <w:rPr>
          <w:rFonts w:ascii="Arial" w:cs="Arial" w:eastAsia="Arial" w:hAnsi="Arial"/>
          <w:sz w:val="14"/>
          <w:szCs w:val="14"/>
          <w:b w:val="1"/>
          <w:bCs w:val="1"/>
          <w:color w:val="auto"/>
        </w:rPr>
        <w:t>Telephone: 314-212-8328</w:t>
      </w:r>
    </w:p>
    <w:p>
      <w:pPr>
        <w:jc w:val="center"/>
        <w:ind w:right="-279"/>
        <w:spacing w:after="0" w:line="222" w:lineRule="auto"/>
        <w:rPr>
          <w:sz w:val="20"/>
          <w:szCs w:val="20"/>
          <w:color w:val="auto"/>
        </w:rPr>
      </w:pPr>
      <w:r>
        <w:rPr>
          <w:rFonts w:ascii="Arial" w:cs="Arial" w:eastAsia="Arial" w:hAnsi="Arial"/>
          <w:sz w:val="14"/>
          <w:szCs w:val="14"/>
          <w:b w:val="1"/>
          <w:bCs w:val="1"/>
          <w:color w:val="auto"/>
        </w:rPr>
        <w:t>Email: dox_info@amdocs.com</w:t>
      </w:r>
    </w:p>
    <w:p>
      <w:pPr>
        <w:jc w:val="center"/>
        <w:ind w:right="-27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80"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114" w:lineRule="exact"/>
        <w:rPr>
          <w:sz w:val="24"/>
          <w:szCs w:val="24"/>
          <w:color w:val="auto"/>
        </w:rPr>
      </w:pPr>
    </w:p>
    <w:tbl>
      <w:tblPr>
        <w:tblLayout w:type="fixed"/>
        <w:tblInd w:w="1960" w:type="dxa"/>
        <w:tblCellMar>
          <w:top w:w="0" w:type="dxa"/>
          <w:left w:w="0" w:type="dxa"/>
          <w:bottom w:w="0" w:type="dxa"/>
          <w:right w:w="0" w:type="dxa"/>
        </w:tblCellMar>
      </w:tblPr>
      <w:tr>
        <w:trPr>
          <w:trHeight w:val="153"/>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5"/>
              </w:rPr>
              <w:t>Ordinary</w:t>
            </w:r>
          </w:p>
        </w:tc>
        <w:tc>
          <w:tcPr>
            <w:tcW w:w="1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6"/>
              </w:rPr>
              <w:t>Title of Each Class</w:t>
            </w:r>
          </w:p>
        </w:tc>
        <w:tc>
          <w:tcPr>
            <w:tcW w:w="3960" w:type="dxa"/>
            <w:vAlign w:val="bottom"/>
          </w:tcPr>
          <w:p>
            <w:pPr>
              <w:spacing w:after="0"/>
              <w:rPr>
                <w:sz w:val="13"/>
                <w:szCs w:val="13"/>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Name of Exchange on Which Registered</w:t>
            </w:r>
          </w:p>
        </w:tc>
        <w:tc>
          <w:tcPr>
            <w:tcW w:w="0" w:type="dxa"/>
            <w:vAlign w:val="bottom"/>
          </w:tcPr>
          <w:p>
            <w:pPr>
              <w:spacing w:after="0"/>
              <w:rPr>
                <w:sz w:val="1"/>
                <w:szCs w:val="1"/>
                <w:color w:val="auto"/>
              </w:rPr>
            </w:pPr>
          </w:p>
        </w:tc>
      </w:tr>
      <w:tr>
        <w:trPr>
          <w:trHeight w:val="180"/>
        </w:trPr>
        <w:tc>
          <w:tcPr>
            <w:tcW w:w="520" w:type="dxa"/>
            <w:vAlign w:val="bottom"/>
            <w:vMerge w:val="continue"/>
          </w:tcPr>
          <w:p>
            <w:pPr>
              <w:spacing w:after="0"/>
              <w:rPr>
                <w:sz w:val="15"/>
                <w:szCs w:val="15"/>
                <w:color w:val="auto"/>
              </w:rPr>
            </w:pPr>
          </w:p>
        </w:tc>
        <w:tc>
          <w:tcPr>
            <w:tcW w:w="49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 par value £0.01</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c>
          <w:tcPr>
            <w:tcW w:w="0" w:type="dxa"/>
            <w:vAlign w:val="bottom"/>
          </w:tcPr>
          <w:p>
            <w:pPr>
              <w:spacing w:after="0"/>
              <w:rPr>
                <w:sz w:val="1"/>
                <w:szCs w:val="1"/>
                <w:color w:val="auto"/>
              </w:rPr>
            </w:pPr>
          </w:p>
        </w:tc>
      </w:tr>
    </w:tbl>
    <w:p>
      <w:pPr>
        <w:spacing w:after="0" w:line="48"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6"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ind w:left="64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ectPr>
          <w:pgSz w:w="11900" w:h="16838" w:orient="portrait"/>
          <w:cols w:equalWidth="0" w:num="1">
            <w:col w:w="11140"/>
          </w:cols>
          <w:pgMar w:left="240" w:top="230" w:right="519" w:bottom="93" w:gutter="0" w:footer="0" w:header="0"/>
        </w:sectPr>
      </w:pPr>
    </w:p>
    <w:p>
      <w:pPr>
        <w:spacing w:after="0" w:line="250"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Ordinary Shares, par value £0.01</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134,773,123(1)</w:t>
      </w:r>
    </w:p>
    <w:p>
      <w:pPr>
        <w:spacing w:after="0" w:line="37" w:lineRule="exact"/>
        <w:rPr>
          <w:sz w:val="24"/>
          <w:szCs w:val="24"/>
          <w:color w:val="auto"/>
        </w:rPr>
      </w:pPr>
    </w:p>
    <w:p>
      <w:pPr>
        <w:sectPr>
          <w:pgSz w:w="11900" w:h="16838" w:orient="portrait"/>
          <w:cols w:equalWidth="0" w:num="2">
            <w:col w:w="7380" w:space="720"/>
            <w:col w:w="3040"/>
          </w:cols>
          <w:pgMar w:left="240" w:top="230" w:right="519" w:bottom="93" w:gutter="0" w:footer="0" w:header="0"/>
          <w:type w:val="continuous"/>
        </w:sectPr>
      </w:pPr>
    </w:p>
    <w:p>
      <w:pPr>
        <w:ind w:left="2600"/>
        <w:spacing w:after="0"/>
        <w:rPr>
          <w:sz w:val="20"/>
          <w:szCs w:val="20"/>
          <w:color w:val="auto"/>
        </w:rPr>
      </w:pPr>
      <w:r>
        <w:rPr>
          <w:rFonts w:ascii="Arial" w:cs="Arial" w:eastAsia="Arial" w:hAnsi="Arial"/>
          <w:sz w:val="11"/>
          <w:szCs w:val="11"/>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(Number of shares)</w:t>
      </w:r>
    </w:p>
    <w:p>
      <w:pPr>
        <w:spacing w:after="0" w:line="69" w:lineRule="exact"/>
        <w:rPr>
          <w:sz w:val="24"/>
          <w:szCs w:val="24"/>
          <w:color w:val="auto"/>
        </w:rPr>
      </w:pPr>
    </w:p>
    <w:p>
      <w:pPr>
        <w:sectPr>
          <w:pgSz w:w="11900" w:h="16838" w:orient="portrait"/>
          <w:cols w:equalWidth="0" w:num="2">
            <w:col w:w="7320" w:space="720"/>
            <w:col w:w="3100"/>
          </w:cols>
          <w:pgMar w:left="240" w:top="230" w:right="519" w:bottom="93" w:gutter="0" w:footer="0" w:header="0"/>
          <w:type w:val="continuous"/>
        </w:sectPr>
      </w:pPr>
    </w:p>
    <w:p>
      <w:pPr>
        <w:spacing w:after="0" w:line="27"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5">
            <w:col w:w="7400" w:space="140"/>
            <w:col w:w="200" w:space="80"/>
            <w:col w:w="120" w:space="160"/>
            <w:col w:w="180" w:space="60"/>
            <w:col w:w="2800"/>
          </w:cols>
          <w:pgMar w:left="240" w:top="230" w:right="519" w:bottom="93" w:gutter="0" w:footer="0" w:header="0"/>
          <w:type w:val="continuous"/>
        </w:sectPr>
      </w:pPr>
    </w:p>
    <w:p>
      <w:pPr>
        <w:ind w:left="200" w:right="120" w:firstLine="441"/>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left="200" w:right="34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200" w:firstLine="44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w:t>
      </w:r>
    </w:p>
    <w:p>
      <w:pPr>
        <w:spacing w:after="0" w:line="1" w:lineRule="exact"/>
        <w:rPr>
          <w:sz w:val="24"/>
          <w:szCs w:val="24"/>
          <w:color w:val="auto"/>
        </w:rPr>
      </w:pPr>
    </w:p>
    <w:p>
      <w:pPr>
        <w:ind w:left="200"/>
        <w:spacing w:after="0" w:line="161" w:lineRule="exact"/>
        <w:tabs>
          <w:tab w:leader="none" w:pos="660" w:val="left"/>
          <w:tab w:leader="none" w:pos="12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ind w:left="200" w:right="480" w:firstLine="44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52" w:lineRule="exact"/>
        <w:rPr>
          <w:sz w:val="24"/>
          <w:szCs w:val="24"/>
          <w:color w:val="auto"/>
        </w:rPr>
      </w:pPr>
    </w:p>
    <w:p>
      <w:pPr>
        <w:ind w:left="1800"/>
        <w:spacing w:after="0" w:line="161" w:lineRule="exact"/>
        <w:tabs>
          <w:tab w:leader="none" w:pos="3900" w:val="left"/>
          <w:tab w:leader="none" w:pos="5720" w:val="left"/>
          <w:tab w:leader="none" w:pos="77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6" w:lineRule="exact"/>
        <w:rPr>
          <w:sz w:val="24"/>
          <w:szCs w:val="24"/>
          <w:color w:val="auto"/>
        </w:rPr>
      </w:pPr>
    </w:p>
    <w:p>
      <w:pPr>
        <w:ind w:left="200" w:right="320" w:firstLine="441"/>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ind w:left="64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95" w:lineRule="exact"/>
        <w:rPr>
          <w:sz w:val="24"/>
          <w:szCs w:val="24"/>
          <w:color w:val="auto"/>
        </w:rPr>
      </w:pPr>
    </w:p>
    <w:tbl>
      <w:tblPr>
        <w:tblLayout w:type="fixed"/>
        <w:tblInd w:w="640" w:type="dxa"/>
        <w:tblCellMar>
          <w:top w:w="0" w:type="dxa"/>
          <w:left w:w="0" w:type="dxa"/>
          <w:bottom w:w="0" w:type="dxa"/>
          <w:right w:w="0" w:type="dxa"/>
        </w:tblCellMar>
      </w:tblPr>
      <w:tr>
        <w:trPr>
          <w:trHeight w:val="168"/>
        </w:trPr>
        <w:tc>
          <w:tcPr>
            <w:tcW w:w="2600" w:type="dxa"/>
            <w:vAlign w:val="bottom"/>
          </w:tcPr>
          <w:p>
            <w:pPr>
              <w:ind w:left="560"/>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5540" w:type="dxa"/>
            <w:vAlign w:val="bottom"/>
          </w:tcPr>
          <w:p>
            <w:pPr>
              <w:jc w:val="center"/>
              <w:ind w:right="88"/>
              <w:spacing w:after="0"/>
              <w:rPr>
                <w:sz w:val="20"/>
                <w:szCs w:val="20"/>
                <w:color w:val="auto"/>
              </w:rPr>
            </w:pPr>
            <w:r>
              <w:rPr>
                <w:rFonts w:ascii="Arial" w:cs="Arial" w:eastAsia="Arial" w:hAnsi="Arial"/>
                <w:sz w:val="14"/>
                <w:szCs w:val="14"/>
                <w:color w:val="auto"/>
                <w:w w:val="92"/>
              </w:rPr>
              <w:t>International Financial Reporting Standards as issued</w:t>
            </w:r>
          </w:p>
        </w:tc>
        <w:tc>
          <w:tcPr>
            <w:tcW w:w="1480" w:type="dxa"/>
            <w:vAlign w:val="bottom"/>
          </w:tcPr>
          <w:p>
            <w:pPr>
              <w:ind w:left="960"/>
              <w:spacing w:after="0" w:line="161" w:lineRule="exact"/>
              <w:rPr>
                <w:sz w:val="20"/>
                <w:szCs w:val="20"/>
                <w:color w:val="auto"/>
              </w:rPr>
            </w:pPr>
            <w:r>
              <w:rPr>
                <w:rFonts w:ascii="Arial" w:cs="Arial" w:eastAsia="Arial" w:hAnsi="Arial"/>
                <w:sz w:val="14"/>
                <w:szCs w:val="14"/>
                <w:color w:val="auto"/>
                <w:w w:val="94"/>
              </w:rPr>
              <w:t xml:space="preserve">Other </w:t>
            </w:r>
            <w:r>
              <w:rPr>
                <w:rFonts w:ascii="MS PGothic" w:cs="MS PGothic" w:eastAsia="MS PGothic" w:hAnsi="MS PGothic"/>
                <w:sz w:val="14"/>
                <w:szCs w:val="14"/>
                <w:color w:val="auto"/>
                <w:w w:val="94"/>
              </w:rPr>
              <w:t>☐</w:t>
            </w:r>
          </w:p>
        </w:tc>
      </w:tr>
      <w:tr>
        <w:trPr>
          <w:trHeight w:val="226"/>
        </w:trPr>
        <w:tc>
          <w:tcPr>
            <w:tcW w:w="2600" w:type="dxa"/>
            <w:vAlign w:val="bottom"/>
          </w:tcPr>
          <w:p>
            <w:pPr>
              <w:spacing w:after="0"/>
              <w:rPr>
                <w:sz w:val="19"/>
                <w:szCs w:val="19"/>
                <w:color w:val="auto"/>
              </w:rPr>
            </w:pPr>
          </w:p>
        </w:tc>
        <w:tc>
          <w:tcPr>
            <w:tcW w:w="5540" w:type="dxa"/>
            <w:vAlign w:val="bottom"/>
          </w:tcPr>
          <w:p>
            <w:pPr>
              <w:jc w:val="center"/>
              <w:ind w:right="88"/>
              <w:spacing w:after="0" w:line="161" w:lineRule="exact"/>
              <w:rPr>
                <w:sz w:val="20"/>
                <w:szCs w:val="20"/>
                <w:color w:val="auto"/>
              </w:rPr>
            </w:pPr>
            <w:r>
              <w:rPr>
                <w:rFonts w:ascii="Arial" w:cs="Arial" w:eastAsia="Arial" w:hAnsi="Arial"/>
                <w:sz w:val="14"/>
                <w:szCs w:val="14"/>
                <w:color w:val="auto"/>
                <w:w w:val="94"/>
              </w:rPr>
              <w:t xml:space="preserve">by the International Accounting Standards Board </w:t>
            </w:r>
            <w:r>
              <w:rPr>
                <w:rFonts w:ascii="MS PGothic" w:cs="MS PGothic" w:eastAsia="MS PGothic" w:hAnsi="MS PGothic"/>
                <w:sz w:val="14"/>
                <w:szCs w:val="14"/>
                <w:color w:val="auto"/>
                <w:w w:val="94"/>
              </w:rPr>
              <w:t>☐</w:t>
            </w:r>
          </w:p>
        </w:tc>
        <w:tc>
          <w:tcPr>
            <w:tcW w:w="1480" w:type="dxa"/>
            <w:vAlign w:val="bottom"/>
          </w:tcPr>
          <w:p>
            <w:pPr>
              <w:spacing w:after="0"/>
              <w:rPr>
                <w:sz w:val="19"/>
                <w:szCs w:val="19"/>
                <w:color w:val="auto"/>
              </w:rPr>
            </w:pPr>
          </w:p>
        </w:tc>
      </w:tr>
      <w:tr>
        <w:trPr>
          <w:trHeight w:val="278"/>
        </w:trPr>
        <w:tc>
          <w:tcPr>
            <w:tcW w:w="8140" w:type="dxa"/>
            <w:vAlign w:val="bottom"/>
            <w:gridSpan w:val="2"/>
          </w:tcPr>
          <w:p>
            <w:pPr>
              <w:spacing w:after="0"/>
              <w:rPr>
                <w:sz w:val="20"/>
                <w:szCs w:val="20"/>
                <w:color w:val="auto"/>
              </w:rPr>
            </w:pPr>
            <w:r>
              <w:rPr>
                <w:rFonts w:ascii="Arial" w:cs="Arial" w:eastAsia="Arial" w:hAnsi="Arial"/>
                <w:sz w:val="14"/>
                <w:szCs w:val="14"/>
                <w:color w:val="auto"/>
                <w:w w:val="94"/>
              </w:rPr>
              <w:t>If this is an annual report, indicate by check mark whether the registrant is a shell company (as defined in Rule 12b-2 of the Exchange Act).</w:t>
            </w:r>
          </w:p>
        </w:tc>
        <w:tc>
          <w:tcPr>
            <w:tcW w:w="148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85" w:lineRule="exact"/>
        <w:rPr>
          <w:sz w:val="24"/>
          <w:szCs w:val="24"/>
          <w:color w:val="auto"/>
        </w:rPr>
      </w:pPr>
    </w:p>
    <w:p>
      <w:pPr>
        <w:ind w:left="640" w:right="380" w:hanging="436"/>
        <w:spacing w:after="0" w:line="253" w:lineRule="auto"/>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142,374,728 shares held in treasury. Does not include 6,941,175 ordinary shares reserved for issuance upon exercise of stock options and vesting of restricted stock units granted under our stock option plan or by companies we have acquired.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173990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40"/>
          </w:cols>
          <w:pgMar w:left="240" w:top="230" w:right="519" w:bottom="9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540" w:type="dxa"/>
            <w:vAlign w:val="bottom"/>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1100" w:type="dxa"/>
            <w:vAlign w:val="bottom"/>
            <w:gridSpan w:val="3"/>
            <w:vMerge w:val="restart"/>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8"/>
        </w:trPr>
        <w:tc>
          <w:tcPr>
            <w:tcW w:w="1640" w:type="dxa"/>
            <w:vAlign w:val="bottom"/>
            <w:gridSpan w:val="4"/>
          </w:tcPr>
          <w:p>
            <w:pPr>
              <w:ind w:left="360"/>
              <w:spacing w:after="0"/>
              <w:rPr>
                <w:sz w:val="20"/>
                <w:szCs w:val="20"/>
                <w:color w:val="auto"/>
              </w:rPr>
            </w:pPr>
            <w:r>
              <w:rPr>
                <w:rFonts w:ascii="Arial" w:cs="Arial" w:eastAsia="Arial" w:hAnsi="Arial"/>
                <w:sz w:val="18"/>
                <w:szCs w:val="18"/>
                <w:color w:val="auto"/>
              </w:rPr>
              <w:t>Item 1.</w:t>
            </w:r>
          </w:p>
        </w:tc>
        <w:tc>
          <w:tcPr>
            <w:tcW w:w="73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Identity of Directors, Senior Management and Advisers</w:t>
              </w:r>
            </w:hyperlink>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2.</w:t>
            </w:r>
          </w:p>
        </w:tc>
        <w:tc>
          <w:tcPr>
            <w:tcW w:w="2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6"/>
          </w:tcPr>
          <w:p>
            <w:pPr>
              <w:spacing w:after="0"/>
              <w:rPr>
                <w:sz w:val="17"/>
                <w:szCs w:val="17"/>
                <w:color w:val="auto"/>
              </w:rPr>
            </w:pPr>
          </w:p>
        </w:tc>
        <w:tc>
          <w:tcPr>
            <w:tcW w:w="3320" w:type="dxa"/>
            <w:vAlign w:val="bottom"/>
            <w:gridSpan w:val="5"/>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3.</w:t>
            </w:r>
          </w:p>
        </w:tc>
        <w:tc>
          <w:tcPr>
            <w:tcW w:w="7320" w:type="dxa"/>
            <w:vAlign w:val="bottom"/>
            <w:gridSpan w:val="2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4.</w:t>
            </w:r>
          </w:p>
        </w:tc>
        <w:tc>
          <w:tcPr>
            <w:tcW w:w="21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Information on the Company</w:t>
              </w:r>
            </w:hyperlink>
          </w:p>
        </w:tc>
        <w:tc>
          <w:tcPr>
            <w:tcW w:w="5220" w:type="dxa"/>
            <w:vAlign w:val="bottom"/>
            <w:gridSpan w:val="14"/>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4A.</w:t>
            </w:r>
          </w:p>
        </w:tc>
        <w:tc>
          <w:tcPr>
            <w:tcW w:w="7320" w:type="dxa"/>
            <w:vAlign w:val="bottom"/>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Operating and Financial Review and Prospects</w:t>
              </w:r>
            </w:hyperlink>
          </w:p>
        </w:tc>
        <w:tc>
          <w:tcPr>
            <w:tcW w:w="3940" w:type="dxa"/>
            <w:vAlign w:val="bottom"/>
            <w:gridSpan w:val="9"/>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6.</w:t>
            </w:r>
          </w:p>
        </w:tc>
        <w:tc>
          <w:tcPr>
            <w:tcW w:w="7320" w:type="dxa"/>
            <w:vAlign w:val="bottom"/>
            <w:gridSpan w:val="2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Directors, Senior Management and Employees</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7.</w:t>
            </w:r>
          </w:p>
        </w:tc>
        <w:tc>
          <w:tcPr>
            <w:tcW w:w="7320" w:type="dxa"/>
            <w:vAlign w:val="bottom"/>
            <w:gridSpan w:val="2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Major Shareholders and Related Party Transactions</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8.</w:t>
            </w: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Financial Information</w:t>
              </w:r>
            </w:hyperlink>
          </w:p>
        </w:tc>
        <w:tc>
          <w:tcPr>
            <w:tcW w:w="2120" w:type="dxa"/>
            <w:vAlign w:val="bottom"/>
            <w:tcBorders>
              <w:top w:val="single" w:sz="8" w:color="0000EE"/>
            </w:tcBorders>
            <w:gridSpan w:val="12"/>
          </w:tcPr>
          <w:p>
            <w:pPr>
              <w:spacing w:after="0"/>
              <w:rPr>
                <w:sz w:val="17"/>
                <w:szCs w:val="17"/>
                <w:color w:val="auto"/>
              </w:rPr>
            </w:pPr>
          </w:p>
        </w:tc>
        <w:tc>
          <w:tcPr>
            <w:tcW w:w="3620" w:type="dxa"/>
            <w:vAlign w:val="bottom"/>
            <w:gridSpan w:val="7"/>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9.</w:t>
            </w:r>
          </w:p>
        </w:tc>
        <w:tc>
          <w:tcPr>
            <w:tcW w:w="73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The Offer and Listing</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Additional Information</w:t>
              </w:r>
            </w:hyperlink>
          </w:p>
        </w:tc>
        <w:tc>
          <w:tcPr>
            <w:tcW w:w="5640" w:type="dxa"/>
            <w:vAlign w:val="bottom"/>
            <w:gridSpan w:val="17"/>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11.</w:t>
            </w:r>
          </w:p>
        </w:tc>
        <w:tc>
          <w:tcPr>
            <w:tcW w:w="43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Quantitative and Qualitative Disclosures About Market Risk</w:t>
              </w:r>
            </w:hyperlink>
          </w:p>
        </w:tc>
        <w:tc>
          <w:tcPr>
            <w:tcW w:w="2960" w:type="dxa"/>
            <w:vAlign w:val="bottom"/>
            <w:gridSpan w:val="4"/>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12.</w:t>
            </w:r>
          </w:p>
        </w:tc>
        <w:tc>
          <w:tcPr>
            <w:tcW w:w="7320" w:type="dxa"/>
            <w:vAlign w:val="bottom"/>
            <w:gridSpan w:val="2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Description of Securities Other Than Equity Securities</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12"/>
        </w:trPr>
        <w:tc>
          <w:tcPr>
            <w:tcW w:w="164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PART II</w:t>
              </w:r>
            </w:hyperlink>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40" w:type="dxa"/>
            <w:vAlign w:val="bottom"/>
            <w:gridSpan w:val="4"/>
          </w:tcPr>
          <w:p>
            <w:pPr>
              <w:ind w:left="360"/>
              <w:spacing w:after="0"/>
              <w:rPr>
                <w:sz w:val="20"/>
                <w:szCs w:val="20"/>
                <w:color w:val="auto"/>
              </w:rPr>
            </w:pPr>
            <w:r>
              <w:rPr>
                <w:rFonts w:ascii="Arial" w:cs="Arial" w:eastAsia="Arial" w:hAnsi="Arial"/>
                <w:sz w:val="18"/>
                <w:szCs w:val="18"/>
                <w:color w:val="auto"/>
              </w:rPr>
              <w:t>Item 13.</w:t>
            </w:r>
          </w:p>
        </w:tc>
        <w:tc>
          <w:tcPr>
            <w:tcW w:w="7320" w:type="dxa"/>
            <w:vAlign w:val="bottom"/>
            <w:gridSpan w:val="2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Defaults, Dividend Arrearages and Delinquencies</w:t>
              </w:r>
            </w:hyperlink>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14.</w:t>
            </w:r>
          </w:p>
        </w:tc>
        <w:tc>
          <w:tcPr>
            <w:tcW w:w="7320" w:type="dxa"/>
            <w:vAlign w:val="bottom"/>
            <w:gridSpan w:val="2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Material Modifications to the Rights of Security Holders and Use of Proceeds</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15.</w:t>
            </w:r>
          </w:p>
        </w:tc>
        <w:tc>
          <w:tcPr>
            <w:tcW w:w="56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1720" w:type="dxa"/>
            <w:vAlign w:val="bottom"/>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16A.</w:t>
            </w:r>
          </w:p>
        </w:tc>
        <w:tc>
          <w:tcPr>
            <w:tcW w:w="25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Audit Committee Financial Expert</w:t>
              </w:r>
            </w:hyperlink>
          </w:p>
        </w:tc>
        <w:tc>
          <w:tcPr>
            <w:tcW w:w="4820" w:type="dxa"/>
            <w:vAlign w:val="bottom"/>
            <w:gridSpan w:val="13"/>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16B.</w:t>
            </w:r>
          </w:p>
        </w:tc>
        <w:tc>
          <w:tcPr>
            <w:tcW w:w="7320" w:type="dxa"/>
            <w:vAlign w:val="bottom"/>
            <w:gridSpan w:val="2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Code of Ethics</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5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16C.</w:t>
            </w:r>
          </w:p>
        </w:tc>
        <w:tc>
          <w:tcPr>
            <w:tcW w:w="28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Principal Accountant Fees and Services</w:t>
              </w:r>
            </w:hyperlink>
          </w:p>
        </w:tc>
        <w:tc>
          <w:tcPr>
            <w:tcW w:w="4460" w:type="dxa"/>
            <w:vAlign w:val="bottom"/>
            <w:gridSpan w:val="12"/>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16D.</w:t>
            </w:r>
          </w:p>
        </w:tc>
        <w:tc>
          <w:tcPr>
            <w:tcW w:w="732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Exemption from the Listing Standards for Audit Committees</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620" w:type="dxa"/>
            <w:vAlign w:val="bottom"/>
            <w:gridSpan w:val="1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16E.</w:t>
            </w:r>
          </w:p>
        </w:tc>
        <w:tc>
          <w:tcPr>
            <w:tcW w:w="7320" w:type="dxa"/>
            <w:vAlign w:val="bottom"/>
            <w:gridSpan w:val="2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Purchases of Equity Securities by the Issuer and Affiliated Purchasers</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16G.</w:t>
            </w:r>
          </w:p>
        </w:tc>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Corporate Governance</w:t>
              </w:r>
            </w:hyperlink>
          </w:p>
        </w:tc>
        <w:tc>
          <w:tcPr>
            <w:tcW w:w="3380" w:type="dxa"/>
            <w:vAlign w:val="bottom"/>
            <w:tcBorders>
              <w:top w:val="single" w:sz="8" w:color="0000EE"/>
            </w:tcBorders>
            <w:gridSpan w:val="16"/>
          </w:tcPr>
          <w:p>
            <w:pPr>
              <w:spacing w:after="0"/>
              <w:rPr>
                <w:sz w:val="17"/>
                <w:szCs w:val="17"/>
                <w:color w:val="auto"/>
              </w:rPr>
            </w:pPr>
          </w:p>
        </w:tc>
        <w:tc>
          <w:tcPr>
            <w:tcW w:w="2300" w:type="dxa"/>
            <w:vAlign w:val="bottom"/>
            <w:gridSpan w:val="2"/>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16H.</w:t>
            </w:r>
          </w:p>
        </w:tc>
        <w:tc>
          <w:tcPr>
            <w:tcW w:w="732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Mine Safety Disclosure</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2"/>
        </w:trPr>
        <w:tc>
          <w:tcPr>
            <w:tcW w:w="1640" w:type="dxa"/>
            <w:vAlign w:val="bottom"/>
            <w:gridSpan w:val="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PART III</w:t>
              </w:r>
            </w:hyperlink>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60" w:type="dxa"/>
            <w:vAlign w:val="bottom"/>
            <w:gridSpan w:val="2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40" w:type="dxa"/>
            <w:vAlign w:val="bottom"/>
            <w:gridSpan w:val="4"/>
          </w:tcPr>
          <w:p>
            <w:pPr>
              <w:ind w:left="360"/>
              <w:spacing w:after="0"/>
              <w:rPr>
                <w:sz w:val="20"/>
                <w:szCs w:val="20"/>
                <w:color w:val="auto"/>
              </w:rPr>
            </w:pPr>
            <w:r>
              <w:rPr>
                <w:rFonts w:ascii="Arial" w:cs="Arial" w:eastAsia="Arial" w:hAnsi="Arial"/>
                <w:sz w:val="18"/>
                <w:szCs w:val="18"/>
                <w:color w:val="auto"/>
              </w:rPr>
              <w:t>Item 17.</w:t>
            </w:r>
          </w:p>
        </w:tc>
        <w:tc>
          <w:tcPr>
            <w:tcW w:w="1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Financial Statements</w:t>
              </w:r>
            </w:hyperlink>
          </w:p>
        </w:tc>
        <w:tc>
          <w:tcPr>
            <w:tcW w:w="5760" w:type="dxa"/>
            <w:vAlign w:val="bottom"/>
            <w:gridSpan w:val="20"/>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18.</w:t>
            </w:r>
          </w:p>
        </w:tc>
        <w:tc>
          <w:tcPr>
            <w:tcW w:w="732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w:t>
              </w:r>
            </w:hyperlink>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6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19.</w:t>
            </w: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Exhibits</w:t>
              </w:r>
            </w:hyperlink>
          </w:p>
        </w:tc>
        <w:tc>
          <w:tcPr>
            <w:tcW w:w="900" w:type="dxa"/>
            <w:vAlign w:val="bottom"/>
            <w:tcBorders>
              <w:top w:val="single" w:sz="8" w:color="0000EE"/>
            </w:tcBorders>
            <w:gridSpan w:val="3"/>
          </w:tcPr>
          <w:p>
            <w:pPr>
              <w:spacing w:after="0"/>
              <w:rPr>
                <w:sz w:val="17"/>
                <w:szCs w:val="17"/>
                <w:color w:val="auto"/>
              </w:rPr>
            </w:pPr>
          </w:p>
        </w:tc>
        <w:tc>
          <w:tcPr>
            <w:tcW w:w="5820" w:type="dxa"/>
            <w:vAlign w:val="bottom"/>
            <w:gridSpan w:val="21"/>
          </w:tcPr>
          <w:p>
            <w:pPr>
              <w:spacing w:after="0"/>
              <w:rPr>
                <w:sz w:val="17"/>
                <w:szCs w:val="17"/>
                <w:color w:val="auto"/>
              </w:rPr>
            </w:pPr>
          </w:p>
        </w:tc>
        <w:tc>
          <w:tcPr>
            <w:tcW w:w="2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2019 as “fiscal 2019.”</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w:t>
      </w:r>
      <w:r>
        <w:rPr>
          <w:rFonts w:ascii="Arial" w:cs="Arial" w:eastAsia="Arial" w:hAnsi="Arial"/>
          <w:sz w:val="15"/>
          <w:szCs w:val="15"/>
          <w:color w:val="auto"/>
        </w:rPr>
        <w:t>™</w:t>
      </w:r>
      <w:r>
        <w:rPr>
          <w:rFonts w:ascii="Arial" w:cs="Arial" w:eastAsia="Arial" w:hAnsi="Arial"/>
          <w:sz w:val="18"/>
          <w:szCs w:val="18"/>
          <w:color w:val="auto"/>
        </w:rPr>
        <w:t>, CES</w:t>
      </w:r>
      <w:r>
        <w:rPr>
          <w:rFonts w:ascii="Arial" w:cs="Arial" w:eastAsia="Arial" w:hAnsi="Arial"/>
          <w:sz w:val="15"/>
          <w:szCs w:val="15"/>
          <w:color w:val="auto"/>
        </w:rPr>
        <w:t>™</w:t>
      </w:r>
      <w:r>
        <w:rPr>
          <w:rFonts w:ascii="Arial" w:cs="Arial" w:eastAsia="Arial" w:hAnsi="Arial"/>
          <w:sz w:val="18"/>
          <w:szCs w:val="18"/>
          <w:color w:val="auto"/>
        </w:rPr>
        <w:t xml:space="preserve"> and The New World of Customer Experience</w:t>
      </w:r>
      <w:r>
        <w:rPr>
          <w:rFonts w:ascii="Arial" w:cs="Arial" w:eastAsia="Arial" w:hAnsi="Arial"/>
          <w:sz w:val="15"/>
          <w:szCs w:val="15"/>
          <w:color w:val="auto"/>
        </w:rPr>
        <w:t>™</w:t>
      </w:r>
      <w:r>
        <w:rPr>
          <w:rFonts w:ascii="Arial" w:cs="Arial" w:eastAsia="Arial" w:hAnsi="Arial"/>
          <w:sz w:val="18"/>
          <w:szCs w:val="18"/>
          <w:color w:val="auto"/>
        </w:rPr>
        <w:t>, among others.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17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our ability to derive revenues in the future from our current research and development efforts;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please read the information set forth below under the caption “Risk Factors.”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IDENTITY OF DIRECTORS, SENIOR MANAGEMENT AND ADVISERS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OFFER STATISTICS AND EXPECTED TIMETABLE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KEY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2019 is derived from our consolidated financial statements, which have been audited by Ernst &amp; Young LLP, our independent registered public accounting firm. You should read the information presented below in conjunction with those statements.</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2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gridSpan w:val="3"/>
          </w:tcPr>
          <w:p>
            <w:pPr>
              <w:jc w:val="right"/>
              <w:ind w:right="713"/>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3"/>
          </w:tcPr>
          <w:p>
            <w:pPr>
              <w:jc w:val="right"/>
              <w:ind w:right="70"/>
              <w:spacing w:after="0"/>
              <w:rPr>
                <w:sz w:val="20"/>
                <w:szCs w:val="20"/>
                <w:color w:val="auto"/>
              </w:rPr>
            </w:pPr>
            <w:r>
              <w:rPr>
                <w:rFonts w:ascii="Arial" w:cs="Arial" w:eastAsia="Arial" w:hAnsi="Arial"/>
                <w:sz w:val="18"/>
                <w:szCs w:val="18"/>
                <w:color w:val="auto"/>
              </w:rPr>
              <w:t>$ 4,086,669</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$ 3,974,837</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  3,867,155</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  3,718,229</w:t>
            </w:r>
          </w:p>
        </w:tc>
        <w:tc>
          <w:tcPr>
            <w:tcW w:w="1080" w:type="dxa"/>
            <w:vAlign w:val="bottom"/>
          </w:tcPr>
          <w:p>
            <w:pPr>
              <w:jc w:val="right"/>
              <w:spacing w:after="0"/>
              <w:rPr>
                <w:sz w:val="20"/>
                <w:szCs w:val="20"/>
                <w:color w:val="auto"/>
              </w:rPr>
            </w:pPr>
            <w:r>
              <w:rPr>
                <w:rFonts w:ascii="Arial" w:cs="Arial" w:eastAsia="Arial" w:hAnsi="Arial"/>
                <w:sz w:val="18"/>
                <w:szCs w:val="18"/>
                <w:color w:val="auto"/>
              </w:rPr>
              <w:t>$  3,643,538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569,746</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428,307</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517,333</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483,141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3"/>
          </w:tcPr>
          <w:p>
            <w:pPr>
              <w:jc w:val="right"/>
              <w:ind w:right="70"/>
              <w:spacing w:after="0"/>
              <w:rPr>
                <w:sz w:val="20"/>
                <w:szCs w:val="20"/>
                <w:color w:val="auto"/>
              </w:rPr>
            </w:pPr>
            <w:r>
              <w:rPr>
                <w:rFonts w:ascii="Arial" w:cs="Arial" w:eastAsia="Arial" w:hAnsi="Arial"/>
                <w:sz w:val="18"/>
                <w:szCs w:val="18"/>
                <w:color w:val="auto"/>
              </w:rPr>
              <w:t>479,446</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354,396</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436,826</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409,331</w:t>
            </w:r>
          </w:p>
        </w:tc>
        <w:tc>
          <w:tcPr>
            <w:tcW w:w="1080" w:type="dxa"/>
            <w:vAlign w:val="bottom"/>
          </w:tcPr>
          <w:p>
            <w:pPr>
              <w:jc w:val="right"/>
              <w:spacing w:after="0"/>
              <w:rPr>
                <w:sz w:val="20"/>
                <w:szCs w:val="20"/>
                <w:color w:val="auto"/>
              </w:rPr>
            </w:pPr>
            <w:r>
              <w:rPr>
                <w:rFonts w:ascii="Arial" w:cs="Arial" w:eastAsia="Arial" w:hAnsi="Arial"/>
                <w:sz w:val="18"/>
                <w:szCs w:val="18"/>
                <w:color w:val="auto"/>
              </w:rPr>
              <w:t>446,163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2.49</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2.99</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60" w:type="dxa"/>
            <w:vAlign w:val="bottom"/>
            <w:gridSpan w:val="3"/>
          </w:tcPr>
          <w:p>
            <w:pPr>
              <w:jc w:val="right"/>
              <w:ind w:right="70"/>
              <w:spacing w:after="0"/>
              <w:rPr>
                <w:sz w:val="20"/>
                <w:szCs w:val="20"/>
                <w:color w:val="auto"/>
              </w:rPr>
            </w:pPr>
            <w:r>
              <w:rPr>
                <w:rFonts w:ascii="Arial" w:cs="Arial" w:eastAsia="Arial" w:hAnsi="Arial"/>
                <w:sz w:val="18"/>
                <w:szCs w:val="18"/>
                <w:color w:val="auto"/>
              </w:rPr>
              <w:t>3.47</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2.47</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2.96</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2.71</w:t>
            </w: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share(1)</w:t>
            </w:r>
          </w:p>
        </w:tc>
        <w:tc>
          <w:tcPr>
            <w:tcW w:w="1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1.105</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0.970</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0.855</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0.755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12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1"/>
              </w:rPr>
              <w:t>Cash, cash equivalents and short-term interest-bearing investments</w:t>
            </w:r>
          </w:p>
        </w:tc>
        <w:tc>
          <w:tcPr>
            <w:tcW w:w="1260" w:type="dxa"/>
            <w:vAlign w:val="bottom"/>
            <w:gridSpan w:val="3"/>
          </w:tcPr>
          <w:p>
            <w:pPr>
              <w:jc w:val="right"/>
              <w:ind w:right="10"/>
              <w:spacing w:after="0"/>
              <w:rPr>
                <w:sz w:val="20"/>
                <w:szCs w:val="20"/>
                <w:color w:val="auto"/>
              </w:rPr>
            </w:pPr>
            <w:r>
              <w:rPr>
                <w:rFonts w:ascii="Arial" w:cs="Arial" w:eastAsia="Arial" w:hAnsi="Arial"/>
                <w:sz w:val="18"/>
                <w:szCs w:val="18"/>
                <w:color w:val="auto"/>
              </w:rPr>
              <w:t>$  471,632</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  519,216</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  979,608</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$1,095,723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$1,354,012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5,292,826</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5,347,815</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5,279,380</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5,331,355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5,324,652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Long-term obligations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Equity</w:t>
            </w:r>
          </w:p>
        </w:tc>
        <w:tc>
          <w:tcPr>
            <w:tcW w:w="1260" w:type="dxa"/>
            <w:vAlign w:val="bottom"/>
            <w:gridSpan w:val="3"/>
          </w:tcPr>
          <w:p>
            <w:pPr>
              <w:jc w:val="right"/>
              <w:ind w:right="10"/>
              <w:spacing w:after="0"/>
              <w:rPr>
                <w:sz w:val="20"/>
                <w:szCs w:val="20"/>
                <w:color w:val="auto"/>
              </w:rPr>
            </w:pPr>
            <w:r>
              <w:rPr>
                <w:rFonts w:ascii="Arial" w:cs="Arial" w:eastAsia="Arial" w:hAnsi="Arial"/>
                <w:sz w:val="18"/>
                <w:szCs w:val="18"/>
                <w:color w:val="auto"/>
              </w:rPr>
              <w:t>3,542,466</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3,492,042</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3,574,070</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3,453,561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3,406,842</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right="120" w:hanging="436"/>
        <w:spacing w:after="0" w:line="297"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fourth quarter of fiscal 2012, we instituted a discretionary quarterly cash dividend program in the amount of $0.13 per share, with the first payment in the first quarter of fiscal 2013. In January 2014, January 2015, February 2016, January 2017, January 2018 and January 2019, our shareholders approved increases in the rate of the quarterly cash dividend to $0.155 per share, $0.17 per share, $0.195 per share, $0.22 per share, $0.25 and $0.285, respectively. In November 2019, our Board of Directors approved, subject to shareholders approval at the January 2020 annual general shareholders meeting, an increase in the rate of the quarterly cash dividend to $0.3275 per share.</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September 6, 2016 (the “Redemption Date”), we redeemed all of our outstanding convertible notes due 2024 at a redemption price of 100% of the principal amount of the notes, plus accrued and unpaid interest up to, but excluding, the Redemption Date.</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560" w:type="dxa"/>
            <w:vAlign w:val="bottom"/>
            <w:gridSpan w:val="4"/>
            <w:vMerge w:val="restart"/>
          </w:tcPr>
          <w:p>
            <w:pPr>
              <w:jc w:val="right"/>
              <w:ind w:right="193"/>
              <w:spacing w:after="0"/>
              <w:rPr>
                <w:sz w:val="20"/>
                <w:szCs w:val="20"/>
                <w:color w:val="auto"/>
              </w:rPr>
            </w:pPr>
            <w:r>
              <w:rPr>
                <w:rFonts w:ascii="Arial" w:cs="Arial" w:eastAsia="Arial" w:hAnsi="Arial"/>
                <w:sz w:val="14"/>
                <w:szCs w:val="14"/>
                <w:b w:val="1"/>
                <w:bCs w:val="1"/>
                <w:color w:val="auto"/>
              </w:rPr>
              <w:t>Ordinary 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Additional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720" w:type="dxa"/>
            <w:vAlign w:val="bottom"/>
          </w:tcPr>
          <w:p>
            <w:pPr>
              <w:spacing w:after="0"/>
              <w:rPr>
                <w:sz w:val="6"/>
                <w:szCs w:val="6"/>
                <w:color w:val="auto"/>
              </w:rPr>
            </w:pPr>
          </w:p>
        </w:tc>
        <w:tc>
          <w:tcPr>
            <w:tcW w:w="1560" w:type="dxa"/>
            <w:vAlign w:val="bottom"/>
            <w:tcBorders>
              <w:bottom w:val="single" w:sz="8" w:color="auto"/>
            </w:tcBorders>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restart"/>
          </w:tcPr>
          <w:p>
            <w:pPr>
              <w:jc w:val="right"/>
              <w:ind w:right="133"/>
              <w:spacing w:after="0" w:line="149" w:lineRule="exact"/>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720" w:type="dxa"/>
            <w:vAlign w:val="bottom"/>
          </w:tcPr>
          <w:p>
            <w:pPr>
              <w:spacing w:after="0"/>
              <w:rPr>
                <w:sz w:val="4"/>
                <w:szCs w:val="4"/>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233"/>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Changes in Shareholders’ Equity Data:</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Balance as of September 30, 2016</w:t>
            </w:r>
          </w:p>
        </w:tc>
        <w:tc>
          <w:tcPr>
            <w:tcW w:w="680" w:type="dxa"/>
            <w:vAlign w:val="bottom"/>
          </w:tcPr>
          <w:p>
            <w:pPr>
              <w:jc w:val="right"/>
              <w:spacing w:after="0"/>
              <w:rPr>
                <w:sz w:val="20"/>
                <w:szCs w:val="20"/>
                <w:color w:val="auto"/>
              </w:rPr>
            </w:pPr>
            <w:r>
              <w:rPr>
                <w:rFonts w:ascii="Arial" w:cs="Arial" w:eastAsia="Arial" w:hAnsi="Arial"/>
                <w:sz w:val="18"/>
                <w:szCs w:val="18"/>
                <w:color w:val="auto"/>
              </w:rPr>
              <w:t>147,134</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$ 4,377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3,322,789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(4,024,527)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options exercised</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87,948</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Repurchase of shares(1)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(5,519)</w:t>
            </w:r>
          </w:p>
        </w:tc>
        <w:tc>
          <w:tcPr>
            <w:tcW w:w="14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from equity-based awards</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Issuance of restricted stock, net of forfeitures</w:t>
            </w:r>
          </w:p>
        </w:tc>
        <w:tc>
          <w:tcPr>
            <w:tcW w:w="680" w:type="dxa"/>
            <w:vAlign w:val="bottom"/>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 related to employees</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40" w:type="dxa"/>
            <w:vAlign w:val="bottom"/>
            <w:gridSpan w:val="3"/>
          </w:tcPr>
          <w:p>
            <w:pPr>
              <w:spacing w:after="0"/>
              <w:rPr>
                <w:sz w:val="20"/>
                <w:szCs w:val="20"/>
                <w:color w:val="auto"/>
              </w:rPr>
            </w:pPr>
            <w:r>
              <w:rPr>
                <w:rFonts w:ascii="Arial" w:cs="Arial" w:eastAsia="Arial" w:hAnsi="Arial"/>
                <w:sz w:val="18"/>
                <w:szCs w:val="18"/>
                <w:color w:val="auto"/>
              </w:rPr>
              <w:t>Balance as of September 30, 2017</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$ 4,410</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3,458,887</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(4,365,124</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stock options exercised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Repurchase of shares(1)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(6,337)</w:t>
            </w:r>
          </w:p>
        </w:tc>
        <w:tc>
          <w:tcPr>
            <w:tcW w:w="14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Issuance of restricted stock, net of forfeitures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Equity-based compensation expense related to employees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47,476</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140,177</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3,587,625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(4,784,352)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Employee stock options exercised</w:t>
            </w:r>
          </w:p>
        </w:tc>
        <w:tc>
          <w:tcPr>
            <w:tcW w:w="680" w:type="dxa"/>
            <w:vAlign w:val="bottom"/>
          </w:tcPr>
          <w:p>
            <w:pPr>
              <w:jc w:val="right"/>
              <w:spacing w:after="0"/>
              <w:rPr>
                <w:sz w:val="20"/>
                <w:szCs w:val="20"/>
                <w:color w:val="auto"/>
              </w:rPr>
            </w:pPr>
            <w:r>
              <w:rPr>
                <w:rFonts w:ascii="Arial" w:cs="Arial" w:eastAsia="Arial" w:hAnsi="Arial"/>
                <w:sz w:val="18"/>
                <w:szCs w:val="18"/>
                <w:color w:val="auto"/>
              </w:rPr>
              <w:t>874</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shares(1)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340"/>
              <w:spacing w:after="0"/>
              <w:rPr>
                <w:sz w:val="20"/>
                <w:szCs w:val="20"/>
                <w:color w:val="auto"/>
              </w:rPr>
            </w:pPr>
            <w:r>
              <w:rPr>
                <w:rFonts w:ascii="Arial" w:cs="Arial" w:eastAsia="Arial" w:hAnsi="Arial"/>
                <w:sz w:val="18"/>
                <w:szCs w:val="18"/>
                <w:color w:val="auto"/>
              </w:rPr>
              <w:t>Issuance of restricted stock, net of forfeitures</w:t>
            </w:r>
          </w:p>
        </w:tc>
        <w:tc>
          <w:tcPr>
            <w:tcW w:w="680" w:type="dxa"/>
            <w:vAlign w:val="bottom"/>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 related to employees</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Arial" w:cs="Arial" w:eastAsia="Arial" w:hAnsi="Arial"/>
                <w:sz w:val="18"/>
                <w:szCs w:val="18"/>
                <w:color w:val="auto"/>
              </w:rPr>
              <w:t>Balance as of September 30,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$ 4,452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3,667,662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(5,182,409</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40" w:hanging="436"/>
        <w:spacing w:after="0" w:line="269"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From time to time, our Board of Directors can adopt share repurchase plans authorizing the repurchase of our outstanding ordinary shares. On November 8, 2017, our Board of Directors adopted another share repurchase plan for the repurchase of up to an additional $800.0 million of our outstanding ordinary shares with no expiration date. In April 2018, we completed the repurchase of the remaining authorized amount of ordinary shares under the February, 2016 plan and began executing repurchases under the November 2017 plan. In fiscal year 2019, we repurchased approximately 6.7 million ordinary shares at an average price of $59.79 per share (excluding broker and transaction fees). The November 2017 plan permits us to purchase our ordinary shares in open market or privately negotiated transactions at times and prices that we consider appropriate. As of September 30, 2019, we had remaining authority to repurchase up to $239.2 million of our outstanding ordinary shares under the November 2017 plan. On November 12, 2019, our Board of Directors adopted another share repurchase plan for the repurchase of up to an additional $800.0 million of our outstanding ordinary shares with no expiration date which brings the unused authorization as of September 30, 2019 to $1,039.2 million. The authorizations permit us to purchase our ordinary shares in open market or privately negotiated transactions at times and prices that we consider appropriate.</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exposed to general global economic and market conditions, particularly those impacting the communications industry.</w:t>
      </w:r>
    </w:p>
    <w:p>
      <w:pPr>
        <w:spacing w:after="0" w:line="129"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These conditions have reduced, and may continue to reduce, the growth rates that the communications industry had previously experienced and caused the market value, financial results and prospects and capital spending levels of many communications companies to decline or degrade. Industry consolidation involving our customers, which has been significant in recent years,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183"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281" w:lineRule="exact"/>
        <w:rPr>
          <w:sz w:val="20"/>
          <w:szCs w:val="20"/>
          <w:color w:val="auto"/>
        </w:rPr>
      </w:pPr>
    </w:p>
    <w:p>
      <w:pPr>
        <w:ind w:left="420" w:right="560"/>
        <w:spacing w:after="0" w:line="277" w:lineRule="auto"/>
        <w:rPr>
          <w:sz w:val="20"/>
          <w:szCs w:val="20"/>
          <w:color w:val="auto"/>
        </w:rPr>
      </w:pPr>
      <w:r>
        <w:rPr>
          <w:rFonts w:ascii="Arial" w:cs="Arial" w:eastAsia="Arial" w:hAnsi="Arial"/>
          <w:sz w:val="18"/>
          <w:szCs w:val="18"/>
          <w:b w:val="1"/>
          <w:bCs w:val="1"/>
          <w:i w:val="1"/>
          <w:iCs w:val="1"/>
          <w:color w:val="auto"/>
        </w:rPr>
        <w:t>If we fail to adapt to changing market conditions and cannot compete successfully with existing or new competitors, our business could be harmed.</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15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16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believe that our ability to compete with other vendors as well as with in-house IT and network departments of communications companies, depends on a number of factors, including:</w:t>
      </w:r>
    </w:p>
    <w:p>
      <w:pPr>
        <w:spacing w:after="0" w:line="76" w:lineRule="exact"/>
        <w:rPr>
          <w:sz w:val="20"/>
          <w:szCs w:val="20"/>
          <w:color w:val="auto"/>
        </w:rPr>
      </w:pPr>
    </w:p>
    <w:p>
      <w:pPr>
        <w:ind w:left="5660" w:right="1920" w:hanging="4916"/>
        <w:spacing w:after="0" w:line="449" w:lineRule="auto"/>
        <w:tabs>
          <w:tab w:leader="none" w:pos="116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by others of software products and services that are competitive with our products and services, 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305" w:lineRule="exact"/>
        <w:rPr>
          <w:sz w:val="20"/>
          <w:szCs w:val="20"/>
          <w:color w:val="auto"/>
        </w:rPr>
      </w:pPr>
    </w:p>
    <w:p>
      <w:pPr>
        <w:jc w:val="both"/>
        <w:ind w:left="420" w:right="820"/>
        <w:spacing w:after="0" w:line="375" w:lineRule="auto"/>
        <w:rPr>
          <w:sz w:val="20"/>
          <w:szCs w:val="20"/>
          <w:color w:val="auto"/>
        </w:rPr>
      </w:pPr>
      <w:r>
        <w:rPr>
          <w:rFonts w:ascii="Arial" w:cs="Arial" w:eastAsia="Arial" w:hAnsi="Arial"/>
          <w:sz w:val="15"/>
          <w:szCs w:val="15"/>
          <w:b w:val="1"/>
          <w:bCs w:val="1"/>
          <w:i w:val="1"/>
          <w:iCs w:val="1"/>
          <w:color w:val="auto"/>
        </w:rPr>
        <w:t>If we do not continually enhance our products and service offerings, introduce new products and features and adopt and monetize new technologies and methodologies in the marketplace we may have difficulty retaining existing customers and attracting new customers.</w:t>
      </w:r>
    </w:p>
    <w:p>
      <w:pPr>
        <w:spacing w:after="0" w:line="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believe that our future success will depend, to a significant extent, upon our ability to enhance our existing products and services, to introduce new products, services and features to meet the requirements of our customers, and to adopt to and leverage new technologies and methodologies such as cloud, microservices-based architecture, DevOps, automation, and artificial intelligence, in a rapidly developing and evolving market. We devote significant resources to refining and expanding our base software modules and to developing our products, services and development methodologies and tools. In some instances, we rely on cooperative relationships with third parties to assist us in delivering certain products and services to our customers. Our present or future products, services and technology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87"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62"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development of our products and services.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66" w:lineRule="exact"/>
        <w:rPr>
          <w:sz w:val="20"/>
          <w:szCs w:val="20"/>
          <w:color w:val="auto"/>
        </w:rPr>
      </w:pPr>
    </w:p>
    <w:p>
      <w:pPr>
        <w:jc w:val="both"/>
        <w:ind w:left="420" w:right="100"/>
        <w:spacing w:after="0" w:line="264" w:lineRule="auto"/>
        <w:rPr>
          <w:sz w:val="20"/>
          <w:szCs w:val="20"/>
          <w:color w:val="auto"/>
        </w:rPr>
      </w:pPr>
      <w:r>
        <w:rPr>
          <w:rFonts w:ascii="Arial" w:cs="Arial" w:eastAsia="Arial" w:hAnsi="Arial"/>
          <w:sz w:val="18"/>
          <w:szCs w:val="18"/>
          <w:b w:val="1"/>
          <w:bCs w:val="1"/>
          <w:i w:val="1"/>
          <w:iCs w:val="1"/>
          <w:color w:val="auto"/>
        </w:rPr>
        <w:t>If our security measures for our software, hardware, services or cloud offerings are compromised and as a result, our data, our customers’ data or our IT systems are accessed improperly, made unavailable, or improperly modified, our products and services may be perceived as vulnerable, which may materially affect our business and result in potential legal liability.</w:t>
      </w:r>
    </w:p>
    <w:p>
      <w:pPr>
        <w:spacing w:after="0" w:line="7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Our products and services, including our cloud offerings, store, retrieve, and manage our customers’ information and data, as well as our own data. We have a reputation for secure and reliable product offerings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related services and we have invested a great deal of time and resources in protecting the integrity and security of our products, services and the internal and external data that we manage. Despite our efforts to implement security measures, we cannot guarantee that our systems are fully protected from vulnerabilities related to IT-related viruses, worms and other malicious software programs, attacks, break-ins and similar disruptions from unauthorized tampering by computer hackers and others. Increasing sophistication and frequency of cybersecurity incidents could mean that we might not discover a security breach or a loss of information for a significant amount of time after the breach, and might not be able to anticipate attacks or implement sufficient mitigating measures. Such cybersecurity incidents could include, but not limited to, an attempt to gain unauthorized access to digital systems for purposes of misappropriating assets or sensitive information, corrupting data, or causing operational disruption. “Phishing” and other types of attempts to obtain unauthorized information or access are often sophisticated and difficult to detect or defeat. In addition, security measures in our products and services may be penetrated or bypassed by computer hackers and others who may gain unauthorized access to our or our customers’ or partners’ software, hardware, cloud offerings, networks, data or systems. These actors may use a wide variety of methods, which may include developing and deploying malicious software to attack our products and services and gain access to our networks and datacenters, using social engineering techniques, or acting in a coordinated manner to launch distributed denial of service or other coordinated attacks. This is also true for third party data, products or services incorporated into our own. Data may also be accessed or modified improperly as a result of customer, partner or employee error or malfeasance 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Any of the foregoing occurrences could create system disruptions and cause shutdowns or denials of service or compromise data, including personal or confidential information, of us, our partners or our customers.</w:t>
      </w:r>
    </w:p>
    <w:p>
      <w:pPr>
        <w:spacing w:after="0" w:line="175"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solutions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 for certain of our other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18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Any of the events described above could cause our customers to make claims against us for damages allegedly resulting from a security breach or service disruption, which could adversely affect our business, results of operation and financial condition.</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subject to laws, directives, and regulations relating to the collection, use, retention, disclosure, security and transfer of personal data. These laws, directives, and regulations, and their interpretation and enforcement continue to evolve and may be inconsistent from jurisdiction to jurisdiction. For example, the General Data Protection Regulation (GDPR), which regulates the use of personally identifiable information, went into effect in the European Union (EU) on May 25, 2018, applies globally to all of our activities conducted from an establishment in the EU, to related products and services that we offer to EU customers and to non-EU customers which offer services in the EU. The GDPR also affects our role as product developers, as we are required to adopt “privacy by design” principles in order to address our customers’ need to apply privacy adequate solutions when handling their subscribers’ data. Complying with the GDPR and similar emerging and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93" w:lineRule="auto"/>
        <w:rPr>
          <w:sz w:val="20"/>
          <w:szCs w:val="20"/>
          <w:color w:val="auto"/>
        </w:rPr>
      </w:pPr>
      <w:r>
        <w:rPr>
          <w:rFonts w:ascii="Arial" w:cs="Arial" w:eastAsia="Arial" w:hAnsi="Arial"/>
          <w:sz w:val="16"/>
          <w:szCs w:val="16"/>
          <w:color w:val="auto"/>
        </w:rPr>
        <w:t>changing privacy and data protection requirements may cause us to incur substantial costs or require us to change our business practices. Additionally, new local privacy laws have been enacted recently as part of an overall trend, including in the Philippines, U.S.A and Brazil.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 In addition, Guernsey has introduced legislation similar in form to the GDPR, the Data Protection (Bailiwick of Guernsey) Law, 2017 (as amended) which will apply globally in a similar fashion as the GDPR to our activities conducted from and within Guernsey.</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including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 However, we cannot guarantee that we will receive significant revenues from these investments for several years, if at all.</w:t>
      </w:r>
    </w:p>
    <w:p>
      <w:pPr>
        <w:spacing w:after="0" w:line="286" w:lineRule="exact"/>
        <w:rPr>
          <w:sz w:val="20"/>
          <w:szCs w:val="20"/>
          <w:color w:val="auto"/>
        </w:rPr>
      </w:pPr>
    </w:p>
    <w:p>
      <w:pPr>
        <w:ind w:left="420" w:right="320"/>
        <w:spacing w:after="0" w:line="277"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or a significant decrease in business from any such customer, could harm our results of operations.</w:t>
      </w:r>
    </w:p>
    <w:p>
      <w:pPr>
        <w:spacing w:after="0" w:line="6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Our business is dependent on a limited number of significant customers, of which AT&amp;T has historically been our largest. AT&amp;T accounted for 23% and 27% of our revenue in fiscal years 2019 and 2018, respectively. We cannot assure you that our revenues from AT&amp;T will remain the same or grow in future years. Aggregate revenue derived from the multiple business arrangements we have with the ten largest of our significant customers accounted for approximately 65% of our revenue in fiscal year 2019 and 66% in fiscal year 2018. The loss of any significant customer, including as a result of industry consolidation involving our customers, a significant decrease in business from any such customer or a reduction in customer revenue due to adverse changes in the terms of our contractual arrangements, market conditions, customer circumstances (such as financial condition and market position) or other factors could harm our results of operations and financial condition. For example, in April 2018, T-Mobile and Sprint entered into a definitive agreement to merge, subject to regulatory approvals and other closing conditions, and we cannot predict all possible outcomes resulting from the proposed merger, or from other current and potential customer consolidation activities. Revenue from individual customers may fluctuate from time to time based on the commencement, scope and completion of projects or other engagements, the timing and magnitude of which may be affected by market or other conditions.</w:t>
      </w:r>
    </w:p>
    <w:p>
      <w:pPr>
        <w:spacing w:after="0" w:line="183"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for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seek to acquire companies or technologies and cannot assure you that these acquisitions will enhance our products and services or strengthen our competitive position, and they may adversely affect our results of operations.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It is a part of our business strategy to pursue acquisitions and other initiatives in order to offer new products or services or otherwise enhance our market position or strategic strengths. Consistent with this strategy, in recent years we have completed numerous acquisitions and we are actively evaluating potential acquisition opportunities, some of which could be significant, stand alone or in the aggregate. In the future, we intend to continue to pursue acquisitions of other companies, products, services and technologies that we believe will advance our business strategy. However, we may not be able to identify suitable future acquisition candidates, consummate acquisitions on favorable terms or complete otherwise favorable acquisitions because of antitrust, regulatory or other concerns.</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cannot assure you that the acquisitions we have completed, or any future acquisitions that we may make, will enhance our products and services or strengthen our competitive position. Due to the multiple risks and difficulties associated with any acquisition, there can be no assurance that we will be successful in achieving our expected strategic, operating, and financial goals for any such acquisition.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successful in the integration of our acquisitions.</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We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275"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16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may face difficulties identifying and hiring qualified personnel and in particular, we may face difficulties in our ability to attract and retain employees with technical and project management skills, including those from developing countries.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operations, meet our commitments and compete for new customer contracts. In particular, wage costs in lower-cost markets where we have historically added personnel, such as India, are increasing and we may need to increase the levels of our employee compensation more rapidly than in the past to remain competitive.</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a result of our entry into new domains, we now compete for high quality employees in those domains’ limited and competitive talent market. In addition, cost containment measures effected in recent years, such as the relocation of projects to lower-costs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19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addition, a national union and a group of our employees had attempted in the past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in Israel or elsewhere would have an adverse effect on our business, operations or financial condition. Our continued growth and success will also depend upon the continued active participation of a relatively small group of senior management personnel, and requires us to hire, retain and develop our leadership bench. If we are unable to attract and retain talented, highly qualified senior management and other key executives, as well as provide for the succession of senior management, our growth and results of operations may be adversely impacted.</w:t>
      </w:r>
    </w:p>
    <w:p>
      <w:pPr>
        <w:spacing w:after="0" w:line="290" w:lineRule="exact"/>
        <w:rPr>
          <w:sz w:val="20"/>
          <w:szCs w:val="20"/>
          <w:color w:val="auto"/>
        </w:rPr>
      </w:pPr>
    </w:p>
    <w:p>
      <w:pPr>
        <w:ind w:left="420" w:right="4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At times, we have experienced fluctuations in our quarterly operating results and anticipate that such movements may continue to occur.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Fluctuations may result from many factors, including:</w:t>
      </w:r>
    </w:p>
    <w:p>
      <w:pPr>
        <w:spacing w:after="0" w:line="116"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size, timing and pace of progress of significant customer projects license and service fees, and sales of partners software and hardware,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and activities by customers,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penetration of new markets, regions, customers and domains,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225"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Generally, our revenue relating to software licenses that require significant customization, modification, implementation and integration is satisfied over time as work progresses. Given our reliance on a limited number of significant customers, our quarterly results may be significantly affected by the size and timing of customer projects and our progress in completing such projects.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that the placement of customer orders may be concentrated in specific quarterly periods due to the time requirements and budgetary constraints of our customers. Although we recognize a significant portion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95"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300" w:lineRule="exact"/>
        <w:rPr>
          <w:sz w:val="20"/>
          <w:szCs w:val="20"/>
          <w:color w:val="auto"/>
        </w:rPr>
      </w:pPr>
    </w:p>
    <w:p>
      <w:pPr>
        <w:ind w:left="420" w:right="80"/>
        <w:spacing w:after="0" w:line="308" w:lineRule="auto"/>
        <w:rPr>
          <w:sz w:val="20"/>
          <w:szCs w:val="20"/>
          <w:color w:val="auto"/>
        </w:rPr>
      </w:pPr>
      <w:r>
        <w:rPr>
          <w:rFonts w:ascii="Arial" w:cs="Arial" w:eastAsia="Arial" w:hAnsi="Arial"/>
          <w:sz w:val="17"/>
          <w:szCs w:val="17"/>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3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Acquisitions, organic growth and absorption of significant numbers of customers’ employees in connection with managed services projects have, from time to time, increased our headcount. During periods of expansion, we may need to serve several new customers or implement several new large-scale projects in short periods of time. This may require us to attract and train additional IT professionals at a rapid rate, as well as quickly expand our facilities, which we may have difficulties doing successfully.</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Our cash, cash equivalents and short-term interest-bearing investments totaled $472 million, as of September 30, 2019. Our short-term investments, if applicable, generally consist primarily of bank deposits, corporate bonds, money market funds, U.S. government treasuries, and U.S. agency securities. Although we believe that we generally adhere to conservative investment guidelines, adverse market conditions have resulted in immaterial impairments of the carrying value 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adverse business conditions.</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may degrade the creditworthiness of our customers over time, and we can be adversely affected by bankruptcies or other business failures.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international presence exposes us to risks associated with varied and changing political, cultural, legal and economic conditions worldwide.</w:t>
      </w:r>
    </w:p>
    <w:p>
      <w:pPr>
        <w:spacing w:after="0" w:line="15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Israel, Latin America, Africa and the Asia-Pacific region. Although a substantial majority of our revenue is derived from customers in North America, we obtain 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Russia and other members of the Commonwealth of Independent States, India and Southeast Asia. Conducting business internationally exposes us to certain risks inherent in doing business in numerous markets, including:</w:t>
      </w:r>
    </w:p>
    <w:p>
      <w:pPr>
        <w:spacing w:after="0" w:line="83"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acceptance of non-localized products or services and other related services,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collecting accounts receivable, converting local currencies or withholding taxes,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restrictions that limit the repatriation of earnings,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 complying with complex foreign and U.S. laws and regulations, including communication, trade sanctions, export controls, and privacy regulations,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instability and threats of terrorism,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hyper inflation,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on the transfer of funds to and from foreign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well-established or reliable legal systems in some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effective income tax rates and tax policies among countries where we conduct business;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manner of the United Kingdom exiting the European Union, as and when it occurs.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One or more of these factors could have a material adverse effect on our operations, which could harm our results of operations and financial condition.</w:t>
      </w:r>
    </w:p>
    <w:p>
      <w:pPr>
        <w:spacing w:after="0" w:line="17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the ability of foreign nationals to work in the United States, Europe and other regions in which we have customers depends on their and our ability to obtain the necessary visas and work permits for our personnel who need to travel internationally. If we are unable to obtain such visas or work permits, or if their issuance is delayed or if their length is shortened, this may impact our ability to provide services to our customers in a timely and cost-effective manner. Immigration and work permit laws and regulations in the countries in which we have customers are subject to legislative and administrative changes as well as changes in the application of standards and enforcement.</w:t>
      </w:r>
    </w:p>
    <w:p>
      <w:pPr>
        <w:spacing w:after="0" w:line="28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As we continue our efforts to expand our business internationally, including in emerging markets such as those in Latin America, Africa, Russia and other members of the Commonwealth of Independent States, India and Southeast Asia,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lack of due process,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291" w:lineRule="exact"/>
        <w:rPr>
          <w:sz w:val="20"/>
          <w:szCs w:val="20"/>
          <w:color w:val="auto"/>
        </w:rPr>
      </w:pPr>
    </w:p>
    <w:p>
      <w:pPr>
        <w:ind w:left="420" w:right="28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associated with fluctuations in foreign currency exchange rates that could adversely affect our business.</w:t>
      </w:r>
    </w:p>
    <w:p>
      <w:pPr>
        <w:spacing w:after="0" w:line="6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 each of which could have a material adverse effect on our results of operations and financial condition.</w:t>
      </w:r>
    </w:p>
    <w:p>
      <w:pPr>
        <w:spacing w:after="0" w:line="165"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For example, during the height of the financial crisis in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 should significant increases in volatility in foreign exchange markets occur.</w:t>
      </w:r>
    </w:p>
    <w:p>
      <w:pPr>
        <w:spacing w:after="0" w:line="17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hedging is prohibitively expensive. We cannot assure you that we will be able to effectively limit all of our exposure to currency exchange rate fluctuations.</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Of the development centers we maintain worldwide, two of our largest development centers are located in Israel and India. In Israel, the centers are located in several different sites, and approximately 20% of our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17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Conflicts in North Africa and the Middle East, including in Egypt and Syria which border Israel, have resulted in continued political uncertainty and violence in the region. Relations between Israel and Iran continue to be seriously strained, especially with regard to Iran’s nuclear program. In addition, efforts to improve Israel’s relationship with the Palestinian Authority have failed to result in a permanent solution, and there have been numerous periods of hostility in recent years. Further deterioration of relations with the Palestinian Authority or other countries in the Middle East might require increased military reserve service by some of our workforce, which may have a material adverse effect on our business.</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Terrorist activity in India and Pakistan has contributed to tensions between those countries and our operations in India may be adversely affected by future political and other events in the region.</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our business may be harmed.</w:t>
      </w:r>
    </w:p>
    <w:p>
      <w:pPr>
        <w:spacing w:after="0" w:line="11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166"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steps we have taken to protect our proprietary rights may be inadequate. If so, we might not be able to prevent others from using what we regard as our technology to compete with us. Existing trade secret, copyright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and trademark laws offer only limited protection. In addition, the laws of some foreign countries do not protect our proprietary technology or allow enforcement of confidentiality covenants to the same extent as the laws of the United States.</w:t>
      </w:r>
    </w:p>
    <w:p>
      <w:pPr>
        <w:spacing w:after="0" w:line="17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If we have to resort to legal proceedings to enforce our intellectual property rights, the proceedings could be burdensome, protracted and expensive and could involve a high degree of risk.</w:t>
      </w:r>
    </w:p>
    <w:p>
      <w:pPr>
        <w:spacing w:after="0" w:line="279" w:lineRule="exact"/>
        <w:rPr>
          <w:sz w:val="20"/>
          <w:szCs w:val="20"/>
          <w:color w:val="auto"/>
        </w:rPr>
      </w:pPr>
    </w:p>
    <w:p>
      <w:pPr>
        <w:ind w:left="420" w:right="92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and trade secrets could harm our business and subject us to potentially burdensome litigation.</w:t>
      </w:r>
    </w:p>
    <w:p>
      <w:pPr>
        <w:spacing w:after="0" w:line="62"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18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For example, during fiscal year 2019 we paid the settlement amount of $50 million and $5 million in legal and other fees which were accrued as of September 2018, in connection with a lawsuit against certain of our subsidiaries alleging breach of contract and trade secret misappropriation. See “Legal Proceedings” for further details. We also support service providers and media companies with respect to digital content services, which could subject us to claims related to such services. Our entry into the digital content services market has also subjected us to possible claims of infringement of the ownership rights to media content, for example, as well as to direct legal claims from retail consumers arising from the delivery of such services.</w:t>
      </w:r>
    </w:p>
    <w:p>
      <w:pPr>
        <w:spacing w:after="0" w:line="16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Product defects, software errors, or service failures could adversely affect our business.</w:t>
      </w:r>
    </w:p>
    <w:p>
      <w:pPr>
        <w:spacing w:after="0" w:line="117"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services and subject us to possible litigation.</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 In addition, generally open source software licenses do not contain any warranties and may not have available support from the authors or third parties from whom we license it from. If such open source software contains prior defects, security vulnerabilities or infringes any third party right or we are unable to obtain or provide necessary support, we could be exposed to legal claims and significant legal expenses without the ability to seek contribution from the authors or third parties from whom we license open source software.</w:t>
      </w:r>
    </w:p>
    <w:p>
      <w:pPr>
        <w:spacing w:after="0" w:line="280" w:lineRule="exact"/>
        <w:rPr>
          <w:sz w:val="20"/>
          <w:szCs w:val="20"/>
          <w:color w:val="auto"/>
        </w:rPr>
      </w:pPr>
    </w:p>
    <w:p>
      <w:pPr>
        <w:ind w:left="420" w:right="320"/>
        <w:spacing w:after="0" w:line="277" w:lineRule="auto"/>
        <w:rPr>
          <w:sz w:val="20"/>
          <w:szCs w:val="20"/>
          <w:color w:val="auto"/>
        </w:rPr>
      </w:pPr>
      <w:r>
        <w:rPr>
          <w:rFonts w:ascii="Arial" w:cs="Arial" w:eastAsia="Arial" w:hAnsi="Arial"/>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62" w:lineRule="exact"/>
        <w:rPr>
          <w:sz w:val="20"/>
          <w:szCs w:val="20"/>
          <w:color w:val="auto"/>
        </w:rPr>
      </w:pPr>
    </w:p>
    <w:p>
      <w:pPr>
        <w:jc w:val="both"/>
        <w:ind w:left="200" w:right="360" w:firstLine="441"/>
        <w:spacing w:after="0" w:line="342"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124"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ability to serve our customers depends on our ability to protect our systems and infrastructure against damage from fire, power loss, water damage, telecommunications and technology failure, cyber-attacks, earthquake, severe weather conditions, terrorist attacks, vandalism and other similar unexpected adverse events. We also depend on various cloud providers and co-location datacenter providers which provide us environments, tools and applications on which we provide our products. Although we maintain insurance that we believe is appropriate for our business and industry, such coverage may not be sufficient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20" w:right="180"/>
        <w:spacing w:after="0" w:line="375" w:lineRule="auto"/>
        <w:rPr>
          <w:sz w:val="20"/>
          <w:szCs w:val="20"/>
          <w:color w:val="auto"/>
        </w:rPr>
      </w:pPr>
      <w:r>
        <w:rPr>
          <w:rFonts w:ascii="Arial" w:cs="Arial" w:eastAsia="Arial" w:hAnsi="Arial"/>
          <w:sz w:val="15"/>
          <w:szCs w:val="15"/>
          <w:b w:val="1"/>
          <w:bCs w:val="1"/>
          <w:i w:val="1"/>
          <w:iCs w:val="1"/>
          <w:color w:val="auto"/>
        </w:rPr>
        <w:t>Changes in the tax legislation policies and regulations imposed by the jurisdictions in which we operate, the termination or reduction of certain government programs and tax benefits, or challenges by tax authorities of our tax positions could adversely affect our overall effective tax rate.</w:t>
      </w:r>
    </w:p>
    <w:p>
      <w:pPr>
        <w:spacing w:after="0" w:line="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There can be no assurance that our effective tax rate of 15.6% for the year ended September 30, 2019 will not change over time as a result of changes in corporate income tax rates or other changes in the tax laws of Guernsey, the jurisdiction in which our holding company is organized, or of the various countries in which we operate. Any changes in tax laws could have an adverse impact on our financial results.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example, there is growing pressure in many jurisdictions and from multinational organizations such as the Organization for Economic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Cooperation and Development (OECD) and the EU to amend existing international taxation rules in order to align the tax regimes with current global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business practices. Specifically, in October 2015, the OECD published its final package of measures for reform of the international tax rules as a product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its Base Erosion and Profit Shifting (BEPS) initiative, which was endorsed by the G20 finance ministers. Many of the initiatives in the BEPS package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required and resulted in specific amendments to the domestic tax legislation of various jurisdictions and to existing tax treaties. We continuously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monitor these developments. Although many of the BEPS measures have already been implemented or are currently being implemented globally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(including, in certain cases, through adoption of the OECD’s ‘multilateral convention’ to effect changes to tax treaties which entered into force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July 1, 2018 and through the European Union’s ‘Anti Tax Avoidance’ Directives), it is still difficult in some cases to assess to what extent these changes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would impact our tax liabilities in the jurisdictions in which we conduct our business or to what extent they may impact the way in which we conduct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business or our effective tax rate due to the unpredictability and interdependency of these potential changes. Further, in January 2019 the OECD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announced further work in continuation of the BEPS project, focusing on two ‘pillars’. The first ‘pillar’ attempts to reach an international consensus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allocation of international taxing rights in light of the challenges posed by the digitization of the economy. The second ‘pillar’ will focus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remaining BEPS issues. Given these developments, it is generally expected that tax authorities in various jurisdictions in which we operate might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increase their audit activity and might seek to challenge some of the tax positions we have adopted. It is difficult to assess if and to what extent such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challenges, if raised, might impact our effective tax rate. In addition, following the screening by the EU Code of Conduct Group on Business Taxation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(“COCG”) of third country jurisdictions to assess their compliance for tax purposes, Guernsey was found to be a co-operative jurisdiction. However,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COCG has requested that Guernsey, along with a number of other jurisdictions, take further steps to ensure that its tax system does not facilitate offshore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structures which attract profits without real economic activity. Legislation introducing economic substance requirements for companies in the Crown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Dependencies was approved by the respective parliaments in December 2018. The legislation applies to all companies resident for tax purposes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Crown Dependencies and is effective for accounting periods commencing on or after January 1, 2019. The regulations require companies to demonstrate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that they have sufficient substance in Guernsey via a series of requirements, or tests. Amdocs is monitoring the developments closely to ensure that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 is compliant with the various requirements.</w:t>
      </w:r>
    </w:p>
    <w:p>
      <w:pPr>
        <w:spacing w:after="0" w:line="211"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Further, the recently enacted U.S. Tax Cuts and Jobs Act of 2017 (the Tax Act) significantly changed how corporations are taxed in the United States. The application of the Tax Act is subject to certain uncertainties. The Tax Act includes certain provisions that may increase our overall tax liabilities. Certain provisions of the Tax Act have applied to us from fiscal year 2018, while other provisions of the Tax Act have become applicable to us from our fiscal year 2019. We have implemented certain steps to optimize our global tax structure, but there can be no assurance that our global tax liabilities would not increase as a result of the Tax Act. In addition, due to the uncertainty involved in applying certain provisions of the Tax Act to our group, we made reasonable estimates for the effects on our financial statements. The U.S. Treasury Department, the Internal Revenue Service and other standards-setting bodies may issue guidance on how the provisions of the Tax Act will be applied that is different from our interpretation. The Tax Act requires complex computations not previously required or produced, and significant judgments and assumptions in the interpretation of the law were made in producing our provisional estimates. As we continue our analyses, and interpret any additional guidance, we may adjust the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provisional amounts we have recorded, and those adjustments may materially impact our provision for income taxes in the period in which the adjustments are made.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76" w:lineRule="exact"/>
        <w:rPr>
          <w:sz w:val="20"/>
          <w:szCs w:val="20"/>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any of our key customers,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introductions of new products and services or new pricing policies by us or our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trends in the communications, media or software industries, including industry consolidation,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estimates of our performance or recommendations by financial analysts, institutions and other market professionals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 Our registered office is Hirzel House, Smith Street, St. Peter Port, Guernsey, GY1 2NG, and the telephone number at that location is +44-1481-728444.</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24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Our subsidiaries are organized under and subject to the laws of several countries. Our principal operating subsidiaries are in Canada, Cyprus, India, Ireland, Israel, Switzerland, the United Kingdom and the United States. Please see Exhibit 8 to this Annual Report on Form 20-F for a listing of our significant subsidiaries.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part of our strategy, we have pursued and may continue to pursue acquisitions and other initiatives in order to offer new products or services or otherwise enhance our market position or strategic strengths. In recent years, we have completed numerous acquisitions, which, among other things, have expanded our business into digital commerce solutions and other digital offerings, software design and development and the media and entertainment domain. In January 2016, we acquired cVidya Networks, Inc., a vendor of revenue assurance and fraud management solutions, which adds to our capabilities in the area of revenue guard and fraud management. Additionally, in September 2016, we acquired Vindicia, Inc., a software-as-a-service subscription management and payment solution provider, BriteBill Group Limited, a provider of personalized digital interactive billing services and Pontis, Inc., a provider of contextual digital engagement solutions, enabling us to expand our digital offerings. In July 2017, we acquired Kenzan Media, LLC, a software engineering services company that provides customized, end-to-end solutions focusing on digital transformation, and platform-as-a-service and cloud-native application development using DevOps and microservices. In November 2017, we acquired projekt202, a leader in experience-driven software design and development. In February 2018, we acquired Vubiquity, a leading provider of premium digital content services and technology solutions, in order to further expand our capabilities in the world of media and entertainment which is increasingly converging with our traditional domain of communications. Also in February 2018, we acquired UXP Systems, a leader in user lifecycle management, to enhance our capabilities around digital identity, user entitlements, personalization, and privacy, including consent management. In August 2019, we acquired TTS Wireless, a provider of mobile network engineering services, specializing in network optimization and planning, to further expand our 5G capabilities and help operators accelerate and simplify deployment of 5G networks with comprehensive network rollout solutions.</w:t>
      </w:r>
    </w:p>
    <w:p>
      <w:pPr>
        <w:spacing w:after="0" w:line="169"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As the result of our organic growth and acquisitions, our workforce has increased over the last three years from an approximate average workforce of 24,237 in fiscal 2017 to 24,516 in fiscal 2019. In the past, our workforce has fluctuated with changes in business conditions.</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principal capital expenditures for fiscal 2019 and 2018 have been for computer equipment in our operating facilities and development centers, for which we spent approximately $110 million and $118 million, respectively and the development of our new campus in Israel for which we spent approximately $7 million (which is net of proceed of $9.7 million relating to refund of betterment levy) and $96 million, respectively. In 2017, our principal capital expenditures have been for computer equipment in our operating facilities and development centers, for which we spent approximately $114 million.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Amdocs is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Sprint, Telefonica, Telstra, T-Mobile and Vodafone), as well as cable and satellite providers (including Altice USA, Charter, Comcast, DISH, J:COM, Rogers Communications and Sky), small to midsized communications businesses and mobile virtual network enablers/mobile virtual network operators and directory publishers and other providers of media and other services. Amdocs also has technology and distribution ties to more than 600 content creators to bring premium content to over 1,000 video distributors worldwide, including Verizon, Turner and Warner Bros.</w:t>
      </w:r>
    </w:p>
    <w:p>
      <w:pPr>
        <w:spacing w:after="0" w:line="18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Our software and services, which we develop, implement and manage, are designed to meet the business imperatives of our customers. Our offerings are based on a product and services mix, using technologies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methodologies such as cloud, microservices, DevOps, open source, bimodal operations, Site Reliability Engineering (SRE) and increasing amounts of automation through standard information technology (IT) tools, open APIs and artificial intelligence. As a result, our offerings enable service providers to efficiently and cost-effectively introduce new products and services, process orders, monetize data and content, support new business models and generally enhance their understanding of their customers. Our technology, design-led thinking approach and expertise help service providers to further transform into digital service providers, enhance their entertainment offerings, and serve their customers across all channels. In order to fulfill our responsibilities to our customers, we sometimes engage third-party vendors and system integrators providing complementary products and services, including hardware and software.</w:t>
      </w:r>
    </w:p>
    <w:p>
      <w:pPr>
        <w:spacing w:after="0" w:line="189"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We are able to offer customers superior products and services on a worldwide basis,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9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believe the demand for our solutions is driven by our clients continued transformation into digital service providers to provide wireless access services, content and applications (apps) on any device through digital and non-digital channels. It is also driven by the trend towards integrated service offerings which we believe is leading to increased merger and acquisition activity among our customers who then require systems consolidation, which we provide, to ensure a consistent customer experience at all touchpoints. Our solutions enable service providers to help their consumer and enterprise and business-to-business (B2B) customers navigate the increasing number of devices, services, partner services and plans available in today’s digital world and the need of service providers to cope with the rapidly growing demand for content and data that these devices and services create, as well as to compete with over-the-top (OTT)-focused players.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6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invest time and resources to identify and address cybersecurity risks, including risks that our customers face with regard to our systems, products or services. We have established policies and procedures, based on industry best practices, to protect the integrity and security of our products and services. We work with our customers and use overlapping controls to defend against cybersecurity attacks and threats on networks, end-user devices, servers, applications, data and our cloud solutions. In addition, we utilize a combination of educational tools to foster a culture of security awareness and responsibility among our workforce.</w:t>
      </w:r>
    </w:p>
    <w:p>
      <w:pPr>
        <w:spacing w:after="0" w:line="18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addition to the business value we provide to our customers, we also aim to create value for society: we believe we are a leading provider of sustainable products and services. For example, our network functions virtualization and orchestration solutions are designed to help service providers shift away from costly, space and energy-consuming hardware components, by delivering software-driven capabilities; our mobile financial services solutions are designed to help the unbanked and underbanked to manage their finances, transfer money, shop, buy and pay bills using just their phone, and our eSIM platform enables service providers and users to simply and digitally activate connected devices without the production, transportation and manual processes associated with traditional connectivity. We also take consumer privacy and security seriously and have made it a priority to address the impact of our products and services on both, in order to meet consumer expectations, as well as regulatory demands.</w:t>
      </w:r>
    </w:p>
    <w:p>
      <w:pPr>
        <w:spacing w:after="0" w:line="16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service providers will maintain a strong focus on growing new revenue streams, cost reduction and driving more efficient operations, and that the trends of ongoing digital transformation, network virtualization, and consolidation within the industry will continue. This is due to service providers seeking to become full-service integrated carriers, providing their customers with a rich portfolio of offerings including core communications; media, advertising and entertainment; enterprise enablement; Internet of Things (IoT) and digital lifestyle services. The smartphone and associated communications and entertainment apps, other connected devices such as tablets, e-readers, wearables, and improvements in IoT technology continue to drive unprecedented growth in the demand for multi-modal customer engagement capabilities and data. In response to the demand for digital experiences, service providers are continuing to focus on providing digital services, as well as enriching their offerings with integrated partner services. Service providers are also beginning to introduce 5G, investing in their networks, and virtualizing them, to meet the demand for increased bandwidth, faster pace of innovation for new digital services, as well as to improve their business and operational agility and optimize and monetize their investments in such services.</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OTT-focused players and device manufacturers continue to penetrate the communications market and are also competing for customer attention in the entertainment market, while traditional content creators are looking to stream their content direct-to-consumer (D2C). Additionally, social networks such as Facebook and Twitter, alongside OTT-focused players such as Snapchat and WhatsApp, have become widely-accepted alternatives to traditional voice communications and are also providing video streaming services. To meet the challenges from new competitors, service providers are developing cooperative partnerships with OTT-focused players to improve the customer experience as well as vertically integrating with content creators. Pay TV providers are moving toward more OTT and on-demand video services in their need to respond to customers’ on-demand experience expectations. As the business-to-consumer (B2C) domain is crowded with disruptors and heightened competition from OTT players, service providers are also looking to strengthen their standing with enterprise customers, explore new opportunities in the wholesale market and provide IoT services to new vertical market segments, such as the home, health and automotive industries.</w:t>
      </w:r>
    </w:p>
    <w:p>
      <w:pPr>
        <w:spacing w:after="0" w:line="18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To capture new revenue streams, service providers are expanding within existing and non-traditional business models and deploying new network technologies such as 5G. We believe service providers will continue to place an emphasis on network virtualization and on modernization and transformation projects for their networks and operational and business systems as they seek to offer innovative new services for both enterprise customers and individual consumers and monetize these new capabilities.</w:t>
      </w:r>
    </w:p>
    <w:p>
      <w:pPr>
        <w:spacing w:after="0" w:line="18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Our goal is to provide software and services solutions and support to communications and media companies of all sizes as they strive to deliver digital engagements and remain competitive. We seek to accomplish our goal by pursuing the strategies described below.</w:t>
      </w:r>
    </w:p>
    <w:p>
      <w:pPr>
        <w:spacing w:after="0" w:line="52" w:lineRule="exact"/>
        <w:rPr>
          <w:sz w:val="20"/>
          <w:szCs w:val="20"/>
          <w:color w:val="auto"/>
        </w:rPr>
      </w:pPr>
    </w:p>
    <w:p>
      <w:pPr>
        <w:ind w:left="1180" w:right="60" w:hanging="436"/>
        <w:spacing w:after="0" w:line="255"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Focus on the Communications and Media Industry</w:t>
      </w:r>
      <w:r>
        <w:rPr>
          <w:rFonts w:ascii="Arial" w:cs="Arial" w:eastAsia="Arial" w:hAnsi="Arial"/>
          <w:sz w:val="18"/>
          <w:szCs w:val="18"/>
          <w:color w:val="auto"/>
        </w:rPr>
        <w:t>. We focus our resources and efforts primarily on providing customer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service providers in the communications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solutions required by the leading wireless, wireline, broadband, cable and satellite companies as well as provide targeted point solutions for service providers of all sizes. These strengths have enabled us to diversify our customer base and expand our offering domains and may continue to provide us with opportunities to expand within other vertical segment markets.</w:t>
      </w:r>
    </w:p>
    <w:p>
      <w:pPr>
        <w:spacing w:after="0" w:line="94" w:lineRule="exact"/>
        <w:rPr>
          <w:rFonts w:ascii="Arial" w:cs="Arial" w:eastAsia="Arial" w:hAnsi="Arial"/>
          <w:sz w:val="18"/>
          <w:szCs w:val="18"/>
          <w:color w:val="auto"/>
        </w:rPr>
      </w:pPr>
    </w:p>
    <w:p>
      <w:pPr>
        <w:jc w:val="both"/>
        <w:ind w:left="1180" w:right="480" w:hanging="436"/>
        <w:spacing w:after="0" w:line="264"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Target Industry Leaders</w:t>
      </w:r>
      <w:r>
        <w:rPr>
          <w:rFonts w:ascii="Arial" w:cs="Arial" w:eastAsia="Arial" w:hAnsi="Arial"/>
          <w:sz w:val="18"/>
          <w:szCs w:val="18"/>
          <w:color w:val="auto"/>
        </w:rPr>
        <w:t>. We intend to continue to direct our marketing efforts primarily toward communications and media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leaders and contenders. By targeting such leading service providers, which require the most sophisticated and relevant solutions, we believe that we are better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77" w:lineRule="auto"/>
        <w:rPr>
          <w:sz w:val="20"/>
          <w:szCs w:val="20"/>
          <w:color w:val="auto"/>
        </w:rPr>
      </w:pPr>
      <w:r>
        <w:rPr>
          <w:rFonts w:ascii="Arial" w:cs="Arial" w:eastAsia="Arial" w:hAnsi="Arial"/>
          <w:sz w:val="18"/>
          <w:szCs w:val="18"/>
          <w:color w:val="auto"/>
        </w:rPr>
        <w:t>able to remain at the forefront of developments in the industry. We believe that the development of this customer base has helped position us as a market leader.</w:t>
      </w:r>
    </w:p>
    <w:p>
      <w:pPr>
        <w:spacing w:after="0" w:line="76" w:lineRule="exact"/>
        <w:rPr>
          <w:sz w:val="20"/>
          <w:szCs w:val="20"/>
          <w:color w:val="auto"/>
        </w:rPr>
      </w:pPr>
    </w:p>
    <w:p>
      <w:pPr>
        <w:ind w:left="1180" w:right="60" w:hanging="436"/>
        <w:spacing w:after="0" w:line="287" w:lineRule="auto"/>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Continued Expansion into New Geographies and Emerging Markets. </w:t>
      </w:r>
      <w:r>
        <w:rPr>
          <w:rFonts w:ascii="Arial" w:cs="Arial" w:eastAsia="Arial" w:hAnsi="Arial"/>
          <w:sz w:val="16"/>
          <w:szCs w:val="16"/>
          <w:color w:val="auto"/>
        </w:rPr>
        <w:t>We seek to grow our customer base by expanding into new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inside the regions we currently serve and serving the needs of service providers operating in emerging markets. While we have a strong presence overall in developed markets such as Europe, there are countries in which we believe we can further expand our presence. In fiscal 2019, for example, we succeeded in growing our activities in the Italian market. We are also in the Russian market and expanding our presence in other geographies such as Africa. In emerging markets, prepaid subscriber growth remains high and average revenue per user remains relatively low in comparison to more developed markets. In order to increase subscriber revenue, service providers are focusing on customer experience and on increasing capacity, particularly for data and content offerings,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and providing content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74" w:lineRule="exact"/>
        <w:rPr>
          <w:rFonts w:ascii="Arial" w:cs="Arial" w:eastAsia="Arial" w:hAnsi="Arial"/>
          <w:sz w:val="16"/>
          <w:szCs w:val="16"/>
          <w:color w:val="auto"/>
        </w:rPr>
      </w:pPr>
    </w:p>
    <w:p>
      <w:pPr>
        <w:ind w:left="1180" w:right="60" w:hanging="436"/>
        <w:spacing w:after="0" w:line="253"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Provide Customers with an Open and Dynamic Portfolio. </w:t>
      </w:r>
      <w:r>
        <w:rPr>
          <w:rFonts w:ascii="Arial" w:cs="Arial" w:eastAsia="Arial" w:hAnsi="Arial"/>
          <w:sz w:val="18"/>
          <w:szCs w:val="18"/>
          <w:color w:val="auto"/>
        </w:rPr>
        <w:t>With amdocsONE, we seek to provide our customers with an open and dynamic</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available on an open, modular, cloud-native architecture and deployed using best practice DevOps to help them deliver a customer experience that is simple, personal and valuable at every point of service. We provide solutions across digital business systems and legacy business and operational support systems (BSS/OSS) and network domains and multiple lines of business, including wireline, wireless, broadband, cable, satellite services and digital services. Integration of our systems is achieved through a central, cloud-native catalog, built on an open, API-first and microservices-based approach to enable third-party integration. We believe that our ability to provide a broad, open, dynamic and modular portfolio helps position us as a strategic partner for our customers as they continue to transform into digital service providers and provides us with multiple avenues for strengthening and expanding our ongoing customer relationships.</w:t>
      </w:r>
    </w:p>
    <w:p>
      <w:pPr>
        <w:spacing w:after="0" w:line="102" w:lineRule="exact"/>
        <w:rPr>
          <w:rFonts w:ascii="Arial" w:cs="Arial" w:eastAsia="Arial" w:hAnsi="Arial"/>
          <w:sz w:val="18"/>
          <w:szCs w:val="18"/>
          <w:color w:val="auto"/>
        </w:rPr>
      </w:pPr>
    </w:p>
    <w:p>
      <w:pPr>
        <w:ind w:left="1180" w:hanging="436"/>
        <w:spacing w:after="0" w:line="270"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Expand Our Managed Services Capabilities</w:t>
      </w:r>
      <w:r>
        <w:rPr>
          <w:rFonts w:ascii="Arial" w:cs="Arial" w:eastAsia="Arial" w:hAnsi="Arial"/>
          <w:sz w:val="17"/>
          <w:szCs w:val="17"/>
          <w:color w:val="auto"/>
        </w:rPr>
        <w:t>. We seek to assume responsibility for the operation, development and management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Amdocs systems, as well as systems developed by in-house IT departments or by other vendors. Our mandate can extend across the service provider’s entire IT and network environment and encompass key business process operational needs. Many of these projects involve what we call managed transformations: a multi-year project in which we modernize legacy systems while operating them, and then continue to provide managed services once the transformation is complete. Our customers receive predictable service levels based on agreed-upon key performance indicators, as well as improved efficiencies and long-term savings over the day-to-day costs of operating and maintaining these systems, as well as an improved end-user experience, so they can focus on their own internal strengths and strategy to grow their business, leaving system concerns to us. Managed services also benefit us, as they can be a source of predictable revenue and long-term relationships.</w:t>
      </w:r>
    </w:p>
    <w:p>
      <w:pPr>
        <w:spacing w:after="0" w:line="87" w:lineRule="exact"/>
        <w:rPr>
          <w:rFonts w:ascii="Arial" w:cs="Arial" w:eastAsia="Arial" w:hAnsi="Arial"/>
          <w:sz w:val="17"/>
          <w:szCs w:val="17"/>
          <w:color w:val="auto"/>
        </w:rPr>
      </w:pPr>
    </w:p>
    <w:p>
      <w:pPr>
        <w:ind w:left="1180" w:right="20" w:hanging="436"/>
        <w:spacing w:after="0" w:line="291" w:lineRule="auto"/>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Develop and Maintain Long-Term Customer Relationships</w:t>
      </w:r>
      <w:r>
        <w:rPr>
          <w:rFonts w:ascii="Arial" w:cs="Arial" w:eastAsia="Arial" w:hAnsi="Arial"/>
          <w:sz w:val="16"/>
          <w:szCs w:val="16"/>
          <w:color w:val="auto"/>
        </w:rPr>
        <w:t>. We seek to develop and maintain long-term, mutually beneficial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customers, and have organized our internal operations to better anticipate and respond to our customers’ needs. We believe these relationships can lead to additional product and services sales, including products and services from recent acquisitions which have expanded our offering, as well as ongoing, long-term support, system enhancement, modernization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amdocsONE</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the second quarter of fiscal 2018, we relaunched our business offerings as amdocsONE. amdocsONE is designed to meet the challenges facing our customers as they transform into digital service providers within the framework of a hybrid IT environment, which requires them to rapidly introduce new cloud-native applications while still operating legacy systems. It enables modular expansion as a service provider evolves, ensuring low-cost and reduced-risk implementations, while its microservices-based architecture enables the rapid deployment of complex applications as suites of independently deployable services that can be frequently upgraded via DevOps. With amdocsONE’s modular structure, our customers have the flexibility to choose business offerings that address their specific needs and improve their time to market. In the third quarter of fiscal 2019, we released the amdocsONE summer edition, a seasonal update consolidating the latest developments and innovation practices across the various portfolio domains.</w:t>
      </w:r>
    </w:p>
    <w:p>
      <w:pPr>
        <w:spacing w:after="0" w:line="16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As part of amdocsONE, we offer a comprehensive line of services designed to address every stage of a service provider’s lifecycle, from planning, delivery and implementation to ongoing support. Our services include end-to-end systems integration services, managed services, testing (which we refer to as quality engineering), data and intelligence services, cloud services, digital business operations and consulting services. Using artificial intelligence and predictive analytics, as well as automation and machine learning, our managed services enable faster time to market for new services as well as the cost-effective management of existing offerings. Our adoption of SRE methodology helps provide more agile and reliable operations and also includes dedicated tools that automate tasks that would traditionally require various software development skills. Managed services provide multi-year, flexible and tailored managed services across all verticals, managing IT, business processes and applications services, including application development and maintenance, operations, IT and infrastructure hosting, cloud services and legacy modernization. Our professional services are designed to assist customers in the selection, implementation, operation, management, modernization and maintenance of their IT, network and content systems. As a lead systems integrator, we assume end-to-end responsibility to monitor, manage and deploy the overall development and integration activities of Amdocs and third-party vendors throughout the transformation lifecycle and business as usual state.</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Meeting our Customers’ Business Imperatives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amdocsONE consists of a combination of software and services that address service providers’ business and operational needs. Our software and services solutions support the full span of the customer relationship.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key service provider business imperatives addressed by amdocsONE are:</w:t>
      </w:r>
    </w:p>
    <w:p>
      <w:pPr>
        <w:spacing w:after="0" w:line="131" w:lineRule="exact"/>
        <w:rPr>
          <w:sz w:val="20"/>
          <w:szCs w:val="20"/>
          <w:color w:val="auto"/>
        </w:rPr>
      </w:pPr>
    </w:p>
    <w:p>
      <w:pPr>
        <w:ind w:left="1180" w:right="40" w:hanging="436"/>
        <w:spacing w:after="0" w:line="293" w:lineRule="auto"/>
        <w:tabs>
          <w:tab w:leader="none" w:pos="11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Consumer experience and monetization: </w:t>
      </w:r>
      <w:r>
        <w:rPr>
          <w:rFonts w:ascii="Arial" w:cs="Arial" w:eastAsia="Arial" w:hAnsi="Arial"/>
          <w:sz w:val="16"/>
          <w:szCs w:val="16"/>
          <w:color w:val="auto"/>
        </w:rPr>
        <w:t>Our cloud-native modular solutions are designed to address service providers’ need to</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differentiate in a hyper-competitive consumer market, as disruptors continuously emerge, and consumer expectations are ever-changing. We support service providers in their goals to grow loyalty by personalizing care and commerce and to provide a seamless digital experience across all channels. Our digital-native platform is designed to enable service providers to modernize their customer experience and monetization systems on the cloud. Our 5G-ready, cloud-native monetization offerings enable service providers to launch new types of multi-play, multi-partner offers, with the flexible payment methods needed to capture new revenues in the digital economy.</w:t>
      </w:r>
    </w:p>
    <w:p>
      <w:pPr>
        <w:spacing w:after="0" w:line="70" w:lineRule="exact"/>
        <w:rPr>
          <w:rFonts w:ascii="Arial" w:cs="Arial" w:eastAsia="Arial" w:hAnsi="Arial"/>
          <w:sz w:val="16"/>
          <w:szCs w:val="16"/>
          <w:color w:val="auto"/>
        </w:rPr>
      </w:pPr>
    </w:p>
    <w:p>
      <w:pPr>
        <w:ind w:left="1180" w:hanging="436"/>
        <w:spacing w:after="0" w:line="255"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Media and digital services: </w:t>
      </w:r>
      <w:r>
        <w:rPr>
          <w:rFonts w:ascii="Arial" w:cs="Arial" w:eastAsia="Arial" w:hAnsi="Arial"/>
          <w:sz w:val="18"/>
          <w:szCs w:val="18"/>
          <w:color w:val="auto"/>
        </w:rPr>
        <w:t>Our solutions are designed to enable service providers to build rich, premium content offerings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accessing large libraries of premium licensed content, securely processed and distributed across any channel, device type or geography. Through content aggregation, localization and compliance management, metadata creation, encoding, distribution, asset management and delivery, our solutions help service providers and premium content owners monetize content through a variety of commercial models. Our solutions enable service providers to monetize OTT offerings by providing full partner lifecycle management, including onboarding, revenue sharing, settlement and reporting, along with a complete set of subscription and digital identity management capabilities.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436"/>
        <w:spacing w:after="0" w:line="289"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Enterprise and connected society: </w:t>
      </w:r>
      <w:r>
        <w:rPr>
          <w:rFonts w:ascii="Arial" w:cs="Arial" w:eastAsia="Arial" w:hAnsi="Arial"/>
          <w:sz w:val="16"/>
          <w:szCs w:val="16"/>
          <w:color w:val="auto"/>
        </w:rPr>
        <w:t>These offerings allow service providers to drive better experiences across their B2B customer journeys</w:t>
      </w:r>
      <w:r>
        <w:rPr>
          <w:rFonts w:ascii="Arial" w:cs="Arial" w:eastAsia="Arial" w:hAnsi="Arial"/>
          <w:sz w:val="16"/>
          <w:szCs w:val="16"/>
          <w:i w:val="1"/>
          <w:iCs w:val="1"/>
          <w:color w:val="auto"/>
        </w:rPr>
        <w:t xml:space="preserve"> </w:t>
      </w:r>
      <w:r>
        <w:rPr>
          <w:rFonts w:ascii="Arial" w:cs="Arial" w:eastAsia="Arial" w:hAnsi="Arial"/>
          <w:sz w:val="16"/>
          <w:szCs w:val="16"/>
          <w:color w:val="auto"/>
        </w:rPr>
        <w:t>and accelerate growth by offering services beyond connectivity. At the sales phase, our lead-to-order solution facilitates, secures and helps process opportunities into orders. Our configure-price-quote systems supports generating accurate and validated quotes and once the customer order is placed, our zero-touch ordering and fulfillment solutions eliminate manual handling and order fallouts. When the order relates to connectivity, our solutions boost the time to activation – whether for traditional connectivity such as fiber, mobile such as eSIM, or new generation connectivity such as SD-WAN. Our NFV/SDN offering includes a large partner ecosystem of virtual network functions (VNFs) and provides upsell opportunities with services such as security, web filtering or vCPE. Our full business enablement suite for enterprise customers also includes functions such as white-label billing, settlement or partner management as well as a large portfolio of competencies to support migration to cloud-native, microservices-based environments.</w:t>
      </w:r>
    </w:p>
    <w:p>
      <w:pPr>
        <w:spacing w:after="0" w:line="72" w:lineRule="exact"/>
        <w:rPr>
          <w:rFonts w:ascii="Arial" w:cs="Arial" w:eastAsia="Arial" w:hAnsi="Arial"/>
          <w:sz w:val="16"/>
          <w:szCs w:val="16"/>
          <w:color w:val="auto"/>
        </w:rPr>
      </w:pPr>
    </w:p>
    <w:p>
      <w:pPr>
        <w:ind w:left="1180" w:hanging="436"/>
        <w:spacing w:after="0" w:line="286"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Open cloud networks: </w:t>
      </w:r>
      <w:r>
        <w:rPr>
          <w:rFonts w:ascii="Arial" w:cs="Arial" w:eastAsia="Arial" w:hAnsi="Arial"/>
          <w:sz w:val="16"/>
          <w:szCs w:val="16"/>
          <w:color w:val="auto"/>
        </w:rPr>
        <w:t>These offerings comprise standards-based software solutions to enable service lifecycle management across hybrid</w:t>
      </w:r>
      <w:r>
        <w:rPr>
          <w:rFonts w:ascii="Arial" w:cs="Arial" w:eastAsia="Arial" w:hAnsi="Arial"/>
          <w:sz w:val="16"/>
          <w:szCs w:val="16"/>
          <w:i w:val="1"/>
          <w:iCs w:val="1"/>
          <w:color w:val="auto"/>
        </w:rPr>
        <w:t xml:space="preserve"> </w:t>
      </w:r>
      <w:r>
        <w:rPr>
          <w:rFonts w:ascii="Arial" w:cs="Arial" w:eastAsia="Arial" w:hAnsi="Arial"/>
          <w:sz w:val="16"/>
          <w:szCs w:val="16"/>
          <w:color w:val="auto"/>
        </w:rPr>
        <w:t>physical, virtual and cloud networks, allowing service providers to automate network operations and simplify the introduction of NFV and value-added services into existing and next generation networks, including 5G and edge-computing systems. Amdocs NFV powered by ONAP (the Linux Foundation’s Open Network Automation Platform) features software and services capabilities to orchestrate multi-vendor VNFs over virtual infrastructures and public clouds such as Amazon Web Services (AWS) and Microsoft Azure, automating VNF onboarding to enable the design, testing and launching of new network services in weeks rather than months, and supporting a live view of services and resources. The Amdocs Open 5G suite of solutions enables service providers to deploy, manage and monetize 5G networks. We also provide operational support systems for fixed line, broadband, wireless and cable TV networks. The offerings facilitate network operational processes, including network planning and rollout across multiple technologies such as fiber, small cell and LTE, essential for 5G readiness, service fulfillment and assurance, inventory management, order orchestration and activation of new services through automation. Our integrated suite of network optimization software and services is designed to help service providers plan, build, launch, manage and optimize their mobile networks. Vendor and technology agnostic, this offering affords service providers the analytics and services capabilities needed to maximize network investments, accelerate and automate the roll out and upgrade of network technologies, and optimize network performance and capacity.</w:t>
      </w:r>
    </w:p>
    <w:p>
      <w:pPr>
        <w:spacing w:after="0" w:line="77" w:lineRule="exact"/>
        <w:rPr>
          <w:rFonts w:ascii="Arial" w:cs="Arial" w:eastAsia="Arial" w:hAnsi="Arial"/>
          <w:sz w:val="16"/>
          <w:szCs w:val="16"/>
          <w:color w:val="auto"/>
        </w:rPr>
      </w:pPr>
    </w:p>
    <w:p>
      <w:pPr>
        <w:ind w:left="1180" w:right="80" w:hanging="436"/>
        <w:spacing w:after="0" w:line="25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New domains and disruptions: </w:t>
      </w:r>
      <w:r>
        <w:rPr>
          <w:rFonts w:ascii="Arial" w:cs="Arial" w:eastAsia="Arial" w:hAnsi="Arial"/>
          <w:sz w:val="18"/>
          <w:szCs w:val="18"/>
          <w:color w:val="auto"/>
        </w:rPr>
        <w:t>These offerings enable service providers to expand into new domains and disrupt traditional practices. Our</w:t>
      </w:r>
      <w:r>
        <w:rPr>
          <w:rFonts w:ascii="Arial" w:cs="Arial" w:eastAsia="Arial" w:hAnsi="Arial"/>
          <w:sz w:val="18"/>
          <w:szCs w:val="18"/>
          <w:i w:val="1"/>
          <w:iCs w:val="1"/>
          <w:color w:val="auto"/>
        </w:rPr>
        <w:t xml:space="preserve"> </w:t>
      </w:r>
      <w:r>
        <w:rPr>
          <w:rFonts w:ascii="Arial" w:cs="Arial" w:eastAsia="Arial" w:hAnsi="Arial"/>
          <w:sz w:val="18"/>
          <w:szCs w:val="18"/>
          <w:color w:val="auto"/>
        </w:rPr>
        <w:t>eSIM cloud platform enables service providers to launch IoT solutions, while our advanced cyber-security service helps protect and manage enterprises. We also enable innovative commerce and payment solutions with our mobile financial services and help service providers become a truly data-driven organization with offerings for data management, data analytics and customer journey management and recommendations.</w:t>
      </w:r>
    </w:p>
    <w:p>
      <w:pPr>
        <w:spacing w:after="0" w:line="93" w:lineRule="exact"/>
        <w:rPr>
          <w:rFonts w:ascii="Arial" w:cs="Arial" w:eastAsia="Arial" w:hAnsi="Arial"/>
          <w:sz w:val="18"/>
          <w:szCs w:val="18"/>
          <w:color w:val="auto"/>
        </w:rPr>
      </w:pPr>
    </w:p>
    <w:p>
      <w:pPr>
        <w:ind w:left="1180" w:right="100" w:hanging="436"/>
        <w:spacing w:after="0" w:line="293"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Services and hybrid operations: </w:t>
      </w:r>
      <w:r>
        <w:rPr>
          <w:rFonts w:ascii="Arial" w:cs="Arial" w:eastAsia="Arial" w:hAnsi="Arial"/>
          <w:sz w:val="16"/>
          <w:szCs w:val="16"/>
          <w:color w:val="auto"/>
        </w:rPr>
        <w:t>Our solutions are designed to enable service providers to introduce intelligence and automation into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to accelerate innovation, agility and efficiency; optimize data for intelligence-driven analytics; effectively manage multi-dimensional, dynamic hybrid operations; embark on their cloud and IT modernization paths and prevent revenue loss. Using open source, third–party solutions and Amdocs’ unique IP, including tools and methodologies around artificial intelligence, SRE, predictive analytics and machine learning, these services span both Amdocs products and third-party software and can be rapidly deployed through DevOps capabilities and are focused on delivering clear business value as well as reducing costs.</w:t>
      </w:r>
    </w:p>
    <w:p>
      <w:pPr>
        <w:spacing w:after="0" w:line="16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Our broad suite of services, which also form part of amdocsONE, range from advisory services through solution development and business operations to managed services and training, and the extent of services provided varies from customer to customer. Our services engagements can range in size and scope and include advising customers on business and technical strategy, designing and implementing particular business solutions,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managing specific business operations processes, adopting DevOps, migrating applications to the cloud and orchestrating large-scale transformation projects. We also provide end-to-end application development and maintenance, from ideation to deployment, managing all steps of the development lifecycle, supporting bi-modal development methodologies, as well as ongoing maintenance. In addition, we are generally retained by the customer to provide ongoing services, such as maintenance, enhancement design and development and operational support, or to act as a lead systems integrator for post-production activities that may include interfaces with third-party and legacy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key services are:</w:t>
      </w:r>
    </w:p>
    <w:p>
      <w:pPr>
        <w:spacing w:after="0" w:line="131" w:lineRule="exact"/>
        <w:rPr>
          <w:sz w:val="20"/>
          <w:szCs w:val="20"/>
          <w:color w:val="auto"/>
        </w:rPr>
      </w:pPr>
    </w:p>
    <w:p>
      <w:pPr>
        <w:ind w:left="1180" w:right="60" w:hanging="436"/>
        <w:spacing w:after="0" w:line="25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Managed Services </w:t>
      </w:r>
      <w:r>
        <w:rPr>
          <w:rFonts w:ascii="Arial" w:cs="Arial" w:eastAsia="Arial" w:hAnsi="Arial"/>
          <w:sz w:val="18"/>
          <w:szCs w:val="18"/>
          <w:color w:val="auto"/>
        </w:rPr>
        <w:t>— We seek to transform traditional managed services towards autonomous operations, while continuing to manage</w:t>
      </w:r>
      <w:r>
        <w:rPr>
          <w:rFonts w:ascii="Arial" w:cs="Arial" w:eastAsia="Arial" w:hAnsi="Arial"/>
          <w:sz w:val="18"/>
          <w:szCs w:val="18"/>
          <w:i w:val="1"/>
          <w:iCs w:val="1"/>
          <w:color w:val="auto"/>
        </w:rPr>
        <w:t xml:space="preserve"> </w:t>
      </w:r>
      <w:r>
        <w:rPr>
          <w:rFonts w:ascii="Arial" w:cs="Arial" w:eastAsia="Arial" w:hAnsi="Arial"/>
          <w:sz w:val="18"/>
          <w:szCs w:val="18"/>
          <w:color w:val="auto"/>
        </w:rPr>
        <w:t>legacy systems. This includes rapid deployment of new services through DevOps capabilities, modernization of legacy systems, cloud and infrastructure services, while maintaining ongoing IT operations. Using open source, third–party solutions and Amdocs’ unique IP around artificial intelligence, predictive analytics and machine learning, as well as a unique adaptation of SRE methodologies, this suite of services spans both Amdocs products and non-Amdocs, third-party software.</w:t>
      </w:r>
    </w:p>
    <w:p>
      <w:pPr>
        <w:spacing w:after="0" w:line="93" w:lineRule="exact"/>
        <w:rPr>
          <w:rFonts w:ascii="Arial" w:cs="Arial" w:eastAsia="Arial" w:hAnsi="Arial"/>
          <w:sz w:val="18"/>
          <w:szCs w:val="18"/>
          <w:color w:val="auto"/>
        </w:rPr>
      </w:pPr>
    </w:p>
    <w:p>
      <w:pPr>
        <w:ind w:left="1180" w:right="120" w:hanging="436"/>
        <w:spacing w:after="0" w:line="25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Digital Business Operations </w:t>
      </w:r>
      <w:r>
        <w:rPr>
          <w:rFonts w:ascii="Arial" w:cs="Arial" w:eastAsia="Arial" w:hAnsi="Arial"/>
          <w:sz w:val="18"/>
          <w:szCs w:val="18"/>
          <w:color w:val="auto"/>
        </w:rPr>
        <w:t>— We offer a suite of services for automating and digitalizing business operations, including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activation and other business processes. These services combine domain-specific expertise and advanced technologies such as robotic process automation, predictive analytics, machine learning and technology with real-time, end-to-end visibility over any business process regardless of underlying silos. We aim to improve customer experience, decrease handling time, reduce OPEX and shorten time to introduce digital channels and new services.</w:t>
      </w:r>
    </w:p>
    <w:p>
      <w:pPr>
        <w:spacing w:after="0" w:line="93"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Quality Engineering Services </w:t>
      </w:r>
      <w:r>
        <w:rPr>
          <w:rFonts w:ascii="Arial" w:cs="Arial" w:eastAsia="Arial" w:hAnsi="Arial"/>
          <w:sz w:val="18"/>
          <w:szCs w:val="18"/>
          <w:color w:val="auto"/>
        </w:rPr>
        <w:t>— We offer industry-specific quality assurance services, and a global presence, to help our customers reduce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operational costs, enhance innovation and ensure the desired end-user experience, leveraging our advanced automation, intelligence and machine learning tools that form part of our 36ONE platform.</w:t>
      </w:r>
    </w:p>
    <w:p>
      <w:pPr>
        <w:spacing w:after="0" w:line="86" w:lineRule="exact"/>
        <w:rPr>
          <w:rFonts w:ascii="Arial" w:cs="Arial" w:eastAsia="Arial" w:hAnsi="Arial"/>
          <w:sz w:val="18"/>
          <w:szCs w:val="18"/>
          <w:color w:val="auto"/>
        </w:rPr>
      </w:pPr>
    </w:p>
    <w:p>
      <w:pPr>
        <w:ind w:left="1180" w:right="40" w:hanging="436"/>
        <w:spacing w:after="0" w:line="293"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Cloud Services </w:t>
      </w:r>
      <w:r>
        <w:rPr>
          <w:rFonts w:ascii="Arial" w:cs="Arial" w:eastAsia="Arial" w:hAnsi="Arial"/>
          <w:sz w:val="16"/>
          <w:szCs w:val="16"/>
          <w:color w:val="auto"/>
        </w:rPr>
        <w:t>— We provide a set of services to help design, build, implement and manage cloud solutions, including through AWS and</w:t>
      </w:r>
      <w:r>
        <w:rPr>
          <w:rFonts w:ascii="Arial" w:cs="Arial" w:eastAsia="Arial" w:hAnsi="Arial"/>
          <w:sz w:val="16"/>
          <w:szCs w:val="16"/>
          <w:i w:val="1"/>
          <w:iCs w:val="1"/>
          <w:color w:val="auto"/>
        </w:rPr>
        <w:t xml:space="preserve"> </w:t>
      </w:r>
      <w:r>
        <w:rPr>
          <w:rFonts w:ascii="Arial" w:cs="Arial" w:eastAsia="Arial" w:hAnsi="Arial"/>
          <w:sz w:val="16"/>
          <w:szCs w:val="16"/>
          <w:color w:val="auto"/>
        </w:rPr>
        <w:t>Microsoft Azure. These services include cloud consulting, which is primarily delivered by experts from our Kenzan acquisition. Our cloud migration services move applications and IT systems to the cloud, and also implement changes to processes, culture and teams, enabling our customers to leverage the capabilities of the cloud to meet their business goals. With data migration to the cloud, we help improve the accessibility of data to enable faster, timelier AI-driven analytics. This provides customers with the ability to better leverage their data, with more users having access to more data, thereby enabling greater value to be achieved through analytics.</w:t>
      </w:r>
    </w:p>
    <w:p>
      <w:pPr>
        <w:spacing w:after="0" w:line="70" w:lineRule="exact"/>
        <w:rPr>
          <w:rFonts w:ascii="Arial" w:cs="Arial" w:eastAsia="Arial" w:hAnsi="Arial"/>
          <w:sz w:val="16"/>
          <w:szCs w:val="16"/>
          <w:color w:val="auto"/>
        </w:rPr>
      </w:pPr>
    </w:p>
    <w:p>
      <w:pPr>
        <w:ind w:left="1180" w:hanging="436"/>
        <w:spacing w:after="0" w:line="255"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Consulting Services </w:t>
      </w:r>
      <w:r>
        <w:rPr>
          <w:rFonts w:ascii="Arial" w:cs="Arial" w:eastAsia="Arial" w:hAnsi="Arial"/>
          <w:sz w:val="18"/>
          <w:szCs w:val="18"/>
          <w:color w:val="auto"/>
        </w:rPr>
        <w:t>— We provide business and top-level technology strategy consulting services for both Amdocs and non-Amdocs</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Our consultants understand the service provider’s environment and bring with them the experience we accumulated when modernizing our own Amdocs product lines and re-skilling our people to master hybrids of the legacy and the new. Using expertise from recent acquisitions, we also provide experts in specific niches, such as the marketing consultancy practice acquired in the Pontis acquisition, the user experience (UX) experts from projekt202 and the digital software engineering and platform development experts from Kenzan.</w:t>
      </w:r>
    </w:p>
    <w:p>
      <w:pPr>
        <w:spacing w:after="0" w:line="98" w:lineRule="exact"/>
        <w:rPr>
          <w:rFonts w:ascii="Arial" w:cs="Arial" w:eastAsia="Arial" w:hAnsi="Arial"/>
          <w:sz w:val="18"/>
          <w:szCs w:val="18"/>
          <w:color w:val="auto"/>
        </w:rPr>
      </w:pPr>
    </w:p>
    <w:p>
      <w:pPr>
        <w:ind w:left="1180" w:right="160" w:hanging="436"/>
        <w:spacing w:after="0" w:line="302"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Integration Services </w:t>
      </w:r>
      <w:r>
        <w:rPr>
          <w:rFonts w:ascii="Arial" w:cs="Arial" w:eastAsia="Arial" w:hAnsi="Arial"/>
          <w:sz w:val="16"/>
          <w:szCs w:val="16"/>
          <w:color w:val="auto"/>
        </w:rPr>
        <w:t>— We offer integration design and implementation services to help bridge between modern digital channels and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existing legacy back-end and third-party systems. We also offer a unique integration platform as a service (IPaaS) solution, which is a cloud, hybrid or on-premise integration platform built specifically for the unique challenges of the communications and media industry, enabling modernization with minimal impact on the systems of record and other legacy systems.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436"/>
        <w:spacing w:after="0" w:line="259"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Data &amp; Intelligence Services </w:t>
      </w:r>
      <w:r>
        <w:rPr>
          <w:rFonts w:ascii="Arial" w:cs="Arial" w:eastAsia="Arial" w:hAnsi="Arial"/>
          <w:sz w:val="18"/>
          <w:szCs w:val="18"/>
          <w:color w:val="auto"/>
        </w:rPr>
        <w:t>— We offer advanced, insightful data and analytics services, powered by our IP around customer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logical data model designed for the communications service provider. From strategy and consulting through optimizing and modernizing data ecosystems and migration to the cloud, our services deliver self-service business intelligence (BI) reporting, dashboards and efficient data monetization.</w:t>
      </w:r>
    </w:p>
    <w:p>
      <w:pPr>
        <w:spacing w:after="0" w:line="18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addition, amdocsONE includes revenue guard services designed to ensure faster, more accurate detection and resolution of revenue leakage, fraud and cyber fraud; the BriteBill multi-channel bill presentment platform focused on providing clarity in billing, creating a digital engagement channel with customers, and generating upsell opportunities. We also provide advertising and media offerings for media publishers, TV networks, video streaming providers, advertising agencies and service providers. Our OpenMarket business provides A2P (application-to-person) text messaging solutions.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portfolio architecture allows our applications to work in multiple customer environments.</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To help service providers respond more quickly to changes in their markets, we embrace an open and integrated approach to our technology built on the following key principles:</w:t>
      </w:r>
    </w:p>
    <w:p>
      <w:pPr>
        <w:spacing w:after="0" w:line="76" w:lineRule="exact"/>
        <w:rPr>
          <w:sz w:val="20"/>
          <w:szCs w:val="20"/>
          <w:color w:val="auto"/>
        </w:rPr>
      </w:pPr>
    </w:p>
    <w:p>
      <w:pPr>
        <w:ind w:left="1180" w:right="22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Design led</w:t>
      </w:r>
      <w:r>
        <w:rPr>
          <w:rFonts w:ascii="Arial" w:cs="Arial" w:eastAsia="Arial" w:hAnsi="Arial"/>
          <w:sz w:val="18"/>
          <w:szCs w:val="18"/>
          <w:color w:val="auto"/>
        </w:rPr>
        <w:t>. Adopting design-led principles and methodologies across software applications to ensure improved and optimized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w:t>
      </w:r>
    </w:p>
    <w:p>
      <w:pPr>
        <w:spacing w:after="0" w:line="75" w:lineRule="exact"/>
        <w:rPr>
          <w:rFonts w:ascii="Arial" w:cs="Arial" w:eastAsia="Arial" w:hAnsi="Arial"/>
          <w:sz w:val="18"/>
          <w:szCs w:val="18"/>
          <w:color w:val="auto"/>
        </w:rPr>
      </w:pPr>
    </w:p>
    <w:p>
      <w:pPr>
        <w:ind w:left="1180" w:right="180" w:hanging="436"/>
        <w:spacing w:after="0" w:line="264"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API enabled</w:t>
      </w:r>
      <w:r>
        <w:rPr>
          <w:rFonts w:ascii="Arial" w:cs="Arial" w:eastAsia="Arial" w:hAnsi="Arial"/>
          <w:sz w:val="18"/>
          <w:szCs w:val="18"/>
          <w:color w:val="auto"/>
        </w:rPr>
        <w:t>. Leveraging domain-driven design to expose APIs across key applications and ensure consumption and interaction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is easily enabled. It exposes the Amdocs portfolio application programming interfaces to external systems, allowing our applications to integrate with each other and with third-party applications.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Cloud flexibility</w:t>
      </w:r>
      <w:r>
        <w:rPr>
          <w:rFonts w:ascii="Arial" w:cs="Arial" w:eastAsia="Arial" w:hAnsi="Arial"/>
          <w:sz w:val="18"/>
          <w:szCs w:val="18"/>
          <w:color w:val="auto"/>
        </w:rPr>
        <w:t>. Architected to run in public and on-premise cloud environments.</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Microservices</w:t>
      </w:r>
      <w:r>
        <w:rPr>
          <w:rFonts w:ascii="Arial" w:cs="Arial" w:eastAsia="Arial" w:hAnsi="Arial"/>
          <w:sz w:val="18"/>
          <w:szCs w:val="18"/>
          <w:color w:val="auto"/>
        </w:rPr>
        <w:t>. Developing highly granular, lightweight distributed software architecture, shipped and delivered using containers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orchestrated using Kubernetes, the industry-leading cluster management for containers.</w:t>
      </w:r>
    </w:p>
    <w:p>
      <w:pPr>
        <w:spacing w:after="0" w:line="75"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Designed to take full advantage of the capabilities of the underlying platform, allowing progressive system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with increases in business volumes. Using the same software, our applications can support operations for small and very large service providers.</w:t>
      </w:r>
    </w:p>
    <w:p>
      <w:pPr>
        <w:spacing w:after="0" w:line="86"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System and component architecture supports high availability and redundancy to allow connected and uninterrupted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full network utilization and device load.</w:t>
      </w:r>
    </w:p>
    <w:p>
      <w:pPr>
        <w:spacing w:after="0" w:line="75"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Modularity</w:t>
      </w:r>
      <w:r>
        <w:rPr>
          <w:rFonts w:ascii="Arial" w:cs="Arial" w:eastAsia="Arial" w:hAnsi="Arial"/>
          <w:sz w:val="18"/>
          <w:szCs w:val="18"/>
          <w:color w:val="auto"/>
        </w:rPr>
        <w:t>. Applications can be installed on an individual standalone basis, interfacing with the customer’s existing systems, or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integrated Amdocs system environment. We believe this modularity provides our customers with a highly flexible solution that is able to incrementally expand with the customer’s growing needs and capabilities.</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Upgradability and Backwards Compatibility</w:t>
      </w:r>
      <w:r>
        <w:rPr>
          <w:rFonts w:ascii="Arial" w:cs="Arial" w:eastAsia="Arial" w:hAnsi="Arial"/>
          <w:sz w:val="18"/>
          <w:szCs w:val="18"/>
          <w:color w:val="auto"/>
        </w:rPr>
        <w:t>. Version interoperability eliminates risky upgrades and allows for a gradual upgrade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of suite elements.</w:t>
      </w:r>
    </w:p>
    <w:p>
      <w:pPr>
        <w:spacing w:after="0" w:line="75"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Virtualization</w:t>
      </w:r>
      <w:r>
        <w:rPr>
          <w:rFonts w:ascii="Arial" w:cs="Arial" w:eastAsia="Arial" w:hAnsi="Arial"/>
          <w:sz w:val="18"/>
          <w:szCs w:val="18"/>
          <w:color w:val="auto"/>
        </w:rPr>
        <w:t>. Business agility improves with virtualization as it allows introduction of new services rapidly. Moreover, virtualization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cost by improving resource utilization, and by automating processes.</w:t>
      </w:r>
    </w:p>
    <w:p>
      <w:pPr>
        <w:spacing w:after="0" w:line="75" w:lineRule="exact"/>
        <w:rPr>
          <w:rFonts w:ascii="Arial" w:cs="Arial" w:eastAsia="Arial" w:hAnsi="Arial"/>
          <w:sz w:val="18"/>
          <w:szCs w:val="18"/>
          <w:color w:val="auto"/>
        </w:rPr>
      </w:pPr>
    </w:p>
    <w:p>
      <w:pPr>
        <w:ind w:left="1180" w:right="280" w:hanging="436"/>
        <w:spacing w:after="0" w:line="286" w:lineRule="auto"/>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Open Source Software</w:t>
      </w:r>
      <w:r>
        <w:rPr>
          <w:rFonts w:ascii="Arial" w:cs="Arial" w:eastAsia="Arial" w:hAnsi="Arial"/>
          <w:sz w:val="17"/>
          <w:szCs w:val="17"/>
          <w:color w:val="auto"/>
        </w:rPr>
        <w:t>. Enabling rapid time to market and lower-cost functionality introduction, our software leverages open-source</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to encourage standardization and improved quality where possible. Amdocs is playing a central role in the development of The Linux Foundation’s ONAP, an advanced open source solution for the telecommunications industry.</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8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Service-Oriented Architecture. </w:t>
      </w:r>
      <w:r>
        <w:rPr>
          <w:rFonts w:ascii="Arial" w:cs="Arial" w:eastAsia="Arial" w:hAnsi="Arial"/>
          <w:sz w:val="18"/>
          <w:szCs w:val="18"/>
          <w:color w:val="auto"/>
        </w:rPr>
        <w:t>SOA enables improved flow of information, rapid function development, easier scaling and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new services.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sales and marketing activities are primarily directed at major communications and media companies.</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a result of the strategic importance of our amdocsONE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w:t>
      </w:r>
    </w:p>
    <w:p>
      <w:pPr>
        <w:spacing w:after="0" w:line="18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 integrators that provide complementary products and services. We also have value-added reseller agreements with leading hardware and software vendors. Our sales and marketing activities also support projects with partner companies, such as Amazon Web Services, Microsoft, Intel, Google, Redhat, Dell EMC and VMware, Adobe, Nokia, Hewlett Packard Enterprise and IBM.</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target market is comprised of service providers in the communications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We have a global orientation and customers in over 85 countries.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customers include service providers, such as:</w:t>
      </w:r>
    </w:p>
    <w:p>
      <w:pPr>
        <w:sectPr>
          <w:pgSz w:w="11900" w:h="16838" w:orient="portrait"/>
          <w:cols w:equalWidth="0" w:num="1">
            <w:col w:w="11180"/>
          </w:cols>
          <w:pgMar w:left="240" w:top="459" w:right="47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A1 Bulgaria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A1 Telekom Austria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Airtel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Altice SFR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Altice USA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America Movil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Astro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AT&amp;T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AT&amp;T Mexico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Bell Canada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Bharat Sanchar Nigam Limited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Botswana Telecommunications Corporation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Cable &amp; Wireless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Capita Business Services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Cellcom</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CenturyLink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Charter Communications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Claro Brasil</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Claro Chile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Claro Dominican Republic</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Claro Puerto Rico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Comcast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Deutsche Telekom</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Digital TV Cable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POST 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Proximus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Red Carpet Home Cinema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Reliance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Rogers Communications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Rostelecom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Safaricom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 Italia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Sunrise Telecom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Brasil (Vivo)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Telefónica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Telia 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Telia 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Telkom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Telkomsel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Telstra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TELUS Communications</w:t>
      </w:r>
    </w:p>
    <w:p>
      <w:pPr>
        <w:spacing w:after="0" w:line="154" w:lineRule="exact"/>
        <w:rPr>
          <w:sz w:val="20"/>
          <w:szCs w:val="20"/>
          <w:color w:val="auto"/>
        </w:rPr>
      </w:pPr>
    </w:p>
    <w:p>
      <w:pPr>
        <w:sectPr>
          <w:pgSz w:w="11900" w:h="16838" w:orient="portrait"/>
          <w:cols w:equalWidth="0" w:num="2">
            <w:col w:w="5120" w:space="720"/>
            <w:col w:w="5340"/>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80"/>
          </w:cols>
          <w:pgMar w:left="240" w:top="459" w:right="47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62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519"/>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Dish Network</w:t>
            </w:r>
          </w:p>
        </w:tc>
        <w:tc>
          <w:tcPr>
            <w:tcW w:w="4340" w:type="dxa"/>
            <w:vAlign w:val="bottom"/>
          </w:tcPr>
          <w:p>
            <w:pPr>
              <w:ind w:left="1860"/>
              <w:spacing w:after="0"/>
              <w:rPr>
                <w:sz w:val="20"/>
                <w:szCs w:val="20"/>
                <w:color w:val="auto"/>
              </w:rPr>
            </w:pPr>
            <w:r>
              <w:rPr>
                <w:rFonts w:ascii="Arial" w:cs="Arial" w:eastAsia="Arial" w:hAnsi="Arial"/>
                <w:sz w:val="18"/>
                <w:szCs w:val="18"/>
                <w:color w:val="auto"/>
                <w:w w:val="92"/>
              </w:rPr>
              <w:t>Three Ireland (Hutchison) Limited</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EE</w:t>
            </w:r>
          </w:p>
        </w:tc>
        <w:tc>
          <w:tcPr>
            <w:tcW w:w="4340" w:type="dxa"/>
            <w:vAlign w:val="bottom"/>
          </w:tcPr>
          <w:p>
            <w:pPr>
              <w:ind w:left="1860"/>
              <w:spacing w:after="0"/>
              <w:rPr>
                <w:sz w:val="20"/>
                <w:szCs w:val="20"/>
                <w:color w:val="auto"/>
              </w:rPr>
            </w:pPr>
            <w:r>
              <w:rPr>
                <w:rFonts w:ascii="Arial" w:cs="Arial" w:eastAsia="Arial" w:hAnsi="Arial"/>
                <w:sz w:val="18"/>
                <w:szCs w:val="18"/>
                <w:color w:val="auto"/>
              </w:rPr>
              <w:t>TIM</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Elisa</w:t>
            </w:r>
          </w:p>
        </w:tc>
        <w:tc>
          <w:tcPr>
            <w:tcW w:w="4340" w:type="dxa"/>
            <w:vAlign w:val="bottom"/>
          </w:tcPr>
          <w:p>
            <w:pPr>
              <w:ind w:left="1860"/>
              <w:spacing w:after="0"/>
              <w:rPr>
                <w:sz w:val="20"/>
                <w:szCs w:val="20"/>
                <w:color w:val="auto"/>
              </w:rPr>
            </w:pPr>
            <w:r>
              <w:rPr>
                <w:rFonts w:ascii="Arial" w:cs="Arial" w:eastAsia="Arial" w:hAnsi="Arial"/>
                <w:sz w:val="18"/>
                <w:szCs w:val="18"/>
                <w:color w:val="auto"/>
              </w:rPr>
              <w:t>TIM Brasil</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EPIX (an MGM company)</w:t>
            </w:r>
          </w:p>
        </w:tc>
        <w:tc>
          <w:tcPr>
            <w:tcW w:w="4340" w:type="dxa"/>
            <w:vAlign w:val="bottom"/>
          </w:tcPr>
          <w:p>
            <w:pPr>
              <w:ind w:left="1860"/>
              <w:spacing w:after="0"/>
              <w:rPr>
                <w:sz w:val="20"/>
                <w:szCs w:val="20"/>
                <w:color w:val="auto"/>
              </w:rPr>
            </w:pPr>
            <w:r>
              <w:rPr>
                <w:rFonts w:ascii="Arial" w:cs="Arial" w:eastAsia="Arial" w:hAnsi="Arial"/>
                <w:sz w:val="18"/>
                <w:szCs w:val="18"/>
                <w:color w:val="auto"/>
              </w:rPr>
              <w:t>T-Mobile US</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Eros Now</w:t>
            </w:r>
          </w:p>
        </w:tc>
        <w:tc>
          <w:tcPr>
            <w:tcW w:w="4340" w:type="dxa"/>
            <w:vAlign w:val="bottom"/>
          </w:tcPr>
          <w:p>
            <w:pPr>
              <w:ind w:left="1860"/>
              <w:spacing w:after="0"/>
              <w:rPr>
                <w:sz w:val="20"/>
                <w:szCs w:val="20"/>
                <w:color w:val="auto"/>
              </w:rPr>
            </w:pPr>
            <w:r>
              <w:rPr>
                <w:rFonts w:ascii="Arial" w:cs="Arial" w:eastAsia="Arial" w:hAnsi="Arial"/>
                <w:sz w:val="18"/>
                <w:szCs w:val="18"/>
                <w:color w:val="auto"/>
              </w:rPr>
              <w:t>True Corporation</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FarEasTone</w:t>
            </w:r>
          </w:p>
        </w:tc>
        <w:tc>
          <w:tcPr>
            <w:tcW w:w="4340" w:type="dxa"/>
            <w:vAlign w:val="bottom"/>
          </w:tcPr>
          <w:p>
            <w:pPr>
              <w:ind w:left="1860"/>
              <w:spacing w:after="0"/>
              <w:rPr>
                <w:sz w:val="20"/>
                <w:szCs w:val="20"/>
                <w:color w:val="auto"/>
              </w:rPr>
            </w:pPr>
            <w:r>
              <w:rPr>
                <w:rFonts w:ascii="Arial" w:cs="Arial" w:eastAsia="Arial" w:hAnsi="Arial"/>
                <w:sz w:val="18"/>
                <w:szCs w:val="18"/>
                <w:color w:val="auto"/>
              </w:rPr>
              <w:t>Turner</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Foxtel</w:t>
            </w:r>
          </w:p>
        </w:tc>
        <w:tc>
          <w:tcPr>
            <w:tcW w:w="4340" w:type="dxa"/>
            <w:vAlign w:val="bottom"/>
          </w:tcPr>
          <w:p>
            <w:pPr>
              <w:ind w:left="1860"/>
              <w:spacing w:after="0"/>
              <w:rPr>
                <w:sz w:val="20"/>
                <w:szCs w:val="20"/>
                <w:color w:val="auto"/>
              </w:rPr>
            </w:pPr>
            <w:r>
              <w:rPr>
                <w:rFonts w:ascii="Arial" w:cs="Arial" w:eastAsia="Arial" w:hAnsi="Arial"/>
                <w:sz w:val="18"/>
                <w:szCs w:val="18"/>
                <w:color w:val="auto"/>
              </w:rPr>
              <w:t>UPC Broadband</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Globe Telecom</w:t>
            </w:r>
          </w:p>
        </w:tc>
        <w:tc>
          <w:tcPr>
            <w:tcW w:w="4340" w:type="dxa"/>
            <w:vAlign w:val="bottom"/>
          </w:tcPr>
          <w:p>
            <w:pPr>
              <w:ind w:left="1860"/>
              <w:spacing w:after="0"/>
              <w:rPr>
                <w:sz w:val="20"/>
                <w:szCs w:val="20"/>
                <w:color w:val="auto"/>
              </w:rPr>
            </w:pPr>
            <w:r>
              <w:rPr>
                <w:rFonts w:ascii="Arial" w:cs="Arial" w:eastAsia="Arial" w:hAnsi="Arial"/>
                <w:sz w:val="18"/>
                <w:szCs w:val="18"/>
                <w:color w:val="auto"/>
              </w:rPr>
              <w:t>US Cellular</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J:COM</w:t>
            </w:r>
          </w:p>
        </w:tc>
        <w:tc>
          <w:tcPr>
            <w:tcW w:w="4340" w:type="dxa"/>
            <w:vAlign w:val="bottom"/>
          </w:tcPr>
          <w:p>
            <w:pPr>
              <w:ind w:left="1860"/>
              <w:spacing w:after="0"/>
              <w:rPr>
                <w:sz w:val="20"/>
                <w:szCs w:val="20"/>
                <w:color w:val="auto"/>
              </w:rPr>
            </w:pPr>
            <w:r>
              <w:rPr>
                <w:rFonts w:ascii="Arial" w:cs="Arial" w:eastAsia="Arial" w:hAnsi="Arial"/>
                <w:sz w:val="18"/>
                <w:szCs w:val="18"/>
                <w:color w:val="auto"/>
              </w:rPr>
              <w:t>UTS</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Kazakhtelecom</w:t>
            </w:r>
          </w:p>
        </w:tc>
        <w:tc>
          <w:tcPr>
            <w:tcW w:w="4340" w:type="dxa"/>
            <w:vAlign w:val="bottom"/>
          </w:tcPr>
          <w:p>
            <w:pPr>
              <w:ind w:left="1860"/>
              <w:spacing w:after="0"/>
              <w:rPr>
                <w:sz w:val="20"/>
                <w:szCs w:val="20"/>
                <w:color w:val="auto"/>
              </w:rPr>
            </w:pPr>
            <w:r>
              <w:rPr>
                <w:rFonts w:ascii="Arial" w:cs="Arial" w:eastAsia="Arial" w:hAnsi="Arial"/>
                <w:sz w:val="18"/>
                <w:szCs w:val="18"/>
                <w:color w:val="auto"/>
              </w:rPr>
              <w:t>VEON</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Kcell</w:t>
            </w:r>
          </w:p>
        </w:tc>
        <w:tc>
          <w:tcPr>
            <w:tcW w:w="4340" w:type="dxa"/>
            <w:vAlign w:val="bottom"/>
          </w:tcPr>
          <w:p>
            <w:pPr>
              <w:ind w:left="1860"/>
              <w:spacing w:after="0"/>
              <w:rPr>
                <w:sz w:val="20"/>
                <w:szCs w:val="20"/>
                <w:color w:val="auto"/>
              </w:rPr>
            </w:pPr>
            <w:r>
              <w:rPr>
                <w:rFonts w:ascii="Arial" w:cs="Arial" w:eastAsia="Arial" w:hAnsi="Arial"/>
                <w:sz w:val="18"/>
                <w:szCs w:val="18"/>
                <w:color w:val="auto"/>
              </w:rPr>
              <w:t>Verizon</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KCOM</w:t>
            </w:r>
          </w:p>
        </w:tc>
        <w:tc>
          <w:tcPr>
            <w:tcW w:w="4340" w:type="dxa"/>
            <w:vAlign w:val="bottom"/>
          </w:tcPr>
          <w:p>
            <w:pPr>
              <w:ind w:left="1860"/>
              <w:spacing w:after="0"/>
              <w:rPr>
                <w:sz w:val="20"/>
                <w:szCs w:val="20"/>
                <w:color w:val="auto"/>
              </w:rPr>
            </w:pPr>
            <w:r>
              <w:rPr>
                <w:rFonts w:ascii="Arial" w:cs="Arial" w:eastAsia="Arial" w:hAnsi="Arial"/>
                <w:sz w:val="18"/>
                <w:szCs w:val="18"/>
                <w:color w:val="auto"/>
              </w:rPr>
              <w:t>Viacom</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KPN</w:t>
            </w:r>
          </w:p>
        </w:tc>
        <w:tc>
          <w:tcPr>
            <w:tcW w:w="4340" w:type="dxa"/>
            <w:vAlign w:val="bottom"/>
          </w:tcPr>
          <w:p>
            <w:pPr>
              <w:ind w:left="1860"/>
              <w:spacing w:after="0"/>
              <w:rPr>
                <w:sz w:val="20"/>
                <w:szCs w:val="20"/>
                <w:color w:val="auto"/>
              </w:rPr>
            </w:pPr>
            <w:r>
              <w:rPr>
                <w:rFonts w:ascii="Arial" w:cs="Arial" w:eastAsia="Arial" w:hAnsi="Arial"/>
                <w:sz w:val="18"/>
                <w:szCs w:val="18"/>
                <w:color w:val="auto"/>
              </w:rPr>
              <w:t>Virgin Media</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KT Corporation</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 Germany</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Kyivstar</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 Hungary</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M1</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 Idea</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Magyar Telekom</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 Ireland</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Maxis</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 Italy</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MTS</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 Qatar</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NFL Digital Media</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 Romania</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Oi</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 Spain</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Optus</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 UK</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Orange Belgium</w:t>
            </w:r>
          </w:p>
        </w:tc>
        <w:tc>
          <w:tcPr>
            <w:tcW w:w="4340" w:type="dxa"/>
            <w:vAlign w:val="bottom"/>
          </w:tcPr>
          <w:p>
            <w:pPr>
              <w:ind w:left="1860"/>
              <w:spacing w:after="0"/>
              <w:rPr>
                <w:sz w:val="20"/>
                <w:szCs w:val="20"/>
                <w:color w:val="auto"/>
              </w:rPr>
            </w:pPr>
            <w:r>
              <w:rPr>
                <w:rFonts w:ascii="Arial" w:cs="Arial" w:eastAsia="Arial" w:hAnsi="Arial"/>
                <w:sz w:val="18"/>
                <w:szCs w:val="18"/>
                <w:color w:val="auto"/>
              </w:rPr>
              <w:t>VodafoneZiggo</w:t>
            </w: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Orange Spain</w:t>
            </w:r>
          </w:p>
        </w:tc>
        <w:tc>
          <w:tcPr>
            <w:tcW w:w="4340" w:type="dxa"/>
            <w:vAlign w:val="bottom"/>
          </w:tcPr>
          <w:p>
            <w:pPr>
              <w:ind w:left="1860"/>
              <w:spacing w:after="0"/>
              <w:rPr>
                <w:sz w:val="20"/>
                <w:szCs w:val="20"/>
                <w:color w:val="auto"/>
              </w:rPr>
            </w:pPr>
            <w:r>
              <w:rPr>
                <w:rFonts w:ascii="Arial" w:cs="Arial" w:eastAsia="Arial" w:hAnsi="Arial"/>
                <w:sz w:val="18"/>
                <w:szCs w:val="18"/>
                <w:color w:val="auto"/>
              </w:rPr>
              <w:t>Warner Bros</w:t>
            </w:r>
          </w:p>
        </w:tc>
      </w:tr>
      <w:tr>
        <w:trPr>
          <w:trHeight w:val="230"/>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PLDT</w:t>
            </w:r>
          </w:p>
        </w:tc>
        <w:tc>
          <w:tcPr>
            <w:tcW w:w="4340" w:type="dxa"/>
            <w:vAlign w:val="bottom"/>
          </w:tcPr>
          <w:p>
            <w:pPr>
              <w:ind w:left="1860"/>
              <w:spacing w:after="0"/>
              <w:rPr>
                <w:sz w:val="20"/>
                <w:szCs w:val="20"/>
                <w:color w:val="auto"/>
              </w:rPr>
            </w:pPr>
            <w:r>
              <w:rPr>
                <w:rFonts w:ascii="Arial" w:cs="Arial" w:eastAsia="Arial" w:hAnsi="Arial"/>
                <w:sz w:val="18"/>
                <w:szCs w:val="18"/>
                <w:color w:val="auto"/>
              </w:rPr>
              <w:t>XL Axiata</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firstLine="441"/>
        <w:spacing w:after="0" w:line="257" w:lineRule="auto"/>
        <w:rPr>
          <w:sz w:val="20"/>
          <w:szCs w:val="20"/>
          <w:color w:val="auto"/>
        </w:rPr>
      </w:pPr>
      <w:r>
        <w:rPr>
          <w:rFonts w:ascii="Arial" w:cs="Arial" w:eastAsia="Arial" w:hAnsi="Arial"/>
          <w:sz w:val="18"/>
          <w:szCs w:val="18"/>
          <w:color w:val="auto"/>
        </w:rPr>
        <w:t xml:space="preserve">Our business is dependent on a limited number of significant customers, of which AT&amp;T has historically been our largest. AT&amp;T accounted for 23% and 27% of our revenue in fiscal 2019 and 2018, respectively. Aggregate revenue derived from the multiple business arrangements we have with the ten largest of our significant customers accounted for approximately 65% of our revenue in fiscal 2019 and 66% in fiscal 2018. See “Risk Factors — </w:t>
      </w:r>
      <w:r>
        <w:rPr>
          <w:rFonts w:ascii="Arial" w:cs="Arial" w:eastAsia="Arial" w:hAnsi="Arial"/>
          <w:sz w:val="18"/>
          <w:szCs w:val="18"/>
          <w:i w:val="1"/>
          <w:iCs w:val="1"/>
          <w:color w:val="auto"/>
        </w:rPr>
        <w:t>Our business is dependent on a limited number of significant customers, and the loss of any one of our significant customers could harm our results of operations</w:t>
      </w:r>
      <w:r>
        <w:rPr>
          <w:rFonts w:ascii="Arial" w:cs="Arial" w:eastAsia="Arial" w:hAnsi="Arial"/>
          <w:sz w:val="18"/>
          <w:szCs w:val="18"/>
          <w:color w:val="auto"/>
        </w:rPr>
        <w: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63.2%</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64.2%</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65.9%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Europe</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14.7%</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14.4%</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12.6%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21.4%</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21.5%</w:t>
            </w: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market for customer experience solutions in the communications and media industry continues to become more competitive. Amdocs’ competitive landscape is comprised of internal IT departments of our customers, as well as independent competitors or new entrants that may compete broadly with us or in limited segments of our market, and can be generally categorized as follows:</w:t>
      </w:r>
    </w:p>
    <w:p>
      <w:pPr>
        <w:spacing w:after="0" w:line="87" w:lineRule="exact"/>
        <w:rPr>
          <w:sz w:val="20"/>
          <w:szCs w:val="20"/>
          <w:color w:val="auto"/>
        </w:rPr>
      </w:pPr>
    </w:p>
    <w:p>
      <w:pPr>
        <w:ind w:left="1180" w:right="50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providers of BSS/OSS and customer relationship management (CRM)/digital systems, including CSG International, Optiva, Oracle, Pegasystems, Salesforce, Vlocity and SAP;</w:t>
      </w:r>
    </w:p>
    <w:p>
      <w:pPr>
        <w:spacing w:after="0" w:line="75" w:lineRule="exact"/>
        <w:rPr>
          <w:rFonts w:ascii="Arial" w:cs="Arial" w:eastAsia="Arial" w:hAnsi="Arial"/>
          <w:sz w:val="18"/>
          <w:szCs w:val="18"/>
          <w:color w:val="auto"/>
        </w:rPr>
      </w:pPr>
    </w:p>
    <w:p>
      <w:pPr>
        <w:ind w:left="1180" w:right="400" w:hanging="436"/>
        <w:spacing w:after="0" w:line="342"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system integrators and providers of IT services, such as Accenture, Cognizant, DXC Technology, IBM Global Services, Infosys, Tata Consultancy Services, Tech Mahindra and Wipro (some of whom we also cooperate with in certain opportunities and projects);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46"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hanging="436"/>
        <w:spacing w:after="0" w:line="308" w:lineRule="auto"/>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network equipment providers such as Ericsson, Huawei, Nokia Networks, and NEC and its subsidiary Netcracker (some of whom we also cooperate with in certain opportunities and projects and some of whom have also moved into the BSS/OSS space);</w:t>
      </w:r>
    </w:p>
    <w:p>
      <w:pPr>
        <w:spacing w:after="0" w:line="51" w:lineRule="exact"/>
        <w:rPr>
          <w:rFonts w:ascii="Arial" w:cs="Arial" w:eastAsia="Arial" w:hAnsi="Arial"/>
          <w:sz w:val="17"/>
          <w:szCs w:val="17"/>
          <w:color w:val="auto"/>
        </w:rPr>
      </w:pPr>
    </w:p>
    <w:p>
      <w:pPr>
        <w:ind w:left="1180" w:right="380" w:hanging="436"/>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niche domain players, often start-up companies, who compete against particular parts of our portfolio, such as Matrixx, Openet in charging; Hansen (Sigma) in catalog; Aria, Stripe, Zuora in subscription billing; Forgerock and Okta in identity management; Deluxe Entertainment and iNDemand in Media.</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the competition in our industry to increase from many of such companies.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131" w:lineRule="exact"/>
        <w:rPr>
          <w:sz w:val="20"/>
          <w:szCs w:val="20"/>
          <w:color w:val="auto"/>
        </w:rPr>
      </w:pPr>
    </w:p>
    <w:p>
      <w:pPr>
        <w:ind w:left="1180" w:hanging="436"/>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applying our over 35-year heritage to the development and delivery of products and professional services that enable our customers to overcome their challenges and achieve service differentiation by providing a personalized and intelligent customer experience, shaping the quality of network experience and simplifying the complexity of the operating environment,</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design and develop solutions targeted specifically to the communications and media industry,</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75"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high-availability, high-quality, reliable, scalable, integrated and modular applications, leveraging cloud technology, artificial intelligence and new software development and deployment options,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invest significant resources in the training, retention and motivation of high-quality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high-quality employees. Our future success depends in large part upon our continuing ability to attract and retain highly qualified managerial, technical, sales and marketing personnel and outstanding leaders. Moreover, we are committed to diversity and inclusion, believing a gender diverse, multi-cultural workforce spread across the globe provides strength and a competitive business advantage.</w:t>
      </w:r>
    </w:p>
    <w:p>
      <w:pPr>
        <w:spacing w:after="0" w:line="16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See “Directors, Senior Management and Employees — Workforce Personnel” for further details regarding our employees and our relationships with them.</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Facilities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lease land and buildings for our executive offices, sales, marketing, administrative, development and support centers. We lease an aggregate of approximately 3.4 million square feet worldwide, including significant leases in the United States, Israel, Canada, Cyprus, India, Philippines, United Kingdom and Mexico. The following table summarizes information with respect to the principal facilities leased by us and our subsidiaries as of September 30, 2019:</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7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158"/>
        </w:trPr>
        <w:tc>
          <w:tcPr>
            <w:tcW w:w="7380" w:type="dxa"/>
            <w:vAlign w:val="bottom"/>
            <w:gridSpan w:val="3"/>
            <w:vMerge w:val="continue"/>
          </w:tcPr>
          <w:p>
            <w:pPr>
              <w:spacing w:after="0"/>
              <w:rPr>
                <w:sz w:val="13"/>
                <w:szCs w:val="13"/>
                <w:color w:val="auto"/>
              </w:rPr>
            </w:pPr>
          </w:p>
        </w:tc>
        <w:tc>
          <w:tcPr>
            <w:tcW w:w="10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(Sq. Feet)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Champaign, IL</w:t>
            </w:r>
          </w:p>
        </w:tc>
        <w:tc>
          <w:tcPr>
            <w:tcW w:w="940" w:type="dxa"/>
            <w:vAlign w:val="bottom"/>
          </w:tcPr>
          <w:p>
            <w:pPr>
              <w:jc w:val="right"/>
              <w:spacing w:after="0"/>
              <w:rPr>
                <w:sz w:val="20"/>
                <w:szCs w:val="20"/>
                <w:color w:val="auto"/>
              </w:rPr>
            </w:pPr>
            <w:r>
              <w:rPr>
                <w:rFonts w:ascii="Arial" w:cs="Arial" w:eastAsia="Arial" w:hAnsi="Arial"/>
                <w:sz w:val="18"/>
                <w:szCs w:val="18"/>
                <w:color w:val="auto"/>
              </w:rPr>
              <w:t>111,267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 Louis, MO</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Burbank, CA</w:t>
            </w:r>
          </w:p>
        </w:tc>
        <w:tc>
          <w:tcPr>
            <w:tcW w:w="940" w:type="dxa"/>
            <w:vAlign w:val="bottom"/>
          </w:tcPr>
          <w:p>
            <w:pPr>
              <w:jc w:val="right"/>
              <w:spacing w:after="0"/>
              <w:rPr>
                <w:sz w:val="20"/>
                <w:szCs w:val="20"/>
                <w:color w:val="auto"/>
              </w:rPr>
            </w:pPr>
            <w:r>
              <w:rPr>
                <w:rFonts w:ascii="Arial" w:cs="Arial" w:eastAsia="Arial" w:hAnsi="Arial"/>
                <w:sz w:val="18"/>
                <w:szCs w:val="18"/>
                <w:color w:val="auto"/>
              </w:rPr>
              <w:t>56,005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Seattle, WA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Eldorado Hills, CA</w:t>
            </w:r>
          </w:p>
        </w:tc>
        <w:tc>
          <w:tcPr>
            <w:tcW w:w="940" w:type="dxa"/>
            <w:vAlign w:val="bottom"/>
          </w:tcPr>
          <w:p>
            <w:pPr>
              <w:jc w:val="right"/>
              <w:spacing w:after="0"/>
              <w:rPr>
                <w:sz w:val="20"/>
                <w:szCs w:val="20"/>
                <w:color w:val="auto"/>
              </w:rPr>
            </w:pPr>
            <w:r>
              <w:rPr>
                <w:rFonts w:ascii="Arial" w:cs="Arial" w:eastAsia="Arial" w:hAnsi="Arial"/>
                <w:sz w:val="18"/>
                <w:szCs w:val="18"/>
                <w:color w:val="auto"/>
              </w:rPr>
              <w:t>9,817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rPr>
              <w:t>525,339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Ra’anana</w:t>
            </w:r>
          </w:p>
        </w:tc>
        <w:tc>
          <w:tcPr>
            <w:tcW w:w="940" w:type="dxa"/>
            <w:vAlign w:val="bottom"/>
          </w:tcPr>
          <w:p>
            <w:pPr>
              <w:jc w:val="right"/>
              <w:spacing w:after="0"/>
              <w:rPr>
                <w:sz w:val="20"/>
                <w:szCs w:val="20"/>
                <w:color w:val="auto"/>
              </w:rPr>
            </w:pPr>
            <w:r>
              <w:rPr>
                <w:rFonts w:ascii="Arial" w:cs="Arial" w:eastAsia="Arial" w:hAnsi="Arial"/>
                <w:sz w:val="18"/>
                <w:szCs w:val="18"/>
                <w:color w:val="auto"/>
              </w:rPr>
              <w:t>901,327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Sderot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Nazareth</w:t>
            </w:r>
          </w:p>
        </w:tc>
        <w:tc>
          <w:tcPr>
            <w:tcW w:w="940" w:type="dxa"/>
            <w:vAlign w:val="bottom"/>
          </w:tcPr>
          <w:p>
            <w:pPr>
              <w:jc w:val="right"/>
              <w:spacing w:after="0"/>
              <w:rPr>
                <w:sz w:val="20"/>
                <w:szCs w:val="20"/>
                <w:color w:val="auto"/>
              </w:rPr>
            </w:pPr>
            <w:r>
              <w:rPr>
                <w:rFonts w:ascii="Arial" w:cs="Arial" w:eastAsia="Arial" w:hAnsi="Arial"/>
                <w:sz w:val="18"/>
                <w:szCs w:val="18"/>
                <w:color w:val="auto"/>
              </w:rPr>
              <w:t>25,919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color w:val="auto"/>
              </w:rPr>
              <w:t>1,075,874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Montreal</w:t>
            </w:r>
          </w:p>
        </w:tc>
        <w:tc>
          <w:tcPr>
            <w:tcW w:w="940" w:type="dxa"/>
            <w:vAlign w:val="bottom"/>
          </w:tcPr>
          <w:p>
            <w:pPr>
              <w:jc w:val="right"/>
              <w:spacing w:after="0"/>
              <w:rPr>
                <w:sz w:val="20"/>
                <w:szCs w:val="20"/>
                <w:color w:val="auto"/>
              </w:rPr>
            </w:pPr>
            <w:r>
              <w:rPr>
                <w:rFonts w:ascii="Arial" w:cs="Arial" w:eastAsia="Arial" w:hAnsi="Arial"/>
                <w:sz w:val="18"/>
                <w:szCs w:val="18"/>
                <w:color w:val="auto"/>
              </w:rPr>
              <w:t>60,274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Toronto</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Ottawa</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Cyprus (Limassol)</w:t>
            </w:r>
          </w:p>
        </w:tc>
        <w:tc>
          <w:tcPr>
            <w:tcW w:w="940" w:type="dxa"/>
            <w:vAlign w:val="bottom"/>
          </w:tcPr>
          <w:p>
            <w:pPr>
              <w:jc w:val="right"/>
              <w:spacing w:after="0"/>
              <w:rPr>
                <w:sz w:val="20"/>
                <w:szCs w:val="20"/>
                <w:color w:val="auto"/>
              </w:rPr>
            </w:pPr>
            <w:r>
              <w:rPr>
                <w:rFonts w:ascii="Arial" w:cs="Arial" w:eastAsia="Arial" w:hAnsi="Arial"/>
                <w:sz w:val="18"/>
                <w:szCs w:val="18"/>
                <w:color w:val="auto"/>
              </w:rPr>
              <w:t>110,868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Pune</w:t>
            </w:r>
          </w:p>
        </w:tc>
        <w:tc>
          <w:tcPr>
            <w:tcW w:w="940" w:type="dxa"/>
            <w:vAlign w:val="bottom"/>
          </w:tcPr>
          <w:p>
            <w:pPr>
              <w:jc w:val="right"/>
              <w:spacing w:after="0"/>
              <w:rPr>
                <w:sz w:val="20"/>
                <w:szCs w:val="20"/>
                <w:color w:val="auto"/>
              </w:rPr>
            </w:pPr>
            <w:r>
              <w:rPr>
                <w:rFonts w:ascii="Arial" w:cs="Arial" w:eastAsia="Arial" w:hAnsi="Arial"/>
                <w:sz w:val="18"/>
                <w:szCs w:val="18"/>
                <w:color w:val="auto"/>
              </w:rPr>
              <w:t>892,178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Delhi</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Mumbai</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940" w:type="dxa"/>
            <w:vAlign w:val="bottom"/>
          </w:tcPr>
          <w:p>
            <w:pPr>
              <w:jc w:val="right"/>
              <w:spacing w:after="0"/>
              <w:rPr>
                <w:sz w:val="20"/>
                <w:szCs w:val="20"/>
                <w:color w:val="auto"/>
              </w:rPr>
            </w:pPr>
            <w:r>
              <w:rPr>
                <w:rFonts w:ascii="Arial" w:cs="Arial" w:eastAsia="Arial" w:hAnsi="Arial"/>
                <w:sz w:val="18"/>
                <w:szCs w:val="18"/>
                <w:color w:val="auto"/>
              </w:rPr>
              <w:t>103,135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940" w:type="dxa"/>
            <w:vAlign w:val="bottom"/>
          </w:tcPr>
          <w:p>
            <w:pPr>
              <w:jc w:val="right"/>
              <w:spacing w:after="0"/>
              <w:rPr>
                <w:sz w:val="20"/>
                <w:szCs w:val="20"/>
                <w:color w:val="auto"/>
              </w:rPr>
            </w:pPr>
            <w:r>
              <w:rPr>
                <w:rFonts w:ascii="Arial" w:cs="Arial" w:eastAsia="Arial" w:hAnsi="Arial"/>
                <w:sz w:val="18"/>
                <w:szCs w:val="18"/>
                <w:color w:val="auto"/>
              </w:rPr>
              <w:t>70,934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locations (21 countries)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leases expire on various dates through 2035, not including various options to terminate or extend lease terms. In December 2017, the Company entered into agreements with Union Investments and Development Limited (“Union”) to partner through a legal entity that would be equally owned by the Company and Union for the purpose of acquiring land which the Company intends to use as the site for a new campus in Ra’anana, Israel that we believe will provide an advanced, optimal working environment that can meet the needs of Amdocs Israel and its employees, and support the Company’s future growth. The design for the new campus is in accordance with LEED requirements and includes advanced energy and water saving systems.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Equipment</w:t>
      </w:r>
    </w:p>
    <w:p>
      <w:pPr>
        <w:spacing w:after="0" w:line="117"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We develop amdocsONE solutions over a system of UNIX, Linux, Windows servers owned or leased by us, as well as over cloud providers. We use a variety of software products in our development centers, including products by Microsoft, Oracle, Syncsort, Red Hat, CA, IBM, Hewlett-Packard or others. Our data storage is based mainly on equipment from EMC, NetApp, IBM, Hitachi and Hewlett-Packard.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Amdocs is a leading provider of software and services for communications and media industry service providers in both developed countries and emerging markets.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 contextual and valuable at every point of engagement and across all channels.</w:t>
      </w:r>
    </w:p>
    <w:p>
      <w:pPr>
        <w:spacing w:after="0" w:line="187"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We develop, implement and manage software and services designed to meet the business imperatives of our customers. Our technology, design-led thinking approach and expertise help service providers to further transform into digital service providers, enhance their entertainment offerings, and serve their customers across all channels. amdocsONE, our open and dynamic portfolio, enables service providers to accelerate their continuous digital transformation.</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 global communications and media industry impacted by unprecedented growth in data demand, an increasing number of connected devices, improvement in IoT technologies, and the rising influence of device makers, social networks and OTT players that bypass traditional service providers, consumers expect immediate and constant connectivity to a wide array of personalized services, information and applications. To capture new revenue streams, service providers are continuing to transform to become digital service providers, investing in their networks to meet the demand for increased bandwidth and are searching for ways to provide new services, particularly around content. We seek to address these market forces through a strategy of innovation from the network and digital business systems to the device and end user, leveraging cloud-native microservices technologies for high velocity time to market, delivering in fast DevOps sprints, with full accountability, to control costs, bring optimal scope and drive agility. Our goal is to supply cost-effective, modular, scalable and open software products and services that provide functionality and flexibility to service providers as they and their markets grow and change.</w:t>
      </w:r>
    </w:p>
    <w:p>
      <w:pPr>
        <w:spacing w:after="0" w:line="18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part, we have sought, through acquisitions, to expand our service offerings and customer base and to enhance our ability to provide managed services to our customers. In recent years, we have completed numerous acquisitions (including our fiscal 2017 acquisition of Kenzan, our fiscal 2018 acquisitions of projekt202, UXP Systems and Vubiquity and our fiscal 2019 acquisition of TTS Wireless), which, among other things, we believe will enable us to expand our digital offerings, network capabilities and technological expertise. As part of our strategy, we may continue to pursue acquisitions and other initiatives in order to offer new products or services, enter into new vertical markets or otherwise enhance our market position or strategic strengths.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amdocsONE</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Our amdocsONE portfolio consists of software and services that address service providers’ business and operational needs. Its open, modular and integrated solution set introduces a rich group of capabilities built on cloud-native, microservices and machine-learning technologies, and is delivered based on modern DevOps practices. amdocsONE is designed to meet the business imperatives of our customers who are transforming into</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digital service providers within the framework of a hybrid IT environment, which requires them to rapidly introduce new cloud-native applications while still operating legacy systems.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comprehensive line of services is designed to address every stage of a service provider’s lifecycle. They include consulting services, managed services, digital business operations, quality engineering services, cloud services, integration services and data and intelligence services. Our managed services provide multi-year, flexible and tailored business processes and applications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88"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fiscal 2019, customers in North America accounted for 63.2% of our revenue, while customers in Europe and the rest of the world accounted for 14.7% and 22.1%, respectively. We maintain development facilities in Brazil, Canada, Cyprus, India, Ireland, Israel, Mexico, the Philippines, the United Kingdom and the United States. Historically, AT&amp;T has been our largest customer, accounting for 23% and 27% of our revenue in fiscal 2019 and 2018, respectively. Aggregate revenue derived from the multiple business arrangements we have with our ten largest customers accounted for approximately 65% of our revenue in fiscal 2019 and 66% in fiscal 2018. We believe that demand for our solutions is primarily driven by the following key factors:</w:t>
      </w:r>
    </w:p>
    <w:p>
      <w:pPr>
        <w:spacing w:after="0" w:line="83"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Transformation within the communications and media industry, including:</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transformation of service providers to digital service providers,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growth in Latin America and Southeast Asia,</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130" w:lineRule="exact"/>
        <w:rPr>
          <w:rFonts w:ascii="Arial" w:cs="Arial" w:eastAsia="Arial" w:hAnsi="Arial"/>
          <w:sz w:val="18"/>
          <w:szCs w:val="18"/>
          <w:color w:val="auto"/>
        </w:rPr>
      </w:pPr>
    </w:p>
    <w:p>
      <w:pPr>
        <w:ind w:left="1620" w:right="360" w:hanging="322"/>
        <w:spacing w:after="0" w:line="342" w:lineRule="auto"/>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wide-scale foundational technology changes including the leveraging of open-source, cloud-enabled and cloud-native operating infrastructure, microservices-based architecture, API-based ecosystems, and aggressive digital modernization transformations,</w:t>
      </w:r>
    </w:p>
    <w:p>
      <w:pPr>
        <w:spacing w:after="0" w:line="29" w:lineRule="exact"/>
        <w:rPr>
          <w:rFonts w:ascii="Arial" w:cs="Arial" w:eastAsia="Arial" w:hAnsi="Arial"/>
          <w:sz w:val="16"/>
          <w:szCs w:val="16"/>
          <w:color w:val="auto"/>
        </w:rPr>
      </w:pPr>
    </w:p>
    <w:p>
      <w:pPr>
        <w:ind w:left="1620" w:right="40" w:hanging="322"/>
        <w:spacing w:after="0" w:line="308" w:lineRule="auto"/>
        <w:tabs>
          <w:tab w:leader="none" w:pos="1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evolving service provider business models and opportunities like OTT partnerships, content development and offerings, advertising, enterprise and small- or medium-sized business modernization, and innovative consumer bundling solutions,</w:t>
      </w:r>
    </w:p>
    <w:p>
      <w:pPr>
        <w:spacing w:after="0" w:line="51" w:lineRule="exact"/>
        <w:rPr>
          <w:rFonts w:ascii="Arial" w:cs="Arial" w:eastAsia="Arial" w:hAnsi="Arial"/>
          <w:sz w:val="17"/>
          <w:szCs w:val="17"/>
          <w:color w:val="auto"/>
        </w:rPr>
      </w:pPr>
    </w:p>
    <w:p>
      <w:pPr>
        <w:ind w:left="1620" w:right="100" w:hanging="322"/>
        <w:spacing w:after="0" w:line="277"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network evolution in order to support growing technology needs associated with Internet of Things (IoT), autonomous vehicles and augmented and virtual reality,</w:t>
      </w:r>
    </w:p>
    <w:p>
      <w:pPr>
        <w:spacing w:after="0" w:line="75" w:lineRule="exact"/>
        <w:rPr>
          <w:rFonts w:ascii="Arial" w:cs="Arial" w:eastAsia="Arial" w:hAnsi="Arial"/>
          <w:sz w:val="18"/>
          <w:szCs w:val="18"/>
          <w:color w:val="auto"/>
        </w:rPr>
      </w:pPr>
    </w:p>
    <w:p>
      <w:pPr>
        <w:ind w:left="1620" w:right="180" w:hanging="322"/>
        <w:spacing w:after="0" w:line="277"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new communications technologies such as 5G wireless technology, eSIM, long range (LoRa), Narrowband IoT (NB-IOT, network functions virtualization (NFV), network automation and edge computing,</w:t>
      </w:r>
    </w:p>
    <w:p>
      <w:pPr>
        <w:spacing w:after="0" w:line="75" w:lineRule="exact"/>
        <w:rPr>
          <w:rFonts w:ascii="Arial" w:cs="Arial" w:eastAsia="Arial" w:hAnsi="Arial"/>
          <w:sz w:val="18"/>
          <w:szCs w:val="18"/>
          <w:color w:val="auto"/>
        </w:rPr>
      </w:pPr>
    </w:p>
    <w:p>
      <w:pPr>
        <w:ind w:left="1620" w:right="600" w:hanging="322"/>
        <w:spacing w:after="0" w:line="277"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emerging initiatives like artificial intelligence, including machine learning (ML) and natural language processing (NLP) and blockchain.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130" w:lineRule="exact"/>
        <w:rPr>
          <w:rFonts w:ascii="Arial" w:cs="Arial" w:eastAsia="Arial" w:hAnsi="Arial"/>
          <w:sz w:val="18"/>
          <w:szCs w:val="18"/>
          <w:color w:val="auto"/>
        </w:rPr>
      </w:pPr>
    </w:p>
    <w:p>
      <w:pPr>
        <w:ind w:left="1620" w:right="140" w:hanging="322"/>
        <w:spacing w:after="0" w:line="277"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need for service providers to personalize the customer’s experience and provide contextual and personalized engagements at all points in their omni-channel customer journey,</w:t>
      </w:r>
    </w:p>
    <w:p>
      <w:pPr>
        <w:spacing w:after="0" w:line="75" w:lineRule="exact"/>
        <w:rPr>
          <w:rFonts w:ascii="Arial" w:cs="Arial" w:eastAsia="Arial" w:hAnsi="Arial"/>
          <w:sz w:val="18"/>
          <w:szCs w:val="18"/>
          <w:color w:val="auto"/>
        </w:rPr>
      </w:pPr>
    </w:p>
    <w:p>
      <w:pPr>
        <w:ind w:left="1620" w:right="100" w:hanging="322"/>
        <w:spacing w:after="0" w:line="277"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increasing customer expectations for new, innovative services and applications that are personally relevant and that can be accessed anytime, anywhere and from any device, and</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ever-increasing expectations for service and support, including proactive multi-modal customer care and commerce.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130" w:lineRule="exact"/>
        <w:rPr>
          <w:rFonts w:ascii="Arial" w:cs="Arial" w:eastAsia="Arial" w:hAnsi="Arial"/>
          <w:sz w:val="18"/>
          <w:szCs w:val="18"/>
          <w:color w:val="auto"/>
        </w:rPr>
      </w:pPr>
    </w:p>
    <w:p>
      <w:pPr>
        <w:ind w:left="1620" w:right="60" w:hanging="322"/>
        <w:spacing w:after="0" w:line="277"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75" w:lineRule="exact"/>
        <w:rPr>
          <w:rFonts w:ascii="Arial" w:cs="Arial" w:eastAsia="Arial" w:hAnsi="Arial"/>
          <w:sz w:val="18"/>
          <w:szCs w:val="18"/>
          <w:color w:val="auto"/>
        </w:rPr>
      </w:pPr>
    </w:p>
    <w:p>
      <w:pPr>
        <w:ind w:left="1620" w:right="140" w:hanging="322"/>
        <w:spacing w:after="0" w:line="277"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automating, introducing artificial intelligence, and integrating business processes that span service providers’ business systems and network solutions,</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1"/>
          <w:numId w:val="26"/>
        </w:numPr>
        <w:rPr>
          <w:rFonts w:ascii="Arial" w:cs="Arial" w:eastAsia="Arial" w:hAnsi="Arial"/>
          <w:sz w:val="17"/>
          <w:szCs w:val="17"/>
          <w:color w:val="auto"/>
        </w:rPr>
      </w:pPr>
      <w:r>
        <w:rPr>
          <w:rFonts w:ascii="Arial" w:cs="Arial" w:eastAsia="Arial" w:hAnsi="Arial"/>
          <w:sz w:val="17"/>
          <w:szCs w:val="17"/>
          <w:color w:val="auto"/>
        </w:rPr>
        <w:t>implementing and integrating new next-generation networks (and retiring legacy networks) to deploy new technologies, and</w:t>
      </w:r>
    </w:p>
    <w:p>
      <w:pPr>
        <w:spacing w:after="0" w:line="142" w:lineRule="exact"/>
        <w:rPr>
          <w:rFonts w:ascii="Arial" w:cs="Arial" w:eastAsia="Arial" w:hAnsi="Arial"/>
          <w:sz w:val="17"/>
          <w:szCs w:val="17"/>
          <w:color w:val="auto"/>
        </w:rPr>
      </w:pPr>
    </w:p>
    <w:p>
      <w:pPr>
        <w:ind w:left="1620" w:hanging="322"/>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transforming fragmented legacy OSS to introduce new services in a timely and cost-effective manner.</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Revenue from managed services arrangements is a significant part of our business generating substantial, long-term recurring revenue streams and cash flow. Revenue from managed services arrangements accounted for approximately $2.25 billion and $2.05 billion of revenue in fiscal 2019 and 2018,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121"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and media markets and to provide new and enhanced functionality to our existing product offerings. We leverage leading-edge development technologies and associated technologies, for example, DevOps, Continuous Integration/Continuous Development (CI/CD) and Agile, to ensure we are able to develop and deliver our solutions efficiently and cost-effectively.</w:t>
      </w:r>
    </w:p>
    <w:p>
      <w:pPr>
        <w:spacing w:after="0" w:line="158"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Substantially all of our research and development expenditures are directed at our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5G, small cells and Wi-Fi; big data analytics and intelligence capabilities leveraging natural language processing and artificial intelligence toward consumer and business satisfaction, marketing effectiveness and network operations and experience; increased focused for the business segment, digital, commerce and entertainment domains, platforms for processing, distributing and monetizing content globally and on foundational technologies including microservices and cloud infrastructure readiness. We believe that our research and development efforts are a key element of our strategy and are essential to our</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success. However, an increase or a decrease in our total revenue would not necessarily result in a proportional increase or decrease in the levels of our research and development expenditures, which could affect our operating margin.</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In recent years, we have invested in adopting open source components in an effort to reduce total cost of ownership for our customers, but our software and software systems remain the results of long, robust and intensive development processes. Although our technology is not significantly dependent on patents or licenses from third parties, certain aspects of our products continue to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following table sets forth for the fiscal years ended September 30, 2019, 2018 and 2017, certain items in our consolidated statements of income reflected as a percentage of revenue (figures may not sum because of rounding):</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Year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10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64.9</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100" w:type="dxa"/>
            <w:vAlign w:val="bottom"/>
            <w:gridSpan w:val="3"/>
          </w:tcPr>
          <w:p>
            <w:pPr>
              <w:jc w:val="right"/>
              <w:ind w:right="608"/>
              <w:spacing w:after="0"/>
              <w:rPr>
                <w:sz w:val="20"/>
                <w:szCs w:val="20"/>
                <w:color w:val="auto"/>
              </w:rPr>
            </w:pPr>
            <w:r>
              <w:rPr>
                <w:rFonts w:ascii="Arial" w:cs="Arial" w:eastAsia="Arial" w:hAnsi="Arial"/>
                <w:sz w:val="18"/>
                <w:szCs w:val="18"/>
                <w:color w:val="auto"/>
              </w:rPr>
              <w:t>6.7</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10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12.1</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w w:val="93"/>
              </w:rPr>
              <w:t>Amortization of purchased intangible assets and other</w:t>
            </w:r>
          </w:p>
        </w:tc>
        <w:tc>
          <w:tcPr>
            <w:tcW w:w="3100" w:type="dxa"/>
            <w:vAlign w:val="bottom"/>
            <w:gridSpan w:val="3"/>
          </w:tcPr>
          <w:p>
            <w:pPr>
              <w:jc w:val="right"/>
              <w:ind w:right="608"/>
              <w:spacing w:after="0"/>
              <w:rPr>
                <w:sz w:val="20"/>
                <w:szCs w:val="20"/>
                <w:color w:val="auto"/>
              </w:rPr>
            </w:pPr>
            <w:r>
              <w:rPr>
                <w:rFonts w:ascii="Arial" w:cs="Arial" w:eastAsia="Arial" w:hAnsi="Arial"/>
                <w:sz w:val="18"/>
                <w:szCs w:val="18"/>
                <w:color w:val="auto"/>
              </w:rPr>
              <w:t>2.4</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1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6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68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10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13.9</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9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10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13.9</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taxes</w:t>
            </w:r>
          </w:p>
        </w:tc>
        <w:tc>
          <w:tcPr>
            <w:tcW w:w="19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0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11.7%</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980" w:type="dxa"/>
            <w:vAlign w:val="bottom"/>
            <w:vMerge w:val="restart"/>
          </w:tcPr>
          <w:p>
            <w:pPr>
              <w:jc w:val="right"/>
              <w:ind w:right="1570"/>
              <w:spacing w:after="0"/>
              <w:rPr>
                <w:sz w:val="20"/>
                <w:szCs w:val="20"/>
                <w:color w:val="auto"/>
              </w:rPr>
            </w:pPr>
            <w:r>
              <w:rPr>
                <w:rFonts w:ascii="Arial" w:cs="Arial" w:eastAsia="Arial" w:hAnsi="Arial"/>
                <w:sz w:val="18"/>
                <w:szCs w:val="18"/>
                <w:color w:val="auto"/>
              </w:rPr>
              <w:t>32</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Fiscal Years Ended September 30, 2019 and 2018</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2019, compared to the fiscal year ended September 30, 2018. Following the table is a discussion and analysis of our business and results of operations for these fiscal years.</w:t>
      </w:r>
    </w:p>
    <w:p>
      <w:pPr>
        <w:spacing w:after="0" w:line="16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September 30,</w:t>
            </w: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Increase (Decrease)</w:t>
            </w: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4,086,669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3,974,837</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$ 111,832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2,653,172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2,595,276</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273,936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276,615</w:t>
            </w:r>
          </w:p>
        </w:tc>
        <w:tc>
          <w:tcPr>
            <w:tcW w:w="4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(2,679)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481,093</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97,358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108,489</w:t>
            </w:r>
          </w:p>
        </w:tc>
        <w:tc>
          <w:tcPr>
            <w:tcW w:w="4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(11,131)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85,057</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(85,057)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3,516,923</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3,546,530</w:t>
            </w:r>
          </w:p>
        </w:tc>
        <w:tc>
          <w:tcPr>
            <w:tcW w:w="4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(29,607)</w:t>
            </w:r>
          </w:p>
        </w:tc>
        <w:tc>
          <w:tcPr>
            <w:tcW w:w="3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569,746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428,307</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141,439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6,766</w:t>
            </w:r>
          </w:p>
        </w:tc>
        <w:tc>
          <w:tcPr>
            <w:tcW w:w="4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(4,907)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(72.5)</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567,887</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421,541</w:t>
            </w: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146,346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88,441</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67,145</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21,296</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479,446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354,396</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125,050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$111.8 million, or 2.8%, to $4,086.7 million in fiscal year 2019, from $3,974.8 million in fiscal year 2018.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revenue was attributable to increased managed services including managed transformation activities. Revenue for the year ended September 30, 2019 increased by 4.1% compared to fiscal year ended September 30, 2018, excluding approximately 1.3% negative foreign exchange fluctuations impact, and was also positively affected by activities related to acquisitions completed in fiscal year 2018 and to a lesser extent 2019 acquisition.</w:t>
      </w:r>
    </w:p>
    <w:p>
      <w:pPr>
        <w:spacing w:after="0" w:line="188"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In fiscal year 2019, revenue from customers in North America, Europe and the rest of the world accounted for 63.2%, 14.7% and 22.1%, respectively, of total revenue, compared to 64.2%, 14.4% and 21.4%, respectively, in fiscal year 2018. Revenue from customers in North America increased during the fiscal year 2019, while total revenue increased at a higher rate, which resulted in a decrease of revenue from customers in North America as a percentage of total revenue. The increase in revenue from customers in North America in absolute amounts was primarily attributable to higher revenue from key customers in North America as we support the continuous digital transformation of the region’s communications, Pay TV and media companies and by activities related to fiscal year 2018 acquisitions, partially offset by lower revenue with AT&amp;T. Revenue from customers in Europe increased in fiscal year 2019, despite negative foreign exchange fluctuations, primarily as a result of higher revenue from development and modernization activities while we expand our presence in this region. Revenue from customers in the rest of the world increased in fiscal year 2019, despite negative foreign exchange fluctuations, as a result of our expansion and progress of managed transformations activities for customers in the rest of the world.</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 consists primarily of costs associated with providing services to customers, including compensation expense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costs of third-party products, as well as fee and royalty payments to software suppliers. Cost of revenue increased by $57.9 million, or 2.2%,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$2,653.2 million in fiscal year 2019, from $2,595.3 million in fiscal year 2018. As a percentage of revenue, cost of revenue decreased to 64.9% in fiscal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year 2019 from 65.3% in fiscal year 2018. The Cost of revenue increase was commensurate with revenue growth, excluding the impact of changes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certain acquisition-related liabilities measured at fair value recognized in the fiscal years 2019 and 2018 in total amount of $2.2 million and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$17.7 million, respectively.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decreased by $2.7 million, or 1.0%, to $273.9 million in fiscal year 2019, from $276.6 million in fiscal year 2018. Research and development expense decreased as a percentage of revenue from 7.0% in fiscal year 2018, to 6.7% in fiscal year 2019. We continue to invest in our digital offering as well as our media offering, invest in our network related innovation and in developing cloud native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$11.4 million, or 2.4%, to $492.5 million in fiscal year 2019, from $481.1 million in fiscal year 2018. The increase in selling, general and administrative expense was primarily attributable to changes in the accounts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decreased by $11.1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10.3%, to $97.4 million in fiscal year 2019, from $108.5 million in fiscal year 2018.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years 2019 and 2018.</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Non-recurring Charges. </w:t>
      </w:r>
      <w:r>
        <w:rPr>
          <w:rFonts w:ascii="Arial" w:cs="Arial" w:eastAsia="Arial" w:hAnsi="Arial"/>
          <w:sz w:val="18"/>
          <w:szCs w:val="18"/>
          <w:color w:val="auto"/>
        </w:rPr>
        <w:t>There were no non-recurring charges in fiscal year 2019, while there were $85.1 million of such charges in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The non-recurring charges in fiscal year 2018 were primarily associated to a loss incurred to settle a long-running legal dispute and restructuring charges which were primarily associated with recently completed acquisitions and internal business realignment actions in North America. Please see Note 10 to our consolidated financial statements.</w:t>
      </w:r>
    </w:p>
    <w:p>
      <w:pPr>
        <w:spacing w:after="0" w:line="187"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income increased by $141.4 million, or 33.0%, to $569.7 million in fiscal year 2019, from $428.3 million in fiscal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2018. Operating income increased as a percentage of revenue, from 10.8% in fiscal year 2018 to 13.9% in fiscal year 2019. The increase in operating income was attributable primarily to revenue growth surpassing operating expenses growth in fiscal year 2019 as well as non-recurring charges recognized fiscal year 2018. Negative foreign exchange impacts on our revenue were partially offset by the foreign exchange reduction impact on our operating expense, resulting in a negative impact on our operating income.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Interest and Other Expense, Net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and other expense, net, changed from a net loss of $6.8 million in fiscal year 2018 to a net loss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 million in fiscal year 2019. The decrease in Interest and other expense, was primarily attributable to the realized and unrealized net gains relating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minority equity investments.</w:t>
      </w:r>
    </w:p>
    <w:p>
      <w:pPr>
        <w:spacing w:after="0" w:line="21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taxes for fiscal year 2019 were $88.4 million on pre-tax income of $567.9 million, resulting in an effective tax rate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15.6%, compared to 15.9% in fiscal year 2018. Our effective tax rate may fluctuate between periods as a result of discrete items that may affect a particular period. Please see Note 11 to our consolidated financial statements.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income increased by $125.1 million, or 35.3%, to $479.4 million in fiscal year 2019, from $354.4 million in fiscal year 2018.</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increase in net income was primarily attributable to the increase in Operating Income partially offset by increase in Income Taxes.</w:t>
      </w:r>
    </w:p>
    <w:p>
      <w:pPr>
        <w:spacing w:after="0" w:line="21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increased by $1.00, or 40.5%, to $3.47 in fiscal year 2019, from $2.47 in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The increase in diluted earnings per share was primarily attributable to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00"/>
        <w:spacing w:after="0" w:line="277" w:lineRule="auto"/>
        <w:rPr>
          <w:sz w:val="20"/>
          <w:szCs w:val="20"/>
          <w:color w:val="auto"/>
        </w:rPr>
      </w:pPr>
      <w:r>
        <w:rPr>
          <w:rFonts w:ascii="Arial" w:cs="Arial" w:eastAsia="Arial" w:hAnsi="Arial"/>
          <w:sz w:val="18"/>
          <w:szCs w:val="18"/>
          <w:color w:val="auto"/>
        </w:rPr>
        <w:t>the increase in net income as well as to the decrease in the diluted weighted average number of shares outstanding which resulted from share repurchases. Please see also Note 20 to our consolidated financial statements.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Fiscal Years Ended September 30, 2018 and 2017</w:t>
      </w:r>
    </w:p>
    <w:p>
      <w:pPr>
        <w:spacing w:after="0" w:line="117"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2018, compared to the fiscal year ended September 30, 2017. Following the table is a discussion and analysis of our business and results of operations for these fiscal years.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Year Ended September 30,</w:t>
            </w:r>
          </w:p>
        </w:tc>
        <w:tc>
          <w:tcPr>
            <w:tcW w:w="140" w:type="dxa"/>
            <w:vAlign w:val="bottom"/>
          </w:tcPr>
          <w:p>
            <w:pPr>
              <w:spacing w:after="0"/>
              <w:rPr>
                <w:sz w:val="14"/>
                <w:szCs w:val="14"/>
                <w:color w:val="auto"/>
              </w:rPr>
            </w:pPr>
          </w:p>
        </w:tc>
        <w:tc>
          <w:tcPr>
            <w:tcW w:w="17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right"/>
              <w:ind w:right="92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3,974,837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3,867,155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$ 107,682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2,595,276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2,507,656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87,620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276,615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259,097</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17,518</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108,489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110,291</w:t>
            </w:r>
          </w:p>
        </w:tc>
        <w:tc>
          <w:tcPr>
            <w:tcW w:w="1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(1,802)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85,057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3,546,530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3,349,822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196,708</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517,333</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(89,026)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(4,421)</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(2,345)</w:t>
            </w:r>
          </w:p>
        </w:tc>
        <w:tc>
          <w:tcPr>
            <w:tcW w:w="540" w:type="dxa"/>
            <w:vAlign w:val="bottom"/>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(91,371)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(8,941)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354,396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436,826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(82,430)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$107.7 million, or 2.8%, to $3,974.8 million in fiscal year 2018, from $3,867.2 million in fiscal year 2017.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increase in revenue, which was net of a revenue decrease from the sale of directory systems, was attributable to increased activity in Europe, and to a lesser extent in the rest of the world. The 2.8% increase in revenue, was positively affected by activity related to acquisitions in fiscal year 2018, as well as approximately half percent from foreign exchange fluctuations.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attributable to the sale of amdocsONE increased by $121.0 million, or 3.2%, to $3,930.1 million in fiscal year 2018, from</w:t>
      </w:r>
    </w:p>
    <w:p>
      <w:pPr>
        <w:spacing w:after="0" w:line="23"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$3,809.1 million in fiscal year 2017. The majority of increase in revenue was attributable to increased activity in Europe, and to a lesser extent in the rest of the world. Revenue resulting from the sale of amdocsONE represented 98.9% and 98.5% of our total revenue in fiscal years 2018 and 2017, respectively.</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attributable to the sale of directory systems decreased by $13.4 million, or 23.1%, to $44.7 million in fiscal year 2018, from</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$58.1 million in fiscal year 2017. This decrease was primarily attributable to continued slowness in the directory systems market and we anticipate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from the sale of directory systems will continue to decline in fiscal year 2019. Revenue from the sale of directory systems represented 1.1%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 of our total revenue in fiscal years 2018 and 2017, respectively.</w:t>
      </w:r>
    </w:p>
    <w:p>
      <w:pPr>
        <w:spacing w:after="0" w:line="211" w:lineRule="exact"/>
        <w:rPr>
          <w:sz w:val="20"/>
          <w:szCs w:val="20"/>
          <w:color w:val="auto"/>
        </w:rPr>
      </w:pPr>
    </w:p>
    <w:p>
      <w:pPr>
        <w:ind w:left="200" w:right="340" w:firstLine="441"/>
        <w:spacing w:after="0" w:line="276" w:lineRule="auto"/>
        <w:rPr>
          <w:sz w:val="20"/>
          <w:szCs w:val="20"/>
          <w:color w:val="auto"/>
        </w:rPr>
      </w:pPr>
      <w:r>
        <w:rPr>
          <w:rFonts w:ascii="Arial" w:cs="Arial" w:eastAsia="Arial" w:hAnsi="Arial"/>
          <w:sz w:val="17"/>
          <w:szCs w:val="17"/>
          <w:color w:val="auto"/>
        </w:rPr>
        <w:t>In fiscal year 2018, revenue from customers in North America, Europe and the rest of the world accounted for 64.2%, 14.4% and 21.4%, respectively, of total revenue, compared to 65.9%, 12.6% and 21.5%, respectively, in fiscal year 2017. Revenue from customers in North America slightly increased in fiscal year 2018, while total revenue increased at a higher rate, which resulted in a decrease of revenue from customers in North America as a percentage of total revenue. The decrease in the percentage of revenue from customers in North America was primarily attributable to lower activity with AT&amp;T. The decrease was partially offset by higher revenue from</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other key customers in North America as we support the continuous digital transformation of the region’s communications, Pay TV and media companies and by activities related to fiscal year 2018 acquisitions. The increase in revenue from customers in Europe was primarily attributable to higher revenue from development and modernization activities, while we expand our presence in this region, as well as to positive foreign exchange fluctuations.</w:t>
      </w:r>
    </w:p>
    <w:p>
      <w:pPr>
        <w:spacing w:after="0" w:line="18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Revenue from customers in the rest of the world increased in fiscal year 2018, while total revenue increased at a higher rate, which resulted in similar level of revenue from customers in the rest of the world as a percentage of total revenue. The increase in revenue from customers in the rest of the world was driven by increased activity in Asia-Pacific as a result of our progress with new and existing customers which was partially offset by lower revenue from other regions within the rest of the world.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 consists primarily of costs associated with providing services to customers, including compensation expense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costs of third-party products, as well as fee and royalty payments to software suppliers. Cost of revenue increased by $87.6 million, or 3.5%,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$2,595.3 million in fiscal year 2018, from $2,507.7 million in fiscal year 2017. As a percentage of revenue, cost of revenue increased to 65.3% in fiscal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year 2018 from 64.8% in fiscal year 2017. The decrease in the gross margin in fiscal year 2018 compared to fiscal year 2017 was primarily attributable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a loss resulting from changes in certain acquisition-related liabilities measured at fair value recognized in fiscal year 2018 as well as to an opposite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effect in fiscal year 2017 of a gain resulting from changes in certain acquisition-related liabilities measured at fair value recognized.</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Excluding the changes in certain acquisition-related liabilities measured at fair value mentioned above, we were able to maintain our gross margin in fiscal year 2018.</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$17.5 million, or 6.8%, to $276.6 million in fiscal year 2018, from $259.1 million in fiscal year 2017. Research and development expense increased as a percentage of revenue from 6.7% in fiscal year 2017, to 7.0% in fiscal year 2018. We continue to expand our digital offering as well as our media offering, invest in our network related innovation and in developing cloud native offering.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$8.3 million, or 1.8%, to $481.1 million in fiscal year 2018, from $472.8 million in fiscal year 2017. Selling, general and administrative expense decreased as a percentage of revenue from 12.2% in fiscal year 2017, to 12.1% in fiscal year 2018. Selling, general and administrative expense may fluctuate from time to time, depending upon such factors as changes in our workforce and sales efforts and the results of any operational efficiency programs that we may undertake.</w:t>
      </w:r>
    </w:p>
    <w:p>
      <w:pPr>
        <w:spacing w:after="0" w:line="18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decreased by $1.8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 to $108.5 million in fiscal year 2018, from $110.3 million in fiscal year 2017. The decrease in amortization of purchased intangible assets and other was primarily attributable to a decrease in amortization caused by fully amortized intangible assets partially offset by increase of amortization of intangible assets due to the acquisitions completed in fiscal year 2018.</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Non-recurring Charges. </w:t>
      </w:r>
      <w:r>
        <w:rPr>
          <w:rFonts w:ascii="Arial" w:cs="Arial" w:eastAsia="Arial" w:hAnsi="Arial"/>
          <w:sz w:val="18"/>
          <w:szCs w:val="18"/>
          <w:color w:val="auto"/>
        </w:rPr>
        <w:t>Non-recurring charges for fiscal year 2018 were $85.1 million, while there were no such charges in the fiscal year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non-recurring charges include a loss incurred to settle a long-running legal dispute and restructuring charges which were primarily associated with recently completed acquisitions and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internal business realignment actions in North America. Please see Note 10 to our consolidated financial statements.</w:t>
      </w:r>
    </w:p>
    <w:p>
      <w:pPr>
        <w:spacing w:after="0" w:line="22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income decreased by $89.0 million, or 17.2%, to $428.3 million in fiscal year 2018, from $517.3 million in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2017. Operating income decreased as a percentage of revenue, from 13.4% in fiscal year 2017 to 10.8% in fiscal year 2018. The decrease in operating income as a percentage of revenue was attributable mainly to operating expenses, particularly to non-recurring charges recognized in fiscal year 2018. Negative foreign exchange impacts on our operating income which resulted from negative impact on our operating expenses, were partially offset by positive foreign exchange impacts on our revenue.</w:t>
      </w:r>
    </w:p>
    <w:p>
      <w:pPr>
        <w:spacing w:after="0" w:line="188"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b w:val="1"/>
          <w:bCs w:val="1"/>
          <w:i w:val="1"/>
          <w:iCs w:val="1"/>
          <w:color w:val="auto"/>
        </w:rPr>
        <w:t>Interest and Other (Expense) Income,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income, net, changed from a net loss of $4.4 million in fiscal year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net loss of $6.8 million in fiscal year 2018. This change in interest and other (expense) income, net, was primarily attributable to foreign exchange impacts.</w:t>
      </w:r>
    </w:p>
    <w:p>
      <w:pPr>
        <w:spacing w:after="0" w:line="18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taxes for fiscal year 2018 were $67.1 million on pre-tax income of $421.5 million, resulting in an effective tax rate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15.9%, compared to 14.8% in fiscal year 2017. Our effective tax rate may fluctuate between periods as a result of discrete items that may affect a particular period. Please see Note 11 to our consolidated financial statements.</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decreased by $82.4 million, or 18.9%, to $354.4 million in fiscal year 2018, from $436.8 million in fiscal year 2017.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net income was primarily attributable to non-recurring charges recognized in fiscal year 2018.</w:t>
      </w:r>
    </w:p>
    <w:p>
      <w:pPr>
        <w:spacing w:after="0" w:line="17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decreased by $0.49, or 16.6%, to $2.47 in fiscal year 2018, from $2.96 in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The decrease in diluted earnings per share was primarily attributable to non-recurring charges, partially offset by the decrease in the diluted weighted average number of shares outstanding, which resulted from share repurchases. Please see also Note 20 to our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Cash, Cash Equivalents and Short-Term Interest-Bearing Investments. </w:t>
      </w:r>
      <w:r>
        <w:rPr>
          <w:rFonts w:ascii="Arial" w:cs="Arial" w:eastAsia="Arial" w:hAnsi="Arial"/>
          <w:sz w:val="17"/>
          <w:szCs w:val="17"/>
          <w:color w:val="auto"/>
        </w:rPr>
        <w:t>Cash, cash equivalents and short-term interest-bearing investments, totaled</w:t>
      </w:r>
      <w:r>
        <w:rPr>
          <w:rFonts w:ascii="Arial" w:cs="Arial" w:eastAsia="Arial" w:hAnsi="Arial"/>
          <w:sz w:val="17"/>
          <w:szCs w:val="17"/>
          <w:i w:val="1"/>
          <w:iCs w:val="1"/>
          <w:color w:val="auto"/>
        </w:rPr>
        <w:t xml:space="preserve"> </w:t>
      </w:r>
      <w:r>
        <w:rPr>
          <w:rFonts w:ascii="Arial" w:cs="Arial" w:eastAsia="Arial" w:hAnsi="Arial"/>
          <w:sz w:val="17"/>
          <w:szCs w:val="17"/>
          <w:color w:val="auto"/>
        </w:rPr>
        <w:t>$471.6 million as of September 30, 2019, compared to $519.2 million as of September 30, 2018. The decrease was mainly attributable to $398.1 million used to repurchase of our ordinary shares, $147.6 million of cash dividend payment, $128.1 million for capital expenditures, net, $60.6 million acquisition payment, $7.5 million contingent consideration payment from a business acquisition and $4.8 million payment to non-controlling interests, partially offset by $656.4 million in positive cash flow from operations and $41.5 million of proceeds from stock option exercises. Net cash provided by operating activities amounted to $656.4 million and $557.2 in fiscal years 2019 and 2018, respectively.</w:t>
      </w:r>
    </w:p>
    <w:p>
      <w:pPr>
        <w:spacing w:after="0" w:line="178"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free cash for fiscal year 2019 was $528.3 million, is calculated as net cash provided by operating activities of $656.4 million for the period less $128.1 million for capital expenditures, net. Our normalized free cash flow for fiscal year 2019 was $613.5 million, is calculated as net cash provided by operating activities of $656.4 million for the period less $128.1 million for capital expenditures, net, excluding $55.0 million of payments related to the settlement of the legal dispute in the U.S. District Court in Oregon, $15.6 million of payments for the non-recurring charges for re-alignment actions in North-America, $7.7 million of payment of acquisition related liabilities and $6.9 million of the capital expenditures associated with the multiyear development of our new campus in Israel, (which is net of proceeds of $9.7 million relating to the refund of betterment levy).</w:t>
      </w:r>
    </w:p>
    <w:p>
      <w:pPr>
        <w:spacing w:after="0" w:line="16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Free cash flow and normalized free cash flow are non-GAAP financial measures and are not prepared in accordance with, and are not alternatives for, generally accepted accounting principles and may be different from</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non-GAAP financial measures with similar names used by other companies. Non-GAAP measures such as free cash flow and normalized free cash flow should only be reviewed in conjunction with the corresponding GAAP measures. We believe that the foregoing non-GAAP financial measures, when used in conjunction with the corresponding GAAP measure provide useful information to investors and management relating to the amount of cash generated by the Company’s business operations.</w:t>
      </w:r>
    </w:p>
    <w:p>
      <w:pPr>
        <w:spacing w:after="0" w:line="187"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Our policy is to retain sufficient cash balances in order to support our growth. We believe that our current cash balances, cash generated from operations, our current lines of credit and our ability to access capital markets will provide sufficient resources to meet our operational needs, fund the construction of the new campus in Israel, fund share repurchases and the payment of cash dividends for at least the next fiscal year.</w:t>
      </w:r>
    </w:p>
    <w:p>
      <w:pPr>
        <w:spacing w:after="0" w:line="147" w:lineRule="exact"/>
        <w:rPr>
          <w:sz w:val="20"/>
          <w:szCs w:val="20"/>
          <w:color w:val="auto"/>
        </w:rPr>
      </w:pPr>
    </w:p>
    <w:p>
      <w:pPr>
        <w:ind w:left="200" w:right="340" w:firstLine="441"/>
        <w:spacing w:after="0" w:line="273" w:lineRule="auto"/>
        <w:rPr>
          <w:sz w:val="20"/>
          <w:szCs w:val="20"/>
          <w:color w:val="auto"/>
        </w:rPr>
      </w:pPr>
      <w:r>
        <w:rPr>
          <w:rFonts w:ascii="Arial" w:cs="Arial" w:eastAsia="Arial" w:hAnsi="Arial"/>
          <w:sz w:val="17"/>
          <w:szCs w:val="17"/>
          <w:color w:val="auto"/>
        </w:rPr>
        <w:t>As a general long-term guideline, we expect to retain a portion of our free cash flow to support the growth of our business, including possible mergers and acquisitions. In fiscal year 2020, we plan to return to shareholders roughly 100% of our normalized free cash flow (i.e. before capital expenditures associated with the multiyear development of our new campus in Israel and other items), subject to financial performance, outlook and liquidity, the size of possible mergers and acquisitions activity, financial market conditions and prevailing industry condition, (see also Note 2 to our consolidated financial statements) through our ongoing share repurchase and dividend program. While having this plan in mind, our actual share repurchase activity and payment of future dividends, if any, may vary quarterly or annually.</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if applicable, generally consist primarily of bank deposits, corporate bonds, money market funds, U.S. government treasuries, and U.S. agency securities. We believe we have conservative investment policy guidelines. Our interest-bearing investments are stated at fair value with the unrealized gains or losses reported as a separate component of accumulated other comprehensive (loss) income,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fiscal years 2019 and 2018 we did not recognize credit losses. Please see Notes 5 and 6 to our consolidated financial statements.</w:t>
      </w:r>
    </w:p>
    <w:p>
      <w:pPr>
        <w:spacing w:after="0" w:line="16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Revolving Credit Facility, Letters of Credit and Guarantees. </w:t>
      </w:r>
      <w:r>
        <w:rPr>
          <w:rFonts w:ascii="Arial" w:cs="Arial" w:eastAsia="Arial" w:hAnsi="Arial"/>
          <w:sz w:val="17"/>
          <w:szCs w:val="17"/>
          <w:color w:val="auto"/>
        </w:rPr>
        <w:t>In 2011, we entered into an unsecured $500.0 million five-year revolving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with a syndicate of banks. In December 2014 and in December 2017, the credit facility was amended and restated to, among other things, extend the maturity date of the facility to December 2019 and December 2022, respectively.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in part on our credit rating. In March 2017, we borrowed an aggregate of $200.0 million under the facility and repaid it in April 2017. In March 2018, we borrowed an aggregate of $120.0 million under the facility and repaid it in April 2018. As of September 30, 2019, we were in compliance with the financial covenants under the revolving credit facility and had no outstanding borrowings under this facility.</w:t>
      </w:r>
    </w:p>
    <w:p>
      <w:pPr>
        <w:spacing w:after="0" w:line="17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As of September 30, 2019, we had additional uncommitted lines of credit available for general corporate and other specific purposes and had outstanding letters of credit and bank guarantees from various banks totaling $91.3 million. These were supported by a combination of the uncommitted lines of credit that we maintain with various banks.</w:t>
      </w:r>
    </w:p>
    <w:p>
      <w:pPr>
        <w:spacing w:after="0" w:line="181"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During fiscal year 2019, we acquired TTS Wireless for approximately $50.0 million in cash and potential additional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achievement of certain performance metrics. During fiscal year 2018, we acquired three technology companies to expand our digital and media offering: Vubiquity, projekt202 and UXP Systems (“UXP”), for the aggregate purchase price of $355.1 million in cash.</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(excluding the investment in our new campus in Israel)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purchases of computer equipment, and the remainder is attributable mainly to leasehold improvements. Our capital expenditures were approximately $128.1 million and included proceeds, of mainly $9.7 million relating to refund of betterment levy in fiscal year 2019. Our fiscal year 2019 capital expenditures were mainly attributable to investments in our operating facilities and our development centers around the world. Regarding our expected investment in our new campus in Israel, please see Note 2 to our consolidated financial statements.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From time to time, our Board of Directors can adopt share repurchase plans authorizing the repurchase of our outstanding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ordinary shares. On November 8, 2017, our Board of Directors adopted another share repurchase plan for the repurchase of up to an additional</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$800.0 million of our outstanding ordinary shares with no expiration date. In April 2018, we completed the repurchase of the remaining authorized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amount of ordinary shares under the February, 2016 plan and began executing repurchases under the November 2017 plan. In fiscal year 2019,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repurchased approximately 6.7 million ordinary shares at an average price of $59.79 per share (excluding broker and transaction fees). The November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2017 plan permits us to purchase our ordinary shares in open market or privately negotiated transactions at times and prices that we consider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appropriate. As of September 30, 2019, we had remaining authority to repurchase up to $239.2 million of our outstanding ordinary shares under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November 2017 plan. On November 12, 2019, our Board of Directors adopted another share repurchase plan for the repurchase of up to an additional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$800.0 million of our outstanding ordinary shares with no expiration date which brings the unused authorization as of September 30, 2019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$1,039.2 million. The authorizations permit us to purchase our ordinary shares in open market or privately negotiated transactions at times and prices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that we consider appropriate.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years 2019, 2018 and 2017:</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80" w:type="dxa"/>
            <w:vAlign w:val="bottom"/>
            <w:gridSpan w:val="2"/>
          </w:tcPr>
          <w:p>
            <w:pPr>
              <w:ind w:left="1220"/>
              <w:spacing w:after="0"/>
              <w:rPr>
                <w:sz w:val="20"/>
                <w:szCs w:val="20"/>
                <w:color w:val="auto"/>
              </w:rPr>
            </w:pPr>
            <w:r>
              <w:rPr>
                <w:rFonts w:ascii="Arial" w:cs="Arial" w:eastAsia="Arial" w:hAnsi="Arial"/>
                <w:sz w:val="14"/>
                <w:szCs w:val="14"/>
                <w:b w:val="1"/>
                <w:bCs w:val="1"/>
                <w:color w:val="auto"/>
              </w:rPr>
              <w:t>Dividends Per</w:t>
            </w:r>
          </w:p>
        </w:tc>
        <w:tc>
          <w:tcPr>
            <w:tcW w:w="2060" w:type="dxa"/>
            <w:vAlign w:val="bottom"/>
          </w:tcPr>
          <w:p>
            <w:pPr>
              <w:spacing w:after="0"/>
              <w:rPr>
                <w:sz w:val="14"/>
                <w:szCs w:val="14"/>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 Amount</w:t>
            </w:r>
          </w:p>
        </w:tc>
        <w:tc>
          <w:tcPr>
            <w:tcW w:w="1580" w:type="dxa"/>
            <w:vAlign w:val="bottom"/>
          </w:tcPr>
          <w:p>
            <w:pPr>
              <w:spacing w:after="0"/>
              <w:rPr>
                <w:sz w:val="14"/>
                <w:szCs w:val="14"/>
                <w:color w:val="auto"/>
              </w:rPr>
            </w:pPr>
          </w:p>
        </w:tc>
      </w:tr>
      <w:tr>
        <w:trPr>
          <w:trHeight w:val="192"/>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2480" w:type="dxa"/>
            <w:vAlign w:val="bottom"/>
            <w:gridSpan w:val="2"/>
          </w:tcPr>
          <w:p>
            <w:pPr>
              <w:ind w:left="1160"/>
              <w:spacing w:after="0"/>
              <w:rPr>
                <w:sz w:val="20"/>
                <w:szCs w:val="20"/>
                <w:color w:val="auto"/>
              </w:rPr>
            </w:pPr>
            <w:r>
              <w:rPr>
                <w:rFonts w:ascii="Arial" w:cs="Arial" w:eastAsia="Arial" w:hAnsi="Arial"/>
                <w:sz w:val="14"/>
                <w:szCs w:val="14"/>
                <w:b w:val="1"/>
                <w:bCs w:val="1"/>
                <w:color w:val="auto"/>
              </w:rPr>
              <w:t>Ordinary Share</w:t>
            </w:r>
          </w:p>
        </w:tc>
        <w:tc>
          <w:tcPr>
            <w:tcW w:w="2060" w:type="dxa"/>
            <w:vAlign w:val="bottom"/>
          </w:tcPr>
          <w:p>
            <w:pPr>
              <w:ind w:left="660"/>
              <w:spacing w:after="0"/>
              <w:rPr>
                <w:sz w:val="20"/>
                <w:szCs w:val="20"/>
                <w:color w:val="auto"/>
              </w:rPr>
            </w:pPr>
            <w:r>
              <w:rPr>
                <w:rFonts w:ascii="Arial" w:cs="Arial" w:eastAsia="Arial" w:hAnsi="Arial"/>
                <w:sz w:val="14"/>
                <w:szCs w:val="14"/>
                <w:b w:val="1"/>
                <w:bCs w:val="1"/>
                <w:color w:val="auto"/>
              </w:rPr>
              <w:t>Record Date</w:t>
            </w: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ind w:left="520"/>
              <w:spacing w:after="0"/>
              <w:rPr>
                <w:sz w:val="20"/>
                <w:szCs w:val="20"/>
                <w:color w:val="auto"/>
              </w:rPr>
            </w:pPr>
            <w:r>
              <w:rPr>
                <w:rFonts w:ascii="Arial" w:cs="Arial" w:eastAsia="Arial" w:hAnsi="Arial"/>
                <w:sz w:val="14"/>
                <w:szCs w:val="14"/>
                <w:b w:val="1"/>
                <w:bCs w:val="1"/>
                <w:color w:val="auto"/>
              </w:rPr>
              <w:t>Payment Date</w:t>
            </w:r>
          </w:p>
        </w:tc>
      </w:tr>
      <w:tr>
        <w:trPr>
          <w:trHeight w:val="216"/>
        </w:trPr>
        <w:tc>
          <w:tcPr>
            <w:tcW w:w="20" w:type="dxa"/>
            <w:vAlign w:val="bottom"/>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7, 2019</w:t>
            </w:r>
          </w:p>
        </w:tc>
        <w:tc>
          <w:tcPr>
            <w:tcW w:w="150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0.285</w:t>
            </w:r>
          </w:p>
        </w:tc>
        <w:tc>
          <w:tcPr>
            <w:tcW w:w="20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September 30, 2019</w:t>
            </w:r>
          </w:p>
        </w:tc>
        <w:tc>
          <w:tcPr>
            <w:tcW w:w="6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38.4</w:t>
            </w:r>
          </w:p>
        </w:tc>
        <w:tc>
          <w:tcPr>
            <w:tcW w:w="1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9"/>
              </w:rPr>
              <w:t>October 25, 2019</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May 14, 2019</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0.285</w:t>
            </w:r>
          </w:p>
        </w:tc>
        <w:tc>
          <w:tcPr>
            <w:tcW w:w="2060" w:type="dxa"/>
            <w:vAlign w:val="bottom"/>
          </w:tcPr>
          <w:p>
            <w:pPr>
              <w:ind w:left="320"/>
              <w:spacing w:after="0"/>
              <w:rPr>
                <w:sz w:val="20"/>
                <w:szCs w:val="20"/>
                <w:color w:val="auto"/>
              </w:rPr>
            </w:pPr>
            <w:r>
              <w:rPr>
                <w:rFonts w:ascii="Arial" w:cs="Arial" w:eastAsia="Arial" w:hAnsi="Arial"/>
                <w:sz w:val="18"/>
                <w:szCs w:val="18"/>
                <w:color w:val="auto"/>
              </w:rPr>
              <w:t>June 28, 2019</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38.7</w:t>
            </w:r>
          </w:p>
        </w:tc>
        <w:tc>
          <w:tcPr>
            <w:tcW w:w="1580" w:type="dxa"/>
            <w:vAlign w:val="bottom"/>
          </w:tcPr>
          <w:p>
            <w:pPr>
              <w:ind w:left="320"/>
              <w:spacing w:after="0"/>
              <w:rPr>
                <w:sz w:val="20"/>
                <w:szCs w:val="20"/>
                <w:color w:val="auto"/>
              </w:rPr>
            </w:pPr>
            <w:r>
              <w:rPr>
                <w:rFonts w:ascii="Arial" w:cs="Arial" w:eastAsia="Arial" w:hAnsi="Arial"/>
                <w:sz w:val="18"/>
                <w:szCs w:val="18"/>
                <w:color w:val="auto"/>
              </w:rPr>
              <w:t>July 19, 2019</w:t>
            </w: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February 5, 2019</w:t>
            </w:r>
          </w:p>
        </w:tc>
        <w:tc>
          <w:tcPr>
            <w:tcW w:w="15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0.285</w:t>
            </w:r>
          </w:p>
        </w:tc>
        <w:tc>
          <w:tcPr>
            <w:tcW w:w="2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29, 2019</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39.1</w:t>
            </w:r>
          </w:p>
        </w:tc>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19, 2019</w:t>
            </w:r>
          </w:p>
        </w:tc>
      </w:tr>
      <w:tr>
        <w:trPr>
          <w:trHeight w:val="223"/>
        </w:trPr>
        <w:tc>
          <w:tcPr>
            <w:tcW w:w="20" w:type="dxa"/>
            <w:vAlign w:val="bottom"/>
          </w:tcPr>
          <w:p>
            <w:pPr>
              <w:spacing w:after="0"/>
              <w:rPr>
                <w:sz w:val="19"/>
                <w:szCs w:val="19"/>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2018</w:t>
            </w:r>
          </w:p>
        </w:tc>
        <w:tc>
          <w:tcPr>
            <w:tcW w:w="15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0.250</w:t>
            </w:r>
          </w:p>
        </w:tc>
        <w:tc>
          <w:tcPr>
            <w:tcW w:w="20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31, 2018</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34.8</w:t>
            </w: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9"/>
              </w:rPr>
              <w:t>January 18, 2019</w:t>
            </w: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July 31, 2018</w:t>
            </w:r>
          </w:p>
        </w:tc>
        <w:tc>
          <w:tcPr>
            <w:tcW w:w="15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0.250</w:t>
            </w:r>
          </w:p>
        </w:tc>
        <w:tc>
          <w:tcPr>
            <w:tcW w:w="2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28, 2018</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35.0</w:t>
            </w:r>
          </w:p>
        </w:tc>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October 19, 2018</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May 10, 2018</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0.250</w:t>
            </w:r>
          </w:p>
        </w:tc>
        <w:tc>
          <w:tcPr>
            <w:tcW w:w="2060" w:type="dxa"/>
            <w:vAlign w:val="bottom"/>
          </w:tcPr>
          <w:p>
            <w:pPr>
              <w:ind w:left="320"/>
              <w:spacing w:after="0"/>
              <w:rPr>
                <w:sz w:val="20"/>
                <w:szCs w:val="20"/>
                <w:color w:val="auto"/>
              </w:rPr>
            </w:pPr>
            <w:r>
              <w:rPr>
                <w:rFonts w:ascii="Arial" w:cs="Arial" w:eastAsia="Arial" w:hAnsi="Arial"/>
                <w:sz w:val="18"/>
                <w:szCs w:val="18"/>
                <w:color w:val="auto"/>
              </w:rPr>
              <w:t>June 29, 2018</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35.4</w:t>
            </w:r>
          </w:p>
        </w:tc>
        <w:tc>
          <w:tcPr>
            <w:tcW w:w="1580" w:type="dxa"/>
            <w:vAlign w:val="bottom"/>
          </w:tcPr>
          <w:p>
            <w:pPr>
              <w:ind w:left="320"/>
              <w:spacing w:after="0"/>
              <w:rPr>
                <w:sz w:val="20"/>
                <w:szCs w:val="20"/>
                <w:color w:val="auto"/>
              </w:rPr>
            </w:pPr>
            <w:r>
              <w:rPr>
                <w:rFonts w:ascii="Arial" w:cs="Arial" w:eastAsia="Arial" w:hAnsi="Arial"/>
                <w:sz w:val="18"/>
                <w:szCs w:val="18"/>
                <w:color w:val="auto"/>
              </w:rPr>
              <w:t>July 20, 2018</w:t>
            </w: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5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0.250</w:t>
            </w:r>
          </w:p>
        </w:tc>
        <w:tc>
          <w:tcPr>
            <w:tcW w:w="2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30, 2018</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35.6</w:t>
            </w:r>
          </w:p>
        </w:tc>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20, 2018</w:t>
            </w:r>
          </w:p>
        </w:tc>
      </w:tr>
      <w:tr>
        <w:trPr>
          <w:trHeight w:val="223"/>
        </w:trPr>
        <w:tc>
          <w:tcPr>
            <w:tcW w:w="20" w:type="dxa"/>
            <w:vAlign w:val="bottom"/>
          </w:tcPr>
          <w:p>
            <w:pPr>
              <w:spacing w:after="0"/>
              <w:rPr>
                <w:sz w:val="19"/>
                <w:szCs w:val="19"/>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2017</w:t>
            </w:r>
          </w:p>
        </w:tc>
        <w:tc>
          <w:tcPr>
            <w:tcW w:w="15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0.220</w:t>
            </w:r>
          </w:p>
        </w:tc>
        <w:tc>
          <w:tcPr>
            <w:tcW w:w="20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29, 2017</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31.6</w:t>
            </w: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9"/>
              </w:rPr>
              <w:t>January 19, 2018</w:t>
            </w: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5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0.220</w:t>
            </w:r>
          </w:p>
        </w:tc>
        <w:tc>
          <w:tcPr>
            <w:tcW w:w="2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29, 2017</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31.7</w:t>
            </w:r>
          </w:p>
        </w:tc>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October 23, 2017</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May 9, 2017</w:t>
            </w:r>
          </w:p>
        </w:tc>
        <w:tc>
          <w:tcPr>
            <w:tcW w:w="1500" w:type="dxa"/>
            <w:vAlign w:val="bottom"/>
          </w:tcPr>
          <w:p>
            <w:pPr>
              <w:ind w:left="1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0.220</w:t>
            </w:r>
          </w:p>
        </w:tc>
        <w:tc>
          <w:tcPr>
            <w:tcW w:w="2060" w:type="dxa"/>
            <w:vAlign w:val="bottom"/>
          </w:tcPr>
          <w:p>
            <w:pPr>
              <w:ind w:left="320"/>
              <w:spacing w:after="0"/>
              <w:rPr>
                <w:sz w:val="20"/>
                <w:szCs w:val="20"/>
                <w:color w:val="auto"/>
              </w:rPr>
            </w:pPr>
            <w:r>
              <w:rPr>
                <w:rFonts w:ascii="Arial" w:cs="Arial" w:eastAsia="Arial" w:hAnsi="Arial"/>
                <w:sz w:val="18"/>
                <w:szCs w:val="18"/>
                <w:color w:val="auto"/>
              </w:rPr>
              <w:t>June 30, 2017</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32.0</w:t>
            </w:r>
          </w:p>
        </w:tc>
        <w:tc>
          <w:tcPr>
            <w:tcW w:w="1580" w:type="dxa"/>
            <w:vAlign w:val="bottom"/>
          </w:tcPr>
          <w:p>
            <w:pPr>
              <w:ind w:left="320"/>
              <w:spacing w:after="0"/>
              <w:rPr>
                <w:sz w:val="20"/>
                <w:szCs w:val="20"/>
                <w:color w:val="auto"/>
              </w:rPr>
            </w:pPr>
            <w:r>
              <w:rPr>
                <w:rFonts w:ascii="Arial" w:cs="Arial" w:eastAsia="Arial" w:hAnsi="Arial"/>
                <w:sz w:val="18"/>
                <w:szCs w:val="18"/>
                <w:color w:val="auto"/>
              </w:rPr>
              <w:t>July 14, 2017</w:t>
            </w: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15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0.220</w:t>
            </w:r>
          </w:p>
        </w:tc>
        <w:tc>
          <w:tcPr>
            <w:tcW w:w="2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31, 2017</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32.2</w:t>
            </w:r>
          </w:p>
        </w:tc>
        <w:tc>
          <w:tcPr>
            <w:tcW w:w="1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14, 2017</w:t>
            </w:r>
          </w:p>
        </w:tc>
      </w:tr>
      <w:tr>
        <w:trPr>
          <w:trHeight w:val="216"/>
        </w:trPr>
        <w:tc>
          <w:tcPr>
            <w:tcW w:w="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2016</w:t>
            </w:r>
          </w:p>
        </w:tc>
        <w:tc>
          <w:tcPr>
            <w:tcW w:w="150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0.195</w:t>
            </w:r>
          </w:p>
        </w:tc>
        <w:tc>
          <w:tcPr>
            <w:tcW w:w="20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30, 2016</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28.6</w:t>
            </w: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9"/>
              </w:rPr>
              <w:t>January 13, 2017</w:t>
            </w:r>
          </w:p>
        </w:tc>
      </w:tr>
    </w:tbl>
    <w:p>
      <w:pPr>
        <w:spacing w:after="0" w:line="21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November 12, 2019, our Board of Directors approved a quarterly dividend payment of $0.285 per share and set December 31, 2019 as the record date for determining the shareholders entitled to receive the dividend, which is payable on January 24, 2020. On November 12, 2019, our Board of Directors also approved, subject to shareholder approval at the January 2020 annual general meeting of shareholders, an increase in the quarterly cash dividend to $0.3275 per share, anticipated to be paid in April 2020.</w:t>
      </w:r>
    </w:p>
    <w:p>
      <w:pPr>
        <w:spacing w:after="0" w:line="18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2019, and the effect such obligations are expected to have on our liquidity and cash flows in future periods (in millions):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center"/>
              <w:ind w:left="16"/>
              <w:spacing w:after="0"/>
              <w:rPr>
                <w:sz w:val="20"/>
                <w:szCs w:val="20"/>
                <w:color w:val="auto"/>
              </w:rPr>
            </w:pPr>
            <w:r>
              <w:rPr>
                <w:rFonts w:ascii="Arial" w:cs="Arial" w:eastAsia="Arial" w:hAnsi="Arial"/>
                <w:sz w:val="14"/>
                <w:szCs w:val="14"/>
                <w:b w:val="1"/>
                <w:bCs w:val="1"/>
                <w:color w:val="auto"/>
                <w:w w:val="92"/>
              </w:rPr>
              <w:t>Payments Due by Period</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9"/>
              </w:rPr>
              <w:t>Total</w:t>
            </w:r>
          </w:p>
        </w:tc>
        <w:tc>
          <w:tcPr>
            <w:tcW w:w="100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w w:val="96"/>
              </w:rPr>
              <w:t>Less Than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5"/>
              </w:rPr>
              <w:t>1-3</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w w:val="95"/>
              </w:rPr>
              <w:t>4-5</w:t>
            </w:r>
          </w:p>
        </w:tc>
        <w:tc>
          <w:tcPr>
            <w:tcW w:w="1080" w:type="dxa"/>
            <w:vAlign w:val="bottom"/>
            <w:gridSpan w:val="3"/>
          </w:tcPr>
          <w:p>
            <w:pPr>
              <w:ind w:left="38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7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6"/>
              <w:spacing w:after="0" w:line="158" w:lineRule="exact"/>
              <w:rPr>
                <w:sz w:val="20"/>
                <w:szCs w:val="20"/>
                <w:color w:val="auto"/>
              </w:rPr>
            </w:pPr>
            <w:r>
              <w:rPr>
                <w:rFonts w:ascii="Arial" w:cs="Arial" w:eastAsia="Arial" w:hAnsi="Arial"/>
                <w:sz w:val="14"/>
                <w:szCs w:val="14"/>
                <w:b w:val="1"/>
                <w:bCs w:val="1"/>
                <w:color w:val="auto"/>
                <w:w w:val="95"/>
              </w:rPr>
              <w:t>1 Year</w:t>
            </w:r>
          </w:p>
        </w:tc>
        <w:tc>
          <w:tcPr>
            <w:tcW w:w="360" w:type="dxa"/>
            <w:vAlign w:val="bottom"/>
          </w:tcPr>
          <w:p>
            <w:pPr>
              <w:spacing w:after="0"/>
              <w:rPr>
                <w:sz w:val="15"/>
                <w:szCs w:val="15"/>
                <w:color w:val="auto"/>
              </w:rPr>
            </w:pPr>
          </w:p>
        </w:tc>
        <w:tc>
          <w:tcPr>
            <w:tcW w:w="5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Years</w:t>
            </w:r>
          </w:p>
        </w:tc>
        <w:tc>
          <w:tcPr>
            <w:tcW w:w="380" w:type="dxa"/>
            <w:vAlign w:val="bottom"/>
          </w:tcPr>
          <w:p>
            <w:pPr>
              <w:spacing w:after="0"/>
              <w:rPr>
                <w:sz w:val="15"/>
                <w:szCs w:val="15"/>
                <w:color w:val="auto"/>
              </w:rPr>
            </w:pPr>
          </w:p>
        </w:tc>
        <w:tc>
          <w:tcPr>
            <w:tcW w:w="4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Years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Pension funding</w:t>
            </w:r>
          </w:p>
        </w:tc>
        <w:tc>
          <w:tcPr>
            <w:tcW w:w="5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331.6</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144.4</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44.0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440.5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183.4</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46.9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u w:val="single" w:color="auto"/>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88" w:lineRule="auto"/>
        <w:rPr>
          <w:sz w:val="20"/>
          <w:szCs w:val="20"/>
          <w:color w:val="auto"/>
        </w:rPr>
      </w:pPr>
      <w:r>
        <w:rPr>
          <w:rFonts w:ascii="Arial" w:cs="Arial" w:eastAsia="Arial" w:hAnsi="Arial"/>
          <w:sz w:val="16"/>
          <w:szCs w:val="16"/>
          <w:color w:val="auto"/>
        </w:rPr>
        <w:t>As discussed in Note 2 to our consolidated financial statements, we purchased specific land to use as the future site of the new campus in Ra’anana, Israel and we are obligated to construct the campus. The total net investment we expect to make in connection with the construction of the new campus is estimated to be up to $350 million over a period of four to five years, starting with fiscal year 2018, out of which approximately</w:t>
      </w:r>
    </w:p>
    <w:p>
      <w:pPr>
        <w:ind w:left="200" w:right="40"/>
        <w:spacing w:after="0" w:line="254" w:lineRule="auto"/>
        <w:rPr>
          <w:sz w:val="20"/>
          <w:szCs w:val="20"/>
          <w:color w:val="auto"/>
        </w:rPr>
      </w:pPr>
      <w:r>
        <w:rPr>
          <w:rFonts w:ascii="Arial" w:cs="Arial" w:eastAsia="Arial" w:hAnsi="Arial"/>
          <w:sz w:val="18"/>
          <w:szCs w:val="18"/>
          <w:color w:val="auto"/>
        </w:rPr>
        <w:t>$96 million was incurred in fiscal years 2018 by both us and our partner Union at equal portions (i.e. our net investment was approximately $48 million) and $7 million was incurred by us in fiscal year 2019. We expect to incur up to $120 million in fiscal year 2020. Due to the difficulty in determining the exact timing of the net investment in the years beyond fiscal year 2020, the obligations to construct the campus are not included in the above table. Please see Note 2 to our consolidated financial statements.</w:t>
      </w:r>
    </w:p>
    <w:p>
      <w:pPr>
        <w:spacing w:after="0" w:line="19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total amount of unrecognized tax benefits for uncertain tax positions was $169.3 million as of September 30, 2019. Payment of these obligations would result from settlements with taxing authorities. Due to the difficulty in determining the timing of resolution of audits, these obligations are not included in the above table.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121"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As of September 30, 2019, we had deferred tax assets of $85.5 million, which were offset by valuation allowances due to the uncertainty of realizing any tax benefit for such credits and losses. These deferred tax assets derived primarily from tax credits, net capital and operating loss carryforwards related to some of our subsidiaries, see Note 11.</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circumstances, the results of which form the basis for making judgments about the carrying values of assets and liabilities that are not readily apparent.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Actual results could differ materially from the estimates under different assumptions or conditions.</w:t>
      </w:r>
    </w:p>
    <w:p>
      <w:pPr>
        <w:spacing w:after="0" w:line="21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87"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18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Revenue is recognized under the five-step methodology required under ASC 606, which requires us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projects. Revenue from customization, implementation, modification and integration services is also recognized over the course of the projects. When total cost estimates exceed revenue in such project, the estimated losses are recognized immediately based upon the cost applicable to the project.</w:t>
      </w:r>
    </w:p>
    <w:p>
      <w:pPr>
        <w:spacing w:after="0" w:line="158"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color w:val="auto"/>
        </w:rPr>
        <w:t>Contingent subsequent license fee revenue is recognized upon completion of specified conditions in each contract, based on a customer’s subscriber or transaction volume or other measurements when greater than the level specified in the contract for the initial license fee.</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24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Revenue from managed services arrangement is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Typically, managed services arrangements include management of data center operations and IT infrastructure, which include third-party hardware and software, application management and ongoing support, management of end-to-end business processes, and managed transformation that includes both a transformation project as well as taking over managed services responsibility.</w:t>
      </w:r>
    </w:p>
    <w:p>
      <w:pPr>
        <w:spacing w:after="0" w:line="18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Revenue from services that do not involve significant ongoing obligations is recognized as services are rendered. Revenue from other ongoing services is recognized over time as services are preformed, using one method of measuring performance such as time elapsed, output produced, volume of data processed or subscriber count that provides the most faithful depiction of the transfer of services.</w:t>
      </w:r>
    </w:p>
    <w:p>
      <w:pPr>
        <w:spacing w:after="0" w:line="166"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Revenue from third-party hardware sales is recognized upon delivery or installation, and revenue from third-party software sales is recognized upon delivery. Maintenance revenue is recognized ratably over the term of the maintenance agreement Revenue from third-party hardware and software sales is recorded at gross amount for transactions in which we control the third-party hardware and software before transferring them to the customer. In specific circumstances where we do not meet the above criteria, we recognize revenue on a net basis. In certain arrangements, we may earn revenue from other third-party services which is recorded at a gross amount as we control the services before transferring them to the customer.</w:t>
      </w:r>
    </w:p>
    <w:p>
      <w:pPr>
        <w:spacing w:after="0" w:line="15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follow very specific and detailed guidelines, several of which are discussed above, in measuring revenue; however, certain judgments affect the application of our revenue recognition policy:</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We evaluate contracts entered into at or near the same time with the same customer (or related parties of the customer) and determine if the contracts should be combined in accordance with the guidance for revenue recognition.</w:t>
      </w:r>
    </w:p>
    <w:p>
      <w:pPr>
        <w:spacing w:after="0" w:line="17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Significant portion of our revenue is recognized over the course of implementation and integration projects, usually based on a percentage that incurred labor effort to date bears to total projected labor effort. The recognition of revenue over time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revenue recognition policy takes into consideration the creditworthiness and past transaction history of each customer in determining the probability of collection. This determination requires the exercise of judgment, which affects our revenue recognition. If we determine that a fee is not collectible, we exclude the relevant fee from transaction price.</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Many of our agreements include multiple performance obligations. we allocate the transaction price for each contract to each performance obligation identified in the contract based on the relative standalone selling price (SSP). We determine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we offer our services in accordance with ASC 606. The determination of SSP requires the exercise of judgement. If a specific performance obligation is sold for a broad range of amounts (that is, the selling price is highly variable) or if we have not yet established a price for that good or service, and the good or service has not previously been sold on a standalone basis (that is, the selling price is uncertain), we apply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transactions which involve third-party hardware, software and services, the determination of revenue recognition based on the gross amount or on a net basis requires the exercise of judgement in considering whether we control the third-party hardware, software or services prior to fulfilling the performance obligation.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 Accounting</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16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18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 accordance with business combinations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15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we record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our consolidated statements of income.</w:t>
      </w:r>
    </w:p>
    <w:p>
      <w:pPr>
        <w:spacing w:after="0" w:line="183"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6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years 2019, 2018 or 2017.</w:t>
      </w:r>
    </w:p>
    <w:p>
      <w:pPr>
        <w:spacing w:after="0" w:line="14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test long-lived assets, including definite life intangible assets, for impairment in the event an indication of impairment exists. Impairment indicators include any significant changes in the manner of our use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assets or the strategy of our overall business, significant negative industry or economic trends and significant decline in our share price for a sustained period.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years 2019, 2018 or 2017.</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During fiscal years 2019, 2018 and 2017,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income (loss). We estimate the fair value of such derivative contracts by reference to forward and spot rates quoted in active markets.</w:t>
      </w:r>
    </w:p>
    <w:p>
      <w:pPr>
        <w:spacing w:after="0" w:line="18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allowance for doubtful accounts is for estimated losses resulting from accounts receivable for which their collection is not reasonably assured. We evaluate accounts receivable to determine if they ultimately will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the fee is not collectible at the time the transaction is consummated, we exclude the relevant fee from the transaction price. If we estimate that our customers’ ability and intent to make payments have been impaired, additional allowances may be required.</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December 5, 2019, our directors and officers were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Age</w:t>
            </w:r>
          </w:p>
        </w:tc>
        <w:tc>
          <w:tcPr>
            <w:tcW w:w="7660" w:type="dxa"/>
            <w:vAlign w:val="bottom"/>
            <w:tcBorders>
              <w:bottom w:val="single" w:sz="8" w:color="auto"/>
            </w:tcBorders>
          </w:tcPr>
          <w:p>
            <w:pPr>
              <w:ind w:left="3620"/>
              <w:spacing w:after="0"/>
              <w:rPr>
                <w:sz w:val="20"/>
                <w:szCs w:val="20"/>
                <w:color w:val="auto"/>
              </w:rPr>
            </w:pPr>
            <w:r>
              <w:rPr>
                <w:rFonts w:ascii="Arial" w:cs="Arial" w:eastAsia="Arial" w:hAnsi="Arial"/>
                <w:sz w:val="14"/>
                <w:szCs w:val="14"/>
                <w:b w:val="1"/>
                <w:bCs w:val="1"/>
                <w:color w:val="auto"/>
              </w:rPr>
              <w:t>Position</w:t>
            </w:r>
          </w:p>
        </w:tc>
      </w:tr>
      <w:tr>
        <w:trPr>
          <w:trHeight w:val="186"/>
        </w:trPr>
        <w:tc>
          <w:tcPr>
            <w:tcW w:w="2500" w:type="dxa"/>
            <w:vAlign w:val="bottom"/>
          </w:tcPr>
          <w:p>
            <w:pPr>
              <w:spacing w:after="0"/>
              <w:rPr>
                <w:sz w:val="20"/>
                <w:szCs w:val="20"/>
                <w:color w:val="auto"/>
              </w:rPr>
            </w:pPr>
            <w:r>
              <w:rPr>
                <w:rFonts w:ascii="Arial" w:cs="Arial" w:eastAsia="Arial" w:hAnsi="Arial"/>
                <w:sz w:val="16"/>
                <w:szCs w:val="16"/>
                <w:color w:val="auto"/>
              </w:rPr>
              <w:t>Robert A. Minicucci(1)(2)</w:t>
            </w: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7660" w:type="dxa"/>
            <w:vAlign w:val="bottom"/>
          </w:tcPr>
          <w:p>
            <w:pPr>
              <w:ind w:left="80"/>
              <w:spacing w:after="0"/>
              <w:rPr>
                <w:sz w:val="20"/>
                <w:szCs w:val="20"/>
                <w:color w:val="auto"/>
              </w:rPr>
            </w:pPr>
            <w:r>
              <w:rPr>
                <w:rFonts w:ascii="Arial" w:cs="Arial" w:eastAsia="Arial" w:hAnsi="Arial"/>
                <w:sz w:val="16"/>
                <w:szCs w:val="16"/>
                <w:color w:val="auto"/>
              </w:rPr>
              <w:t>Chairman of the Board</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Adrian Gardner(1)</w:t>
            </w: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 and Chairman of the Audit Committee</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Julian A. Brodsky(3)</w:t>
            </w: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James S. Kahan(3)</w:t>
            </w: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 and Chairman of the Nominating and Corporate Governance Committee</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Richard T.C. LeFave(1)(2)(4)</w:t>
            </w: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Giora Yaron(4)</w:t>
            </w: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 and Chairman of the Technology and Innovation Committee</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Ariane de Rothschild(3)</w:t>
            </w: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Rafael de la Vega(2)</w:t>
            </w:r>
          </w:p>
        </w:tc>
        <w:tc>
          <w:tcPr>
            <w:tcW w:w="880" w:type="dxa"/>
            <w:vAlign w:val="bottom"/>
          </w:tcPr>
          <w:p>
            <w:pPr>
              <w:jc w:val="right"/>
              <w:spacing w:after="0"/>
              <w:rPr>
                <w:sz w:val="20"/>
                <w:szCs w:val="20"/>
                <w:color w:val="auto"/>
              </w:rPr>
            </w:pPr>
            <w:r>
              <w:rPr>
                <w:rFonts w:ascii="Arial" w:cs="Arial" w:eastAsia="Arial" w:hAnsi="Arial"/>
                <w:sz w:val="16"/>
                <w:szCs w:val="16"/>
                <w:color w:val="auto"/>
              </w:rPr>
              <w:t>68</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 and Chairman of the Management Resources and Compensation Committee</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Eli Gelman(4)</w:t>
            </w: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John A. MacDonald(2)(4)</w:t>
            </w: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Shuky Sheffer</w:t>
            </w: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7660" w:type="dxa"/>
            <w:vAlign w:val="bottom"/>
          </w:tcPr>
          <w:p>
            <w:pPr>
              <w:ind w:left="80"/>
              <w:spacing w:after="0"/>
              <w:rPr>
                <w:sz w:val="20"/>
                <w:szCs w:val="20"/>
                <w:color w:val="auto"/>
              </w:rPr>
            </w:pPr>
            <w:r>
              <w:rPr>
                <w:rFonts w:ascii="Arial" w:cs="Arial" w:eastAsia="Arial" w:hAnsi="Arial"/>
                <w:sz w:val="16"/>
                <w:szCs w:val="16"/>
                <w:color w:val="auto"/>
              </w:rPr>
              <w:t>Director, President and Chief Executive Officer</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Tamar Rapaport-Dagim</w:t>
            </w: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7660" w:type="dxa"/>
            <w:vAlign w:val="bottom"/>
          </w:tcPr>
          <w:p>
            <w:pPr>
              <w:ind w:left="80"/>
              <w:spacing w:after="0"/>
              <w:rPr>
                <w:sz w:val="20"/>
                <w:szCs w:val="20"/>
                <w:color w:val="auto"/>
              </w:rPr>
            </w:pPr>
            <w:r>
              <w:rPr>
                <w:rFonts w:ascii="Arial" w:cs="Arial" w:eastAsia="Arial" w:hAnsi="Arial"/>
                <w:sz w:val="16"/>
                <w:szCs w:val="16"/>
                <w:color w:val="auto"/>
              </w:rPr>
              <w:t>Chief Financial Officer and Chief Operating Officer</w:t>
            </w:r>
          </w:p>
        </w:tc>
      </w:tr>
      <w:tr>
        <w:trPr>
          <w:trHeight w:val="203"/>
        </w:trPr>
        <w:tc>
          <w:tcPr>
            <w:tcW w:w="2500" w:type="dxa"/>
            <w:vAlign w:val="bottom"/>
          </w:tcPr>
          <w:p>
            <w:pPr>
              <w:spacing w:after="0"/>
              <w:rPr>
                <w:sz w:val="20"/>
                <w:szCs w:val="20"/>
                <w:color w:val="auto"/>
              </w:rPr>
            </w:pPr>
            <w:r>
              <w:rPr>
                <w:rFonts w:ascii="Arial" w:cs="Arial" w:eastAsia="Arial" w:hAnsi="Arial"/>
                <w:sz w:val="16"/>
                <w:szCs w:val="16"/>
                <w:color w:val="auto"/>
              </w:rPr>
              <w:t>Rajat Raheja</w:t>
            </w: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7660" w:type="dxa"/>
            <w:vAlign w:val="bottom"/>
          </w:tcPr>
          <w:p>
            <w:pPr>
              <w:ind w:left="80"/>
              <w:spacing w:after="0"/>
              <w:rPr>
                <w:sz w:val="20"/>
                <w:szCs w:val="20"/>
                <w:color w:val="auto"/>
              </w:rPr>
            </w:pPr>
            <w:r>
              <w:rPr>
                <w:rFonts w:ascii="Arial" w:cs="Arial" w:eastAsia="Arial" w:hAnsi="Arial"/>
                <w:sz w:val="16"/>
                <w:szCs w:val="16"/>
                <w:color w:val="auto"/>
              </w:rPr>
              <w:t>Division President, Amdocs Development Center India Pvt. Ltd.</w:t>
            </w:r>
          </w:p>
        </w:tc>
      </w:t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Matthew Smith</w:t>
            </w: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7660" w:type="dxa"/>
            <w:vAlign w:val="bottom"/>
          </w:tcPr>
          <w:p>
            <w:pPr>
              <w:ind w:left="80"/>
              <w:spacing w:after="0"/>
              <w:rPr>
                <w:sz w:val="20"/>
                <w:szCs w:val="20"/>
                <w:color w:val="auto"/>
              </w:rPr>
            </w:pPr>
            <w:r>
              <w:rPr>
                <w:rFonts w:ascii="Arial" w:cs="Arial" w:eastAsia="Arial" w:hAnsi="Arial"/>
                <w:sz w:val="16"/>
                <w:szCs w:val="16"/>
                <w:color w:val="auto"/>
              </w:rPr>
              <w:t>Secretary; Head of Investor Relations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7632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5"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640" w:hanging="436"/>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Member of the Management Resources and Compensation Committee</w:t>
      </w:r>
    </w:p>
    <w:p>
      <w:pPr>
        <w:spacing w:after="0" w:line="18" w:lineRule="exact"/>
        <w:rPr>
          <w:rFonts w:ascii="Arial" w:cs="Arial" w:eastAsia="Arial" w:hAnsi="Arial"/>
          <w:sz w:val="16"/>
          <w:szCs w:val="16"/>
          <w:color w:val="auto"/>
        </w:rPr>
      </w:pPr>
    </w:p>
    <w:p>
      <w:pPr>
        <w:ind w:left="640" w:hanging="436"/>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8" w:lineRule="exact"/>
        <w:rPr>
          <w:rFonts w:ascii="Arial" w:cs="Arial" w:eastAsia="Arial" w:hAnsi="Arial"/>
          <w:sz w:val="16"/>
          <w:szCs w:val="16"/>
          <w:color w:val="auto"/>
        </w:rPr>
      </w:pPr>
    </w:p>
    <w:p>
      <w:pPr>
        <w:ind w:left="640" w:hanging="436"/>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Member of the Technology and Innovation Committee</w:t>
      </w:r>
    </w:p>
    <w:p>
      <w:pPr>
        <w:spacing w:after="0" w:line="226"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Robert A.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 director of one other publicly-held company, Alliance Data Systems,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Adrian Gardner has been a director of Amdocs since 1998 and is Chairman of the Audit Committee. Mr. Gardner serves as Chief Operating Officer of Stonehage Fleming Family &amp; Partners Limited, an international Multi-Family Office business, since October 2019. Mr. Gardner has served as a member of the Audit &amp; Risk Committee of Worcester College, Oxford University since May 2017. From 2016 to 2019, Mr. Gardner served as Chief Financial Officer of Ipes Holdings Limited, a provider of outsourced services to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private equity firms. From 2014 to September 2016, Mr. Gardner served as Chief Financial Officer of International Personal Finance plc, an international home credit business. 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Julian A. Brodsky has been a director of Amdocs since 2003. Since 2011, Mr. Brodsky has served as a senior advisor to Comcast Corporation. Mr. Brodsky served as a director of Comcast Corporation from 1969 to 2011, and as Vice Chairman of Comcast Corporation from 1989 to 2011. From 1999 to 2004, Mr. Brodsky was Chairman of Comcast Ventures (formerly Comcast Interactive Capital, LP), a venture fund affiliated with Comcast. He is a director of RBB Fund, Inc. Mr. Brodsky brings to our Board of Directors deep and extensive knowledge of business in general and of the cable industry in particular gained through his longstanding executive leadership roles at Comcast, as well as financial expertise in capital markets, accounting and tax matters gained through his experience as Chief Financial Officer of Comcast and as a practicing CPA.</w:t>
      </w:r>
    </w:p>
    <w:p>
      <w:pPr>
        <w:spacing w:after="0" w:line="16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James S. Kahan has been a director of Amdocs since 1998 and is Chairman of the Nominating and Corporate Governance Committee. From 1983 until his retirement in 2007, he worked at SBC Communications Inc.,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one private company. Mr. Kahan’s long service at SBC Communications Inc.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16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Richard T.C.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Mr. LeFave has held the CISO position and duties for a U.S.-based manufacturing firm and attended Harvard Business School courses in Board Compensation and Audit Committee strategies. We believe Mr. LeFave’s qualifications to sit on our board include his extensive experience and leadership in the information technology and telecommunications industry.</w:t>
      </w:r>
    </w:p>
    <w:p>
      <w:pPr>
        <w:spacing w:after="0" w:line="178"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Giora Yaron has been a director of Amdocs since 2009 and is Chairman of the Technology and Innovation Committee. Dr. Yaron co-founded Itamar Medical Ltd., a publicly-traded medical technology company, and has been its co-chairman since 1997 and since 2015, served as its chairman.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serves as Chairman of the Board at Excelero (ExpressIO), a company focused on providing ultra-fast block storage solution and Equalum focused on streaming in real-time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changes from a variety of data bases to a unified platform for real-time Big Data Analytics. Since 2010, Dr. Yaron has been the chairman of The Executive Council of Tel Aviv University, an institution of higher education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Baroness Ariane de Rothschild has been a director of Amdocs since January 2018. Since January 2015, she has served as the Chairwoman of the Executive Committee of Edmond de Rothschild Group. Since 2009, Baroness de Rothschild has served as the vice-president of Edmond de Rothschild Group’s supervisory board and has also served as the vice-president of the Edmond de Rothschild Holding SA since 1999. Baroness de Rothschild now holds various board positions across Holding Benjamin &amp; Edmond de Rothschild Pregny, Compagnie Benjamin de Rothschild Conseil S.A., Siaci Saint-Honoré Insurance Broker, and Barons and Baronne Associés. We believe Baroness de Rothschild’s qualifications to sit on our Board of Directors include her strong financial and banking expertise and her international business experience.</w:t>
      </w:r>
    </w:p>
    <w:p>
      <w:pPr>
        <w:spacing w:after="0" w:line="165"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Rafael de la Vega has been a director of Amdocs since January 2018 and is Chairman of the Management Resources and Compensation Committee. Since 2017, he has served as the Chairman and 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served on the Executive Committee of the Boy Scouts of America until May 2018 and served as Chairman of the 2017 Boy Scouts Jamboree. He is the former Chairman of Junior Achievement Worldwide and continues to serve on its board of directors. In June of 2018, Mr. de la Vega joined as the Vice Chairman of the Board of Directors of Ubicquia LLC. In September of 2018 he joined the Board of Advisors of RapidSOS. Mr. de la Vega also recently joined Forté Ventures as a Limited Partner. We believe Mr. de la Vega’s qualifications to sit on our Board of Directors includes his extensive experience and leadership in the telecommunications industry.</w:t>
      </w:r>
    </w:p>
    <w:p>
      <w:pPr>
        <w:spacing w:after="0" w:line="1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Eli Gelman has been a director of Amdocs since 2002. Since January 2019 Mr. Gelman serves as the chairman of the Executive Council of Tel Aviv University. Mr. Gelman served as our President and Chief Executive Officer from 2010 to September 30, 2018.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pacing w:after="0" w:line="18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John A. MacDonald has been a director of Amdocs since 2019. Mr. MacDonald is an experienced senior executive who has worked at some of Canada’s largest technology organizations and serves as a board member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of Rogers Communications Inc. and BookJane Inc. From 2003 to 2008, Mr. MacDonald served as the President, Enterprise Division of MTS Allstream. Before that, between 2002 to 2003, Mr. MacDonald was a President and Chief Operating Officer AT&amp;T Canada. AT&amp;T Canada was re-branded Allstream in 2003 and was subsequently acquired by MTS the following year. In 1994 Mr. MacDonald joined Bell Canada as its Chief Technology Officer and retired from Bell Canada in 1999 as its President and Chief Operating Officer. From 1977 to 1994 Mr. MacDonald worked at NBTel, where he became Chief Executive Officer in 1994. We believe Mr. MacDonald’s qualifications to sit on our Board of Directors includes his extensive experience and leadership in the telecommunications industry.</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Shuky Sheffer is a director and has been our President and Chief Executive Officer since October 1, 2018. Mr. Sheffer previously served as Senior Vice President and President of the Global Business Group from October 2013 to September 30, 2018.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88" w:lineRule="exact"/>
        <w:rPr>
          <w:sz w:val="20"/>
          <w:szCs w:val="20"/>
          <w:color w:val="auto"/>
        </w:rPr>
      </w:pPr>
    </w:p>
    <w:p>
      <w:pPr>
        <w:jc w:val="both"/>
        <w:ind w:left="200" w:right="80" w:firstLine="441"/>
        <w:spacing w:after="0" w:line="302" w:lineRule="auto"/>
        <w:rPr>
          <w:sz w:val="20"/>
          <w:szCs w:val="20"/>
          <w:color w:val="auto"/>
        </w:rPr>
      </w:pPr>
      <w:r>
        <w:rPr>
          <w:rFonts w:ascii="Arial" w:cs="Arial" w:eastAsia="Arial" w:hAnsi="Arial"/>
          <w:sz w:val="16"/>
          <w:szCs w:val="16"/>
          <w:color w:val="auto"/>
        </w:rPr>
        <w:t>Tamar Rapaport-Dagim has been our Chief Financial Officer since 2007, and our Chief Operating Officer since October 1, 2018.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15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Rajat Raheja has been our Division President for India operations since February 2016. Mr. Raheja has close to 23 years of experience and most recently served as Director, Global Services at Deloitte Consulting. Prior to joining Amdocs, Mr. Raheja held leadership positions in Deloitte Consulting, Arthur Andersen, PricewaterhouseCoopers and Tata Telecom.</w:t>
      </w:r>
    </w:p>
    <w:p>
      <w:pPr>
        <w:spacing w:after="0" w:line="18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During fiscal 2019, each of our directors who was not our employee, or Non-Employee Directors, received compensation for their services as directors in the form of cash and restricted shares. Each Non-Employee Director received an annual cash payment of $80,000. Each member of our Audit Committee who is a Non- Employee Director and who is not the chairman of such committee received an annual cash payment of $30,000. Each member of our Management Resources and Compensation Committee who is a Non-Employee Director and who is not a committee chairman received an annual cash payment of $20,000. Each member of our Nominating and Corporate Governance and Technology and Innovation Committees who is a Non-Employee Director and who is not a committee chairman received an annual cash payment of $15,000. The Chairman of our Audit Committee received an annual cash payment of $42,500 and the Chairman of our Management Resources and Compensation Committee received an annual cash payment of $32,500. The Chairmen of our Nominating and Corporate Governance and Technology and Innovation Committees each received an annual cash payment of $27,500. Each Non-Employee Director received an annual grant of restricted shares at a total value of $245,000. The Chairman of the Board of Directors received an additional annual amount equal to $200,000 awarded in the form of restricted shares. The restricted share awards to our Non-Employee Directors vest quarterly. The price per share for the purpose of determining the value of the grants to our Non-Employee</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color w:val="auto"/>
        </w:rPr>
        <w:t>Directors was the Nasdaq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18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A total of 16 persons who served either as directors or officers of Amdocs during all or part of fiscal 2019 received remuneration from Amdocs. The aggregate remuneration paid or accrued by us to such persons in fiscal 2019 was approximately $5.4 million, compared to $7 million in each of fiscal 2018 and fiscal 2017, respectively,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2019, we granted to such persons options to purchase an aggregate of 176,757 ordinary shares at a weighted average price of $66.05 per share with vesting generally over four-year terms and expiring ten years from the date of grant, and an aggregate of 127,802 restricted shares typically subject to three to four-year vesting and often times, achievement of certain performance thresholds, and in the case of our directors, subject to quarterly vesting. All options and restricted share awards were granted pursuant to our 1998 Stock Option and Incentive Plan, as amended. See discussion below — “Share Ownership — Employee Stock Option and Incentive Plan.”</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Practices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Eleven directors currently serve on our Board of Directors, ten of whom were elected at our annual meeting of shareholders on January 31, 2019, and one director, Mr. John A. MacDonald, elected by the Board of Directors on August 5, 2019. All directors hold office until the next annual meeting of our shareholders, which generally is in January or February of each calendar year, or until their respective successors are duly elected and qualified or their positions are earlier vacated by resignation or otherwise. In August 2017, the Board 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Julian A. Brodsky was granted a waiver to continue as director past the age of 73 years in fiscal year 2019 in light of Mr. Brodsky’s vast experience in the Multiple System Operators (“MSO”) market which is in the midst of a major modernization cycle. 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 Mr. Julian Brodsky will retire from our Board of Directors on January 31, 2020 and will serve as “director emeritus” and provide us certain advisory services, see “Item 7. Major Shareholders and Related Party Transactions — Related Party Transactions.”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Board of Directors maintains four committees as set forth below. Members of each committee are appointed by the Board of Directors.</w:t>
      </w:r>
    </w:p>
    <w:p>
      <w:pPr>
        <w:spacing w:after="0" w:line="23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Minicucci, all of whom are independent directors, as defined by the rules of Nasdaq, and pursuant to the categorical director independence standards adopted by our Board of Directors. The Board of Directors has determined that Mr. Gardner is an “audit committee financial expert” as defined by rules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 xml:space="preserve">promulgated by the SEC, and that each member of the Audit Committee is financially literate as required by the rules of Nasdaq. In particular, we believe that the professional experiences of Messrs. Gardner, LeFave and Minicucci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LeFave’s experience as a seasoned Fortune 500 CIO and CISO for over 5 years provides a foundation of cyber awareness to the Audit Committee and also believe that Mr. LeFave’s post-graduate training at Harvard Business School in Audit Committee and Board compensation best practices provides valuable contributions to the Committee. Similarly, we believe that Mr. Minucucci’s experience as chief financial officer to a public company and treasurer of another public company have provided him with strong business acumen and strategic and financial expertise that benefits the Committee. The Audit Committee written charter is available on our website at </w:t>
      </w:r>
      <w:r>
        <w:rPr>
          <w:rFonts w:ascii="Arial" w:cs="Arial" w:eastAsia="Arial" w:hAnsi="Arial"/>
          <w:sz w:val="18"/>
          <w:szCs w:val="18"/>
          <w:i w:val="1"/>
          <w:iCs w:val="1"/>
          <w:color w:val="auto"/>
        </w:rPr>
        <w:t>www.amdocs.com.</w:t>
      </w:r>
    </w:p>
    <w:p>
      <w:pPr>
        <w:spacing w:after="0" w:line="19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Kahan (Chair), Brodsky and Baroness de Rothschild,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19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De la Vega (Chair), LeFave, Minicucci and MacDonald,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16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Dr. Yaron (Chair), Gelman, LeFave and MacDonald.</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Workforce Personnel</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following table presents the approximate average number of our workforce for each of the fiscal years indicated, by function and by geographical location (in each of which we operate at multiple sites):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Fiscal Year,</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62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Americas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5,409</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5,598</w:t>
            </w:r>
          </w:p>
        </w:tc>
        <w:tc>
          <w:tcPr>
            <w:tcW w:w="620" w:type="dxa"/>
            <w:vAlign w:val="bottom"/>
          </w:tcPr>
          <w:p>
            <w:pPr>
              <w:jc w:val="right"/>
              <w:spacing w:after="0"/>
              <w:rPr>
                <w:sz w:val="20"/>
                <w:szCs w:val="20"/>
                <w:color w:val="auto"/>
              </w:rPr>
            </w:pPr>
            <w:r>
              <w:rPr>
                <w:rFonts w:ascii="Arial" w:cs="Arial" w:eastAsia="Arial" w:hAnsi="Arial"/>
                <w:sz w:val="18"/>
                <w:szCs w:val="18"/>
                <w:color w:val="auto"/>
              </w:rPr>
              <w:t>5,606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EMEA</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6,063</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6,306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APAC</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11,472</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10,851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22,944</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22,755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Management and Administration</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1,572</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1,626</w:t>
            </w:r>
          </w:p>
        </w:tc>
        <w:tc>
          <w:tcPr>
            <w:tcW w:w="620" w:type="dxa"/>
            <w:vAlign w:val="bottom"/>
          </w:tcPr>
          <w:p>
            <w:pPr>
              <w:jc w:val="right"/>
              <w:spacing w:after="0"/>
              <w:rPr>
                <w:sz w:val="20"/>
                <w:szCs w:val="20"/>
                <w:color w:val="auto"/>
              </w:rPr>
            </w:pPr>
            <w:r>
              <w:rPr>
                <w:rFonts w:ascii="Arial" w:cs="Arial" w:eastAsia="Arial" w:hAnsi="Arial"/>
                <w:sz w:val="18"/>
                <w:szCs w:val="18"/>
                <w:color w:val="auto"/>
              </w:rPr>
              <w:t>1,573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Workforce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24,516</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24,381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187"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A small number of our employees in Canada and Bulgaria, our employees in Brazil and our employees in Chile have union representation. We also have an affiliation with a non-active union in Mexico. We have a works council body in the Netherlands and Germany which represents the employees and with which we work closely to ensure compliance with the applicable local law. We also have an employee representative body in France, Hungary and in Finland.</w:t>
      </w:r>
    </w:p>
    <w:p>
      <w:pPr>
        <w:spacing w:after="0" w:line="187"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 xml:space="preserve">In recent years, Israeli labor unions have increased their efforts to organize workers at companies with significant operations in Israel, including several companies in the technology sector. 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See “Risk Factors — </w:t>
      </w:r>
      <w:r>
        <w:rPr>
          <w:rFonts w:ascii="Arial" w:cs="Arial" w:eastAsia="Arial" w:hAnsi="Arial"/>
          <w:sz w:val="16"/>
          <w:szCs w:val="16"/>
          <w:i w:val="1"/>
          <w:iCs w:val="1"/>
          <w:color w:val="auto"/>
        </w:rPr>
        <w:t>The skilled and highly qualified workforce that we need to develop, implement and modify our solutions may be</w:t>
      </w:r>
      <w:r>
        <w:rPr>
          <w:rFonts w:ascii="Arial" w:cs="Arial" w:eastAsia="Arial" w:hAnsi="Arial"/>
          <w:sz w:val="16"/>
          <w:szCs w:val="16"/>
          <w:color w:val="auto"/>
        </w:rPr>
        <w:t xml:space="preserve"> </w:t>
      </w:r>
      <w:r>
        <w:rPr>
          <w:rFonts w:ascii="Arial" w:cs="Arial" w:eastAsia="Arial" w:hAnsi="Arial"/>
          <w:sz w:val="16"/>
          <w:szCs w:val="16"/>
          <w:i w:val="1"/>
          <w:iCs w:val="1"/>
          <w:color w:val="auto"/>
        </w:rPr>
        <w:t>difficult to hire, train and retain, and we could face increased costs to attract and retain our skilled workforce</w:t>
      </w:r>
      <w:r>
        <w:rPr>
          <w:rFonts w:ascii="Arial" w:cs="Arial" w:eastAsia="Arial" w:hAnsi="Arial"/>
          <w:sz w:val="16"/>
          <w:szCs w:val="16"/>
          <w:color w:val="auto"/>
        </w:rPr>
        <w: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As of December 5, 2019, the aggregate number of our ordinary shares beneficially owned by our directors and executive officers was 2,413,335 shares. As of December 5, 2019, none of our directors or members of senior management beneficially owned 1% or more of our outstanding ordinary shares.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Board of Directors adopted, and our shareholders approved, our 1998 Stock Option and Incentive Plan, as amended, which we refer to as the Equity Incentive Plan, pursuant to which up to 67,550,000 of our ordinary shares may be issued.</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2019, of the 67,550,000 ordinary shares available for issuance under the Equity Incentive Plan, 55,555,012 ordinary shares had been issued as a result of option exercises and restricted share issuances. As of September 30, 2019, 5,053,813 ordinary shares remained available for future grants, subject to a sublimit applicable to the award of restricted shares or awards dominated in stock units. As of December 5, 2019, there were outstanding options to purchase an aggregate of 6,962,052 ordinary shares at exercise prices ranging from $27.47 to $69.30 per share and 105,393 shares are subject to outstanding restricted stock units.</w:t>
      </w:r>
    </w:p>
    <w:p>
      <w:pPr>
        <w:spacing w:after="0" w:line="16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December 5, 2019 of</w:t>
      </w:r>
    </w:p>
    <w:p>
      <w:pPr>
        <w:spacing w:after="0" w:line="46" w:lineRule="exact"/>
        <w:rPr>
          <w:sz w:val="20"/>
          <w:szCs w:val="20"/>
          <w:color w:val="auto"/>
        </w:rPr>
      </w:pPr>
    </w:p>
    <w:p>
      <w:pPr>
        <w:ind w:left="200" w:firstLine="4"/>
        <w:spacing w:after="0" w:line="252" w:lineRule="auto"/>
        <w:tabs>
          <w:tab w:leader="none" w:pos="4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134,737,409 ordinary shares outstanding as of December 5, 2019, net of shares held in treasury. Information concerning shareholders other than our directors and officers is based on periodic public filings made by such shareholders and may not necessarily be accurate as of December 5, 2019. None of our major shareholders have voting rights that are different from those of any other shareholder.</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920" w:type="dxa"/>
            <w:vAlign w:val="bottom"/>
            <w:gridSpan w:val="3"/>
            <w:vMerge w:val="continue"/>
          </w:tcPr>
          <w:p>
            <w:pPr>
              <w:spacing w:after="0"/>
              <w:rPr>
                <w:sz w:val="13"/>
                <w:szCs w:val="13"/>
                <w:color w:val="auto"/>
              </w:rPr>
            </w:pPr>
          </w:p>
        </w:tc>
        <w:tc>
          <w:tcPr>
            <w:tcW w:w="210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p>
        </w:tc>
        <w:tc>
          <w:tcPr>
            <w:tcW w:w="150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FMR LLC(1)</w:t>
            </w:r>
          </w:p>
        </w:tc>
        <w:tc>
          <w:tcPr>
            <w:tcW w:w="2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18,209,168</w:t>
            </w:r>
          </w:p>
        </w:tc>
        <w:tc>
          <w:tcPr>
            <w:tcW w:w="6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Janus Henderson Group plc(2)</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7,616,644</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 directors and officers as a group (14 persons)(3)</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2,413,335</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100" w:type="dxa"/>
            <w:vAlign w:val="bottom"/>
          </w:tcPr>
          <w:p>
            <w:pPr>
              <w:jc w:val="right"/>
              <w:ind w:right="1650"/>
              <w:spacing w:after="0"/>
              <w:rPr>
                <w:sz w:val="20"/>
                <w:szCs w:val="20"/>
                <w:color w:val="auto"/>
              </w:rPr>
            </w:pPr>
            <w:r>
              <w:rPr>
                <w:rFonts w:ascii="Arial" w:cs="Arial" w:eastAsia="Arial" w:hAnsi="Arial"/>
                <w:sz w:val="18"/>
                <w:szCs w:val="18"/>
                <w:color w:val="auto"/>
              </w:rPr>
              <w:t>53</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160" w:hanging="436"/>
        <w:spacing w:after="0" w:line="268"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a Schedule 13G/A filed by FMR LLC, or FMR, with the SEC on February 13, 2019, as of December 31, 2018, FMR had sole power to vote or direct the vote over 1,444,363 shares and sole power to dispose or direct the disposition of 18,209,168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spacing w:after="0" w:line="3" w:lineRule="exact"/>
        <w:rPr>
          <w:rFonts w:ascii="Arial" w:cs="Arial" w:eastAsia="Arial" w:hAnsi="Arial"/>
          <w:sz w:val="17"/>
          <w:szCs w:val="17"/>
          <w:color w:val="auto"/>
        </w:rPr>
      </w:pPr>
    </w:p>
    <w:p>
      <w:pPr>
        <w:ind w:left="640" w:right="20" w:hanging="436"/>
        <w:spacing w:after="0" w:line="281"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a Schedule 13G/A filed by Janus Henderson Group plc, or Janus Henderson, with the SEC on February 11, 2019, as of December 31, 2018, Janus had an indirect 97.11% ownership stake in IntechInvestment Management LLC (“Intech”) and a 100% ownership stake in Janus Capital Management LLC (“Janus Capital”), Perkins Investment Management LLC (“Perkins”), Geneva Capital Management LLC (“Geneva”), Henderson Global Investors Limited (“HGIL”), Janus Henderson Investors Australia Institutional Funds Management Limited (“HGIAIFML”) and Henderson Global Investors North America Inc. (“HGINA”),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7,482,934 shares or 5.3%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18,831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 As a result of its role as investment adviser or sub-adviser to the Managed Portfolios, JCIL may be deemed to be the beneficial owner of 95,600 shares or</w:t>
      </w:r>
    </w:p>
    <w:p>
      <w:pPr>
        <w:spacing w:after="0" w:line="10" w:lineRule="exact"/>
        <w:rPr>
          <w:rFonts w:ascii="Arial" w:cs="Arial" w:eastAsia="Arial" w:hAnsi="Arial"/>
          <w:sz w:val="16"/>
          <w:szCs w:val="16"/>
          <w:color w:val="auto"/>
        </w:rPr>
      </w:pPr>
    </w:p>
    <w:p>
      <w:pPr>
        <w:ind w:left="640"/>
        <w:spacing w:after="0" w:line="250" w:lineRule="auto"/>
        <w:rPr>
          <w:rFonts w:ascii="Arial" w:cs="Arial" w:eastAsia="Arial" w:hAnsi="Arial"/>
          <w:sz w:val="16"/>
          <w:szCs w:val="16"/>
          <w:color w:val="auto"/>
        </w:rPr>
      </w:pPr>
      <w:r>
        <w:rPr>
          <w:rFonts w:ascii="Arial" w:cs="Arial" w:eastAsia="Arial" w:hAnsi="Arial"/>
          <w:sz w:val="18"/>
          <w:szCs w:val="18"/>
          <w:color w:val="auto"/>
        </w:rPr>
        <w:t>0.1% of the shares outstanding of Amdocs Common Stock held by such Managed Portfolios. However, JCIL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1" w:lineRule="exact"/>
        <w:rPr>
          <w:rFonts w:ascii="Arial" w:cs="Arial" w:eastAsia="Arial" w:hAnsi="Arial"/>
          <w:sz w:val="16"/>
          <w:szCs w:val="16"/>
          <w:color w:val="auto"/>
        </w:rPr>
      </w:pPr>
    </w:p>
    <w:p>
      <w:pPr>
        <w:ind w:left="640" w:right="20" w:hanging="436"/>
        <w:spacing w:after="0" w:line="261"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5, 2019. As of such date, none of our directors or executive officers beneficially owned 1% or more of our outstanding ordinary shares.</w:t>
      </w:r>
    </w:p>
    <w:p>
      <w:pPr>
        <w:spacing w:after="0" w:line="184" w:lineRule="exact"/>
        <w:rPr>
          <w:sz w:val="20"/>
          <w:szCs w:val="20"/>
          <w:color w:val="auto"/>
        </w:rPr>
      </w:pPr>
    </w:p>
    <w:p>
      <w:pPr>
        <w:jc w:val="both"/>
        <w:ind w:left="200" w:right="280" w:firstLine="441"/>
        <w:spacing w:after="0" w:line="342" w:lineRule="auto"/>
        <w:rPr>
          <w:sz w:val="20"/>
          <w:szCs w:val="20"/>
          <w:color w:val="auto"/>
        </w:rPr>
      </w:pPr>
      <w:r>
        <w:rPr>
          <w:rFonts w:ascii="Arial" w:cs="Arial" w:eastAsia="Arial" w:hAnsi="Arial"/>
          <w:sz w:val="16"/>
          <w:szCs w:val="16"/>
          <w:color w:val="auto"/>
        </w:rPr>
        <w:t>As of December 5, 2019, our ordinary shares were held by 1,741 record holders. Based on a review of the information provided to us by our transfer agent, 798 record holders, holding approximately 89% of our outstanding ordinary shares held of record, were residents of the United States.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Mr. Julian Brodsky will retire from our Board of Directors on January 31, 2020. We will enter into an agreement with Mr. Brodsky pursuant to which Mr. Brodsky will serve as “director emeritus” and provide us certain advisory services, and we will pay Mr. Brodsky an annual total payment equal to $255,000 in equity and $80,000 in cash.</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See “Financial Statements” for our audited Consolidated Financial Statements and Financial Statement Schedule filed as part of this Annual Report.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financial position, results of operations or cash flows.</w:t>
      </w:r>
    </w:p>
    <w:p>
      <w:pPr>
        <w:spacing w:after="0" w:line="18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Since 2014, we have been defending a lawsuit against certain of our subsidiaries in the U.S. District Court in Oregon alleging breach of contract and trade secret misappropriation. According to the suit, we improperly utilized information received in connection with our electronic payment processing solution, which is one of several components of our mobile financial services offerings. During fiscal year 2016, the District Court denied our motions to dismiss and to compel arbitration with respect to certain of the claims, and the proceedings continued. The District Court scheduled a tentative jury trial date for late October 2018. We filed a motion for summary judgment with the District Court during fiscal year 2018 and the District Court partially granted the motion with respect to two trade secrets. In October 2018, while continuing to deny the plaintiff’s allegations, we entered into a settlement agreement with the plaintiff, which included a $50 million settlement payment by us, in consideration for a mutual release of each party and its respective customers with no admission of liability or fault. As a result of the settlement, the lawsuit was dismissed with prejudice on November 13, 2018. During fiscal year 2019 we paid the settlement amount of $50 million and $5 million in legal and other fees which were accrued as of September 30, 2018.</w:t>
      </w:r>
    </w:p>
    <w:p>
      <w:pPr>
        <w:spacing w:after="0" w:line="19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Certain of our subsidiaries are currently in a dispute with a state-owned telecom enterprise in Ecuador, which appears to have political aspects. Our counterparty has claimed monetary damages. The dispute is over contracts, under which we were providing certain services, which have been terminated by the counterparty in connection with such dispute and which are under scrutiny by certain local governmental authorities. We believe we have solid arguments and vigorously defending our rights. To date, however, such defense efforts, including motions alleging constitutional defects, have encountered a dismissive approach by the Ecuadorian Courts, with reasoning that we believe is inconsistent with applicable law. We are unable to reasonably estimate the ultimate outcome of the above dispute.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refer to “Liquidity and Capital Resources — Cash Dividends” for a discussion of our dividend policy.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On December 19, 2013, we voluntarily withdrew our ordinary shares from the New York Stock Exchange and transferred our listing to the Nasdaq Global Select Market (“Nasdaq”) and commenced trading on Nasdaq on December 20, 2013. Our ordinary shares were quoted on the New York Stock Exchange (“NYSE”) from 1998 to 2013 under the symbol “DOX” and are now quoted on Nasdaq under the same symbol.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18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19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Board of Directors is authorized to issue a maximum of (i) 25,000,000 preferred shares and (ii) 700,000,000 ordinary shares, consisting of voting and non-voting ordinary shares without further shareholder approval. As of September 30, 2019, 134,773,123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31"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53" w:lineRule="exact"/>
        <w:rPr>
          <w:rFonts w:ascii="Arial" w:cs="Arial" w:eastAsia="Arial" w:hAnsi="Arial"/>
          <w:sz w:val="16"/>
          <w:szCs w:val="16"/>
          <w:color w:val="auto"/>
        </w:rPr>
      </w:pPr>
    </w:p>
    <w:p>
      <w:pPr>
        <w:ind w:left="1180" w:right="20" w:hanging="436"/>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preferred shares and to provide for the designations, powers, preferences and relative participating, optional or other special rights and qualifications, limitations or restrictions thereon.</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one series issued at different times may differ as to the dates from which dividends shall accrue.</w:t>
      </w:r>
    </w:p>
    <w:p>
      <w:pPr>
        <w:spacing w:after="0" w:line="75" w:lineRule="exact"/>
        <w:rPr>
          <w:rFonts w:ascii="Arial" w:cs="Arial" w:eastAsia="Arial" w:hAnsi="Arial"/>
          <w:sz w:val="18"/>
          <w:szCs w:val="18"/>
          <w:color w:val="auto"/>
        </w:rPr>
      </w:pPr>
    </w:p>
    <w:p>
      <w:pPr>
        <w:ind w:left="1180" w:right="20" w:hanging="436"/>
        <w:spacing w:after="0" w:line="272" w:lineRule="auto"/>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or winding-up of Amdocs Limited, the holders of preferred shares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a preference 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83" w:lineRule="exact"/>
        <w:rPr>
          <w:rFonts w:ascii="Arial" w:cs="Arial" w:eastAsia="Arial" w:hAnsi="Arial"/>
          <w:sz w:val="17"/>
          <w:szCs w:val="17"/>
          <w:color w:val="auto"/>
        </w:rPr>
      </w:pPr>
    </w:p>
    <w:p>
      <w:pPr>
        <w:ind w:left="1180" w:right="260" w:hanging="436"/>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except as otherwise provided for by the directors upon the issue of any new series of preferred shares,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have no right or power to vote on any question or in any proceeding or to be represented at, or to receive notice of, any meeting of shareholders.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76" w:lineRule="exact"/>
        <w:rPr>
          <w:sz w:val="20"/>
          <w:szCs w:val="20"/>
          <w:color w:val="auto"/>
        </w:rPr>
      </w:pPr>
    </w:p>
    <w:p>
      <w:pPr>
        <w:ind w:left="1180" w:right="60" w:hanging="436"/>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when and as dividends are declared on our shares, the holders of voting ordinary shares and non-voting shares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share for share, in such dividends except that if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80"/>
        <w:spacing w:after="0" w:line="277" w:lineRule="auto"/>
        <w:rPr>
          <w:sz w:val="20"/>
          <w:szCs w:val="20"/>
          <w:color w:val="auto"/>
        </w:rPr>
      </w:pPr>
      <w:r>
        <w:rPr>
          <w:rFonts w:ascii="Arial" w:cs="Arial" w:eastAsia="Arial" w:hAnsi="Arial"/>
          <w:sz w:val="18"/>
          <w:szCs w:val="18"/>
          <w:color w:val="auto"/>
        </w:rPr>
        <w:t>dividends are declared that are payable in voting ordinary shares or non-voting ordinary shares, dividends must be declared that are payable at the same rate in both classes of shares.</w:t>
      </w:r>
    </w:p>
    <w:p>
      <w:pPr>
        <w:spacing w:after="0" w:line="76" w:lineRule="exact"/>
        <w:rPr>
          <w:sz w:val="20"/>
          <w:szCs w:val="20"/>
          <w:color w:val="auto"/>
        </w:rPr>
      </w:pPr>
    </w:p>
    <w:p>
      <w:pPr>
        <w:ind w:left="1180" w:right="140" w:hanging="436"/>
        <w:spacing w:after="0" w:line="286"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Conversion of Non-Voting Ordinary Shares into Voting Ordinary Shares </w:t>
      </w:r>
      <w:r>
        <w:rPr>
          <w:rFonts w:ascii="Arial" w:cs="Arial" w:eastAsia="Arial" w:hAnsi="Arial"/>
          <w:sz w:val="17"/>
          <w:szCs w:val="17"/>
          <w:color w:val="auto"/>
        </w:rPr>
        <w:t>— upon the transfer of non-voting ordinary shares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holder thereof to any third party not affiliated with such original holder, non-voting ordinary shares are redesignated in our books as voting ordinary shares and automatically convert into the same number of voting ordinary shares.</w:t>
      </w:r>
    </w:p>
    <w:p>
      <w:pPr>
        <w:spacing w:after="0" w:line="70" w:lineRule="exact"/>
        <w:rPr>
          <w:rFonts w:ascii="Arial" w:cs="Arial" w:eastAsia="Arial" w:hAnsi="Arial"/>
          <w:sz w:val="17"/>
          <w:szCs w:val="17"/>
          <w:color w:val="auto"/>
        </w:rPr>
      </w:pPr>
    </w:p>
    <w:p>
      <w:pPr>
        <w:ind w:left="1180" w:right="20" w:hanging="436"/>
        <w:spacing w:after="0" w:line="342" w:lineRule="auto"/>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assets remaining after creditors and the holders of any preferred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paid in full shall be distributed to the holders of voting ordinary shares and non-voting ordinary shares equally share for share.</w:t>
      </w:r>
    </w:p>
    <w:p>
      <w:pPr>
        <w:spacing w:after="0" w:line="29" w:lineRule="exact"/>
        <w:rPr>
          <w:rFonts w:ascii="Arial" w:cs="Arial" w:eastAsia="Arial" w:hAnsi="Arial"/>
          <w:sz w:val="16"/>
          <w:szCs w:val="16"/>
          <w:color w:val="auto"/>
        </w:rPr>
      </w:pPr>
    </w:p>
    <w:p>
      <w:pPr>
        <w:ind w:left="1180" w:right="4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non-voting ordinary shares are not entitled to any voting rights.</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priorities of the preferred shares as are set out in the Articles.</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188"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71"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130"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are no provisions in the Memorandum or Articles that provide for a classified board of directors or for cumulative voting for directors.</w:t>
      </w:r>
    </w:p>
    <w:p>
      <w:pPr>
        <w:spacing w:after="0" w:line="23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16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16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18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181"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22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170"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12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directors may reduce our share capital or any other capital subject to us satisfying the solvency requirements set out in the Companies Law.</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December 2017, we entered into an Amended and Restated Credit Agreement among us, certain of our subsidiaries, the lenders from time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party thereto, JPMorgan Chase Bank, N.A., as administrative agent, J.P. Morgan Europe Limited, as London agent, and JPMorgan Chase Bank,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N.A., Toronto branch, as Canadian agent, providing for an unsecured $500 million five-year revolving credit facility with a syndicate of banks.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facility is available for general corporate purposes, including acquisitions and repurchases of our ordinary shares that we may consider from time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time, and has a maturity date in December 2022. The Amended and Restated Credit Agreement replaces our Credit Agreement, dated as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12, 2014, by and among us, certain of our subsidiaries, JPMorgan Chase Bank, N.A., as administrative agent, J.P. Morgan Europe Limited,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London agent, and JPMorgan Chase Bank, N.A., Toronto branch, as Canadian agent. A copy of the Amended and Restated Credit Agreement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as Exhibit 4.c to this Annual Report.</w:t>
      </w:r>
    </w:p>
    <w:p>
      <w:pPr>
        <w:spacing w:after="0" w:line="211" w:lineRule="exact"/>
        <w:rPr>
          <w:sz w:val="20"/>
          <w:szCs w:val="20"/>
          <w:color w:val="auto"/>
        </w:rPr>
      </w:pPr>
    </w:p>
    <w:p>
      <w:pPr>
        <w:jc w:val="both"/>
        <w:ind w:left="200" w:right="580" w:firstLine="441"/>
        <w:spacing w:after="0" w:line="259" w:lineRule="auto"/>
        <w:rPr>
          <w:sz w:val="20"/>
          <w:szCs w:val="20"/>
          <w:color w:val="auto"/>
        </w:rPr>
      </w:pPr>
      <w:r>
        <w:rPr>
          <w:rFonts w:ascii="Arial" w:cs="Arial" w:eastAsia="Arial" w:hAnsi="Arial"/>
          <w:sz w:val="18"/>
          <w:szCs w:val="18"/>
          <w:color w:val="auto"/>
        </w:rPr>
        <w:t>In February 2017, we entered into a Master Services Agreement with AT&amp;T Services, Inc., which replaces in its entirety the Software and Professional Services that we entered into with AT&amp;T Services, Inc. effective August 7, 2003. The agreement provides that Amdocs will provide software and services to AT&amp;T as specified therein and remains in effect until September 30, 2021. A copy of the Master Services Agreement is included as Exhibit 4.a.1 to this Annual Report.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past two years, we have not entered into any material contracts other than contracts entered into in the ordinary course of our business.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117" w:lineRule="exact"/>
        <w:rPr>
          <w:sz w:val="20"/>
          <w:szCs w:val="20"/>
          <w:color w:val="auto"/>
        </w:rPr>
      </w:pPr>
    </w:p>
    <w:p>
      <w:pPr>
        <w:jc w:val="both"/>
        <w:ind w:left="200" w:right="260" w:firstLine="441"/>
        <w:spacing w:after="0" w:line="259"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effective tax rate was 15.6% for fiscal 2019, compared to 15.9% for fiscal 2018 and 14.8% for fiscal 2017.</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including the potential impact, which we are continuously assessing, of the recent tax reform in the United States.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Tax legislation in Guernsey subjects us to the standard rate of corporate income tax for a Guernsey resident company of zero percent.</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Indian Tax Considerations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Through subsidiaries, we operate development centers and a business processing operations center in India. In 2019, the corporate tax rate applicable in India on trading activities was 34.94% for development center and reduced corporate tax at 27.82% for business processing operations having gross turnover up to a prescribed threshold. Our main subsidiary in India operates under specific favorable tax entitlements that are based upon pre-approved information technology related services activity. As a result, these activities are entitled to considerable corporate income tax exemptions on eligible profits from export of services derived from such pre-approved information technology activity, provided our subsidiary continues to meet the conditions required for such tax benefits.</w:t>
      </w:r>
    </w:p>
    <w:p>
      <w:pPr>
        <w:spacing w:after="0" w:line="193"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During the year 2016-17 our main subsidiary in India changed its corporate legal structure from a private limited company (PLC) to a limited liability partnership (LLP) through conversion by process of law effective February 28, 2017. Thereafter, all rights and liabilities of the PLC under agreements are vested in the LLP by operation of law.</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April 1, 2011, the Minimum Alternative Tax, or MAT, became applicable to all of our PLC Indian operations. The MAT is levied on book profits at the effective rate of 21.55% and can be carried forward for 15 years to be credited against corporate income taxes. As for the LLP, as a result of the conversion certain accumulated tax credits will not be available to be set off against future income of the LLP, however, for LLP the Alternative Minimum Tax, or AMT, provisions are applicable such that LLPs are subject to AMT at a rate of 21.55% on adjusted total income (Income as computed under the normal provisions, increased by prescribed adjustments) if tax on income under normal provisions is lower than the AMT, and can be carried forward for 15 years.</w:t>
      </w:r>
    </w:p>
    <w:p>
      <w:pPr>
        <w:spacing w:after="0" w:line="19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main Indian subsidiary is subject to a separate tax entitlement under which its operating units are exempt from tax on the respective tax incentive-eligible activity for the first five years of operations and enjoys a 50% reduction on its corporate income tax for such activity for the following five years. Further, an additional 50% deduction is available for another 5 years, if 50% of the profits of the unit are credited to a specific reserve provided that such reserve is utilized for the purpose of investments in plant &amp; machinery within three years from the end of the year in which reserve is created. If such reserve is not utilized for the purpose specified in the Indian Tax Laws, the same will be deemed as income in the year immediately following the period of three years in which the reserve is made.</w:t>
      </w:r>
    </w:p>
    <w:p>
      <w:pPr>
        <w:spacing w:after="0" w:line="19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Further, in 2018 a new operation was commenced in another subsidiary in India with effect from May 1, 2018. The activity conducted by this entity is generally entitled to a 100 % reduction on its corporate income tax for the first five years of operation and a 50% reduction for the following 5 years. MAT is levied on book profits at an effective rate of 20.58% and can be carried forward for 15 years to be credited against corporate income taxes.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Israeli Tax Considerations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primary Israeli subsidiary, Amdocs (Israel) Limited, operates one of our largest development centers. Discussed below are certain Israeli tax considerations relating to this subsidiary.</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 xml:space="preserve">General Corporate Taxation in Israel. </w:t>
      </w:r>
      <w:r>
        <w:rPr>
          <w:rFonts w:ascii="Arial" w:cs="Arial" w:eastAsia="Arial" w:hAnsi="Arial"/>
          <w:sz w:val="18"/>
          <w:szCs w:val="18"/>
          <w:color w:val="auto"/>
        </w:rPr>
        <w:t>The general corporate tax rate on taxable income is 23%. However, the effective tax rate applicable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of an Israeli company that is eligible for tax benefits by virtue of the Law for the Encouragement of Capital Investments may be considerably lower.</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primary Israeli subsidiary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granted “Approved Enterprise” status pursuant to the Law for the Encouragement of Capital Investments, 1959, or the Investment Law, which provides certain tax and financial benefits to investment programs that have been granted such status.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general, investment programs of our primary Israeli subsidiary that have obtained instruments of approval for an Approved Enterprise issued by the Israeli Investment Center prior to the change in legislation in 2005 continue to be subject to the old provisions of the Investment Law as described below. In addition, our primary Israeli subsidiary made several expansions to its Approved Enterprise under the terms of the Investment Law of 2005.</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Benefits.</w:t>
      </w:r>
    </w:p>
    <w:p>
      <w:pPr>
        <w:spacing w:after="0" w:line="11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Our primary Israeli subsidiary has elected the alternative benefits’ route with respect to its existing Approved Enterprise and its expansions, pursuant to which it enjoys, in relation to its Approved Enterprise operations, certain tax holidays, based on the location of activities within Israel, for a period of two to ten years and, in the case of a two year tax holiday, reduced tax rates for an additional period of up to eight years (and, in certain cases, up to 13 years). In case it pays a dividend, at any time, out of exempt income generated during the tax holiday period in respect of its Approved Enterprise, it will be subject to corporate tax at the otherwise applicable rate of 10% of the income from which such dividend has been paid. This tax is in addition to the withholding tax on dividends as described below. The tax benefits, available with respect to an Approved Enterprise only to taxable income attributable to that specific enterprise, are provided according to an allocation formula set forth in the Investment Law or in the relevant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16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paid out of income derived by an Approved Enterprise are subject to withholding tax at a reduced rate (15%,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general rate of 30%). If a dividend is paid by our primary Israeli subsidiary, such dividend may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earnings generated during the tax holiday period related to its Approved Enterprise status.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recent years changes were introduced to the Investment Law, specifically a major amendment of the Investment Law in 2011 and 2017.</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2011 amendment (“Preferred Enterprise”)</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Among other things, these changes include a prospective termination of all tax incentives available under the law prior to the amendment. The amendment to the Investment Law also introduced a new concept of “Preferred Enterprise.” However, under the transition rules, with respect to the applicability of the provisions of the Investment Law as amended in 2011, benefits granted pursuant to incentive programs commenced prior to 2011 would continue to apply until their expiration, unless the company affirmatively elects to apply the regime provided pursuant to the amended Investment Law. Our primary Israeli subsidiary has not yet made such election.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2017 amendment (“Preferred Technological Enterprises”)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Amendment 73 to the Investment Law, which came into effect January 1, 2017, was followed by regulations promulgated on May 28, 2017, which incorporated the “Nexus Principles,” based on OECD guidelines recently published as part of the Base Erosion and Profit Shifting (BEPS) project, into Israeli law. The OECD has since then confirmed that the regime adopted by Israel is “not harmful”.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new incentives regime applies to “Preferred Technological Enterprises” that meet certain conditions.</w:t>
      </w:r>
    </w:p>
    <w:p>
      <w:pPr>
        <w:spacing w:after="0" w:line="225"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The corporate tax rate applicable to the Preferred Technological Income generated by a Special Preferred Technological Enterprise (companies which are part of a group with annual consolidated revenue in excess of NIS 10 billion - approximately US$2.9 billion at current exchange rates -) is 6%. The reduced tax rate applies only with respect to the revenue attributable to the portion of intellectual property developed in Israel.</w:t>
      </w:r>
    </w:p>
    <w:p>
      <w:pPr>
        <w:spacing w:after="0" w:line="14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withholding tax on dividends paid to a foreign parent company holding at least 90% of the shares of the distributing company out of earnings that are eligible for the reduced corporate tax rate (in our case, 6%) is 4%. For other dividend distributions out of earnings of a Preferred Technological Enterprise, the withholding tax rate is 20% (or a lower rate under a tax treaty, if applicable).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2019, our primary Israeli subsidiary continues to apply the benefits under the terms of the law as provided prior to the 2011 amendment. We are continuously evaluating the potential benefits of applying the 2011 and 2017 amendments.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Under the laws of Guernsey as currently in effect, a holder of our ordinary shares who is not a resident of Guernsey (which includes Alderney and Herm for these purposes) and who does not carry on business in Guernsey through a permanent establishment situated there is not subject to Guernsey income tax on dividends paid with respect to the ordinary shares and is not liable for Guernsey income tax on gains realized upon sale or disposition of such ordinary shares. In addition, Guernsey does not impose a withholding tax on dividends paid by us to a holder of our ordinary shares who is not a resident of Guernsey and who does not carry on business in Guernsey through a permanent establishment situated there. Under Guernsey tax legislation, a holder of our ordinary shares who is a Guernsey resident or who carries on business in Guernsey through a permanent establishment may, depending on their circumstances, be subject to Guernsey income tax in connection with dividends paid by us and where such holder is a Guernsey resident individual, such tax may be collected by way of withholding from the dividend. We do not believe this legislation affects the taxation of a holder of ordinary shares who is not a resident of Guernsey and who does not carry on business in Guernsey through a permanent establishment situated there.</w:t>
      </w:r>
    </w:p>
    <w:p>
      <w:pPr>
        <w:spacing w:after="0" w:line="16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discussion describes material U.S. federal income tax consequences to a U.S. holder of the ownership or disposition of our ordinary shares. A U.S. holder is a beneficial owner of our ordinary shares that is:</w:t>
      </w:r>
    </w:p>
    <w:p>
      <w:pPr>
        <w:spacing w:after="0" w:line="170" w:lineRule="exact"/>
        <w:rPr>
          <w:sz w:val="20"/>
          <w:szCs w:val="20"/>
          <w:color w:val="auto"/>
        </w:rPr>
      </w:pPr>
    </w:p>
    <w:p>
      <w:pPr>
        <w:ind w:left="1280" w:hanging="212"/>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340" w:hanging="27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117" w:lineRule="exact"/>
        <w:rPr>
          <w:rFonts w:ascii="Arial" w:cs="Arial" w:eastAsia="Arial" w:hAnsi="Arial"/>
          <w:sz w:val="18"/>
          <w:szCs w:val="18"/>
          <w:color w:val="auto"/>
        </w:rPr>
      </w:pPr>
    </w:p>
    <w:p>
      <w:pPr>
        <w:ind w:left="1380" w:hanging="312"/>
        <w:spacing w:after="0"/>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28" w:lineRule="exact"/>
        <w:rPr>
          <w:rFonts w:ascii="Arial" w:cs="Arial" w:eastAsia="Arial" w:hAnsi="Arial"/>
          <w:sz w:val="17"/>
          <w:szCs w:val="17"/>
          <w:color w:val="auto"/>
        </w:rPr>
      </w:pPr>
    </w:p>
    <w:p>
      <w:pPr>
        <w:ind w:left="640" w:right="280" w:firstLine="428"/>
        <w:spacing w:after="0" w:line="277" w:lineRule="auto"/>
        <w:tabs>
          <w:tab w:leader="none" w:pos="13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U.S. federal income tax consequences to certain U.S. holders that are subject to special treatment (such as broker-dealers, insurance companies, tax-exempt organizations, financial institutions, U.S. holders that hold ordinary shares as part of a “straddle,” “hedge” or “conversion transaction” with other investments, U.S. holders that hold ordinary shares in connection with a trade or business outside the United States,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the possible application of U.S. federal gift or estate taxes or any alternative minimum or Medicare contribution tax consequences.</w:t>
      </w:r>
    </w:p>
    <w:p>
      <w:pPr>
        <w:spacing w:after="0" w:line="16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 Except as described in “–Passive Foreign Investment Company Considerations” below, this discussion assumes that we are not and have not been a passive foreign investment company (a “PFIC”) for any taxable year.</w:t>
      </w:r>
    </w:p>
    <w:p>
      <w:pPr>
        <w:spacing w:after="0" w:line="15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applicable requirements are satisfied. U.S. holders should consult their tax advisers regarding the availability of these preferential rates in their particular circumstances.</w:t>
      </w:r>
    </w:p>
    <w:p>
      <w:pPr>
        <w:spacing w:after="0" w:line="16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Dividends paid by us generally will be foreign source “passive category income” or, in certain cases, “general category income” for U.S. foreign tax credit purposes, which may be relevant in calculating a U.S. holder’s foreign tax credit limitation.</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 xml:space="preserve">Disposition of Ordinary Shares. </w:t>
      </w:r>
      <w:r>
        <w:rPr>
          <w:rFonts w:ascii="Arial" w:cs="Arial" w:eastAsia="Arial" w:hAnsi="Arial"/>
          <w:sz w:val="18"/>
          <w:szCs w:val="18"/>
          <w:color w:val="auto"/>
        </w:rPr>
        <w:t>Subject to the PFIC rules described below, upon the sale, exchange or other disposition of our ordinary shares, a</w:t>
      </w:r>
      <w:r>
        <w:rPr>
          <w:rFonts w:ascii="Arial" w:cs="Arial" w:eastAsia="Arial" w:hAnsi="Arial"/>
          <w:sz w:val="18"/>
          <w:szCs w:val="18"/>
          <w:i w:val="1"/>
          <w:iCs w:val="1"/>
          <w:color w:val="auto"/>
        </w:rPr>
        <w:t xml:space="preserve"> </w:t>
      </w:r>
      <w:r>
        <w:rPr>
          <w:rFonts w:ascii="Arial" w:cs="Arial" w:eastAsia="Arial" w:hAnsi="Arial"/>
          <w:sz w:val="18"/>
          <w:szCs w:val="18"/>
          <w:color w:val="auto"/>
        </w:rPr>
        <w:t>U.S. holder generally will recognize capital gain or loss in an amount equal to the difference between the amount realized on the disposition by such U.S. holder and its tax basis in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If, for any taxable year, 75% or more of our gross income consists of certain types of</w:t>
      </w:r>
      <w:r>
        <w:rPr>
          <w:rFonts w:ascii="Arial" w:cs="Arial" w:eastAsia="Arial" w:hAnsi="Arial"/>
          <w:sz w:val="16"/>
          <w:szCs w:val="16"/>
          <w:i w:val="1"/>
          <w:iCs w:val="1"/>
          <w:color w:val="auto"/>
        </w:rPr>
        <w:t xml:space="preserve"> </w:t>
      </w:r>
      <w:r>
        <w:rPr>
          <w:rFonts w:ascii="Arial" w:cs="Arial" w:eastAsia="Arial" w:hAnsi="Arial"/>
          <w:sz w:val="16"/>
          <w:szCs w:val="16"/>
          <w:color w:val="auto"/>
        </w:rPr>
        <w:t>passive income, or 50% or more of the average value of our assets including goodwill (generally determined on a quarterly basis) consists of passive assets (generally assets that generate passive income), we will be treated as a PFIC for such year. If we are treated as a PFIC for any taxable year during which a U.S. holder owns our ordinary shares, the U.S. holder generally will be subject to increased tax liability upon the sale of our ordinary shares or upon the receipt of certain excess distributions, unless such U.S. holder makes an election to mark our ordinary shares to market annually.</w:t>
      </w:r>
    </w:p>
    <w:p>
      <w:pPr>
        <w:spacing w:after="0" w:line="15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believe that we were not a PFIC for our taxable year ended September 30, 2019.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for the current or any future taxable year or that the IRS will agree with our conclusion regarding our current PFIC status.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addition, if we were a PFIC for any taxable year in which we make a distribution or the preceding taxable year, the preferential rules 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“qualified dividend income” described above would not apply. If a U.S. holder owns ordinary shares during any year in which we are a PFIC, the 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 generally must file annual reports to the IRS.</w:t>
      </w:r>
    </w:p>
    <w:p>
      <w:pPr>
        <w:spacing w:after="0" w:line="21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U.S. holders generally will be subject to information reporting requirements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that are paid within the United States or through U.S.-related financial intermediaries, as well as with respect to gross proceeds from disposition of our ordinary shares, unless the U.S. holder is an “exempt recipient.” U.S. holders may also be subject to backup withholding (currently at a 24% rate)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Certain U.S. holders who are individuals or entities closely-held by individuals are required to report information with respect to their investment in our ordinary shares not held through a custodial account with a U.S. financial institution to the IRS. In general a U.S. holder holding specified “foreign financial assets” (which generally would include our ordinary shares not held through a custodial account with a financial institution or 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call the SEC at 1-800-SEC-0330 for further information about the Public Reference Room. Such reports are also</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24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Some of this information may also be found on our website at </w:t>
      </w:r>
      <w:r>
        <w:rPr>
          <w:rFonts w:ascii="Arial" w:cs="Arial" w:eastAsia="Arial" w:hAnsi="Arial"/>
          <w:sz w:val="17"/>
          <w:szCs w:val="17"/>
          <w:i w:val="1"/>
          <w:iCs w:val="1"/>
          <w:color w:val="auto"/>
        </w:rPr>
        <w:t>www.amdocs.com.</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314-212-8328</w:t>
      </w:r>
    </w:p>
    <w:p>
      <w:pPr>
        <w:spacing w:after="0" w:line="315" w:lineRule="exact"/>
        <w:rPr>
          <w:sz w:val="20"/>
          <w:szCs w:val="20"/>
          <w:color w:val="auto"/>
        </w:rPr>
      </w:pPr>
    </w:p>
    <w:p>
      <w:pPr>
        <w:ind w:left="200" w:right="4060"/>
        <w:spacing w:after="0" w:line="378"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Foreign Currency Risk</w:t>
      </w:r>
    </w:p>
    <w:p>
      <w:pPr>
        <w:jc w:val="both"/>
        <w:ind w:left="200" w:right="140" w:firstLine="441"/>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fiscal year 2019, approximately 70% to 80% of our revenue and approximately 50% to 60% of our operating expenses were in U.S. dollars or linked to the U.S. dollar. If more customers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in Canadian dollar and European Euros, and anticipated costs to be incurred in a foreign currency, primarily Israeli shekels and Indian rupees. We also use such contracts to hedge the net impact of the variability in exchange rates on certain balance sheet items such as accounts receivable and employee related accruals denominated primarily in Israeli shekels, Indian rupees and European Euros, as well as other foreign currency of jurisdictions in which we operate.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7 to our consolidated financial statements.</w:t>
      </w:r>
    </w:p>
    <w:p>
      <w:pPr>
        <w:spacing w:after="0" w:line="167"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2019. Notional values are in U.S. dollars and are translated and calculated based on forward rates as of September 30, 2019, for forward contracts, and based on spot rates as of September 30, 2019 for options.</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80" w:type="dxa"/>
            <w:vAlign w:val="bottom"/>
            <w:gridSpan w:val="3"/>
            <w:vMerge w:val="restart"/>
          </w:tcPr>
          <w:p>
            <w:pPr>
              <w:ind w:left="1300"/>
              <w:spacing w:after="0"/>
              <w:rPr>
                <w:sz w:val="20"/>
                <w:szCs w:val="20"/>
                <w:color w:val="auto"/>
              </w:rPr>
            </w:pPr>
            <w:r>
              <w:rPr>
                <w:rFonts w:ascii="Arial" w:cs="Arial" w:eastAsia="Arial" w:hAnsi="Arial"/>
                <w:sz w:val="14"/>
                <w:szCs w:val="14"/>
                <w:b w:val="1"/>
                <w:bCs w:val="1"/>
                <w:color w:val="auto"/>
                <w:w w:val="93"/>
              </w:rPr>
              <w:t>Notional Value*</w:t>
            </w:r>
          </w:p>
        </w:tc>
        <w:tc>
          <w:tcPr>
            <w:tcW w:w="1900" w:type="dxa"/>
            <w:vAlign w:val="bottom"/>
            <w:gridSpan w:val="4"/>
          </w:tcPr>
          <w:p>
            <w:pPr>
              <w:ind w:left="1040"/>
              <w:spacing w:after="0"/>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 (in millions)</w:t>
            </w:r>
          </w:p>
        </w:tc>
        <w:tc>
          <w:tcPr>
            <w:tcW w:w="1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00" w:hanging="436"/>
        <w:spacing w:after="0" w:line="27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interest expenses and income are sensitive to changes in interest rates, as all of our cash investments and some of our borrowings, are subject to interest rate changes. Our short-term interest-bearing investments, if applicable, are generally invested in short-term conservative debt instruments, primarily U.S. dollar-denominated, and consist mainly of bank deposits, corporate bonds, money market funds, U.S. government treasuries, and U.S. agency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With the participation of the Chief Executive Officer and Chief Financial Officer of Amdocs Management Limited, our management evaluated the effectiveness of our disclosure controls and procedures as of September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2019,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2019, which is included herein.</w:t>
      </w:r>
    </w:p>
    <w:p>
      <w:pPr>
        <w:spacing w:after="0" w:line="18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year ended September 30, 2019 that has materially affected, or is reasonably likely to materially affect, our internal control over financial reporting.</w:t>
      </w:r>
    </w:p>
    <w:p>
      <w:pPr>
        <w:spacing w:after="0" w:line="18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121"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121"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181"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314-212-8328</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Nasdaq rules concerning any amendments to, or waivers from, any provision of the code.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Ernst &amp; Young billed us approximately $3.8 million for audit services for fiscal 2019, including fees associated with the annual audit and reviews of our quarterly financial results submitted on Form 6-K, consultations on various accounting issues and performance of local statutory audits. Ernst &amp; Young billed us approximately $4.0 million for audit services for fiscal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Ernst &amp; Young billed us approximately $1.5 million for audit-related services for fiscal 2019. Audit-related services principally include SOC 1 report issuances and due diligence examinations. Ernst &amp; Young billed us approximately $2.3 million for audit-related services for fiscal 2018.</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Ernst &amp; Young billed us approximately $1.8 million for tax advice, including fees associated with tax compliance, tax advice and tax planning services for fiscal 2019. Ernst &amp; Young billed us approximately $1.6 million for tax advice in fiscal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All Other Fees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2019 or fiscal 2018.</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2019, our Audit Committee approved all of the services provided by Ernst &amp; Young.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 FROM THE LISTING STANDARDS FOR AUDIT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2019 of equity securities that are registered by us pursuant to Section 12 of the Exchange Act: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(b)</w:t>
            </w:r>
          </w:p>
        </w:tc>
        <w:tc>
          <w:tcPr>
            <w:tcW w:w="1840" w:type="dxa"/>
            <w:vAlign w:val="bottom"/>
            <w:gridSpan w:val="2"/>
          </w:tcPr>
          <w:p>
            <w:pPr>
              <w:jc w:val="center"/>
              <w:ind w:left="631"/>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740" w:type="dxa"/>
            <w:vAlign w:val="bottom"/>
          </w:tcPr>
          <w:p>
            <w:pPr>
              <w:spacing w:after="0"/>
              <w:rPr>
                <w:sz w:val="12"/>
                <w:szCs w:val="12"/>
                <w:color w:val="auto"/>
              </w:rPr>
            </w:pPr>
          </w:p>
        </w:tc>
        <w:tc>
          <w:tcPr>
            <w:tcW w:w="1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80" w:type="dxa"/>
            <w:vAlign w:val="bottom"/>
            <w:gridSpan w:val="2"/>
          </w:tcPr>
          <w:p>
            <w:pPr>
              <w:jc w:val="center"/>
              <w:ind w:left="1131"/>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2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89"/>
              </w:rPr>
              <w:t>Average Price</w:t>
            </w:r>
          </w:p>
        </w:tc>
        <w:tc>
          <w:tcPr>
            <w:tcW w:w="7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62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May Yet Be Purchased Under</w:t>
            </w:r>
          </w:p>
        </w:tc>
        <w:tc>
          <w:tcPr>
            <w:tcW w:w="0" w:type="dxa"/>
            <w:vAlign w:val="bottom"/>
          </w:tcPr>
          <w:p>
            <w:pPr>
              <w:spacing w:after="0"/>
              <w:rPr>
                <w:sz w:val="1"/>
                <w:szCs w:val="1"/>
                <w:color w:val="auto"/>
              </w:rPr>
            </w:pPr>
          </w:p>
        </w:tc>
      </w:tr>
      <w:tr>
        <w:trPr>
          <w:trHeight w:val="158"/>
        </w:trPr>
        <w:tc>
          <w:tcPr>
            <w:tcW w:w="2480" w:type="dxa"/>
            <w:vAlign w:val="bottom"/>
            <w:gridSpan w:val="4"/>
            <w:vMerge w:val="continue"/>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w:t>
            </w:r>
          </w:p>
        </w:tc>
        <w:tc>
          <w:tcPr>
            <w:tcW w:w="1820" w:type="dxa"/>
            <w:vAlign w:val="bottom"/>
            <w:gridSpan w:val="3"/>
          </w:tcPr>
          <w:p>
            <w:pPr>
              <w:ind w:left="720"/>
              <w:spacing w:after="0" w:line="158" w:lineRule="exact"/>
              <w:rPr>
                <w:sz w:val="20"/>
                <w:szCs w:val="20"/>
                <w:color w:val="auto"/>
              </w:rPr>
            </w:pPr>
            <w:r>
              <w:rPr>
                <w:rFonts w:ascii="Arial" w:cs="Arial" w:eastAsia="Arial" w:hAnsi="Arial"/>
                <w:sz w:val="14"/>
                <w:szCs w:val="14"/>
                <w:b w:val="1"/>
                <w:bCs w:val="1"/>
                <w:color w:val="auto"/>
                <w:w w:val="93"/>
              </w:rPr>
              <w:t>Paid per Share(1)</w:t>
            </w:r>
          </w:p>
        </w:tc>
        <w:tc>
          <w:tcPr>
            <w:tcW w:w="72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the Plans or Programs(2)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10/1/18-10/31/18</w:t>
            </w: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408,629</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63.34</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408,629</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611,244,191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11/1/18-11/30/18</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549,168</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64.82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549,168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575,645,377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12/1/18-12/31/18</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621,986</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621,986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537,969,723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01/1/19-01/31/19</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512,003</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57.81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512,003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508,370,524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02/1/19-02/28/19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631,061</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631,061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473,057,105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03/1/19-03/31/19</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1,002,877</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54.93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1,002,877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417,970,342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04/1/19-04/30/19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423,146</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423,146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394,971,008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05/1/19-05/31/19</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463,771</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57.21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463,771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368,437,600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06/1/19-06/30/19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644,541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329,170,948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07/1/19-07/31/19</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347,700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63.13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347,700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307,221,984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08/1/19-08/31/19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561,900</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561,900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271,343,972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09/1/19-09/30/19</w:t>
            </w:r>
          </w:p>
        </w:tc>
        <w:tc>
          <w:tcPr>
            <w:tcW w:w="12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489,041</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65.79</w:t>
            </w:r>
          </w:p>
        </w:tc>
        <w:tc>
          <w:tcPr>
            <w:tcW w:w="7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489,041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239,171,042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6,655,823</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6,655,823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239,171,042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640" w:right="360" w:hanging="436"/>
        <w:spacing w:after="0" w:line="273"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November 8, 2017, our Board of Directors adopted a share repurchase plan authorizing the repurchase of up to $800.0 million of our outstanding ordinary shares and on November 12, 2019,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that we consider appropriate.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Nasdaq listing standards. For further information regarding our corporate governance practices, please refer to our Notice and Proxy Statement to be mailed to our shareholders in December 2018, and to our website at www.amdocs.com.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Statements And Schedule</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Financial Statements and Financial Statement Schedule of Amdocs Limited, with respect to financial results for the fiscal years ended September 30, 2019, 2018 and 2019, are included at the end of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Consolidated Balance Sheets as of September 30, 2019 and 2018</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Consolidated Statements of Income for the fiscal years ended September 30, 2019, 2018 and 2017</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Consolidated Statements of Comprehensive Income for the fiscal years ended September 30, 2019, 2018 and 2017</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Consolidated Statements of Changes in Equity for the fiscal years ended September 30, 2019, 2018 and 2017</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Consolidated Statements of Cash Flows for the fiscal years ended September 30, 2019, 2018 and 2017</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Notes to the Consolidated Financial Statements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Valuation and Qualifying Accounts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other schedules have been omitted since they are either not required or not applicable, or the information has otherwise been included.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exhibits listed hereof are filed herewith in response to this Item.</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00" w:type="dxa"/>
            <w:vAlign w:val="bottom"/>
            <w:gridSpan w:val="4"/>
          </w:tcPr>
          <w:p>
            <w:pPr>
              <w:ind w:left="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99"/>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9820" w:type="dxa"/>
            <w:vAlign w:val="bottom"/>
            <w:tcBorders>
              <w:bottom w:val="single" w:sz="8" w:color="0000EE"/>
            </w:tcBorders>
            <w:gridSpan w:val="5"/>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Amended and Restated Memorandum of Incorporation of Amdocs Limited (incorporated by reference to Exhibit 99.1 to Amdocs’ Form</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6-K filed January 26, 2009)</w:t>
              </w:r>
            </w:hyperlink>
          </w:p>
        </w:tc>
        <w:tc>
          <w:tcPr>
            <w:tcW w:w="79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99"/>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9940" w:type="dxa"/>
            <w:vAlign w:val="bottom"/>
            <w:tcBorders>
              <w:bottom w:val="single" w:sz="8" w:color="0000EE"/>
            </w:tcBorders>
            <w:gridSpan w:val="6"/>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Amended and Restated Articles of Incorporation of Amdocs Limited (incorporated by reference to Exhibit 1.2 to Amdocs’ Annual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on Form 20-F, filed December 7, 2010)</w:t>
              </w:r>
            </w:hyperlink>
          </w:p>
        </w:tc>
        <w:tc>
          <w:tcPr>
            <w:tcW w:w="7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200" w:hanging="816"/>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0000EE"/>
        </w:rPr>
        <w:t>Description of rights of each applicable class of securities registered under Section 12 of the Securities Exchange Act of 1934</w:t>
      </w:r>
    </w:p>
    <w:p>
      <w:pPr>
        <w:spacing w:after="0" w:line="100"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jc w:val="center"/>
              <w:ind w:right="430"/>
              <w:spacing w:after="0"/>
              <w:rPr>
                <w:sz w:val="20"/>
                <w:szCs w:val="20"/>
                <w:color w:val="auto"/>
              </w:rPr>
            </w:pPr>
            <w:r>
              <w:rPr>
                <w:rFonts w:ascii="Arial" w:cs="Arial" w:eastAsia="Arial" w:hAnsi="Arial"/>
                <w:sz w:val="18"/>
                <w:szCs w:val="18"/>
                <w:color w:val="auto"/>
                <w:w w:val="87"/>
              </w:rPr>
              <w:t>4.a.1†</w:t>
            </w:r>
          </w:p>
        </w:tc>
        <w:tc>
          <w:tcPr>
            <w:tcW w:w="9280" w:type="dxa"/>
            <w:vAlign w:val="bottom"/>
            <w:tcBorders>
              <w:bottom w:val="single" w:sz="8" w:color="0000EE"/>
            </w:tcBorders>
            <w:gridSpan w:val="7"/>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Agreement between Amdocs, Inc. and AT&amp;T Services, Inc. for Software and Professional Services, effective February 28, 2017</w:t>
              </w:r>
            </w:hyperlink>
          </w:p>
        </w:tc>
        <w:tc>
          <w:tcPr>
            <w:tcW w:w="700" w:type="dxa"/>
            <w:vAlign w:val="bottom"/>
            <w:gridSpan w:val="7"/>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0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(incorporated by reference to Exhibit 4.b.6 to Amdocs’ Annual Report on Form 20-F, filed December 11, 2017)</w:t>
              </w:r>
            </w:hyperlink>
          </w:p>
        </w:tc>
        <w:tc>
          <w:tcPr>
            <w:tcW w:w="1940" w:type="dxa"/>
            <w:vAlign w:val="bottom"/>
            <w:gridSpan w:val="8"/>
          </w:tcPr>
          <w:p>
            <w:pPr>
              <w:spacing w:after="0"/>
              <w:rPr>
                <w:sz w:val="17"/>
                <w:szCs w:val="17"/>
                <w:color w:val="auto"/>
              </w:rPr>
            </w:pPr>
          </w:p>
        </w:tc>
      </w:tr>
      <w:tr>
        <w:trPr>
          <w:trHeight w:val="304"/>
        </w:trPr>
        <w:tc>
          <w:tcPr>
            <w:tcW w:w="960" w:type="dxa"/>
            <w:vAlign w:val="bottom"/>
          </w:tcPr>
          <w:p>
            <w:pPr>
              <w:jc w:val="center"/>
              <w:ind w:right="430"/>
              <w:spacing w:after="0"/>
              <w:rPr>
                <w:sz w:val="20"/>
                <w:szCs w:val="20"/>
                <w:color w:val="auto"/>
              </w:rPr>
            </w:pPr>
            <w:r>
              <w:rPr>
                <w:rFonts w:ascii="Arial" w:cs="Arial" w:eastAsia="Arial" w:hAnsi="Arial"/>
                <w:sz w:val="18"/>
                <w:szCs w:val="18"/>
                <w:color w:val="auto"/>
                <w:w w:val="87"/>
              </w:rPr>
              <w:t>4.a.2†</w:t>
            </w:r>
          </w:p>
        </w:tc>
        <w:tc>
          <w:tcPr>
            <w:tcW w:w="9980" w:type="dxa"/>
            <w:vAlign w:val="bottom"/>
            <w:gridSpan w:val="14"/>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Supplemental Agreement dated September 30, 2018 to the Agreement for Software and Professional Services effective February 28,</w:t>
              </w:r>
            </w:hyperlink>
          </w:p>
        </w:tc>
      </w:tr>
      <w:tr>
        <w:trPr>
          <w:trHeight w:val="196"/>
        </w:trPr>
        <w:tc>
          <w:tcPr>
            <w:tcW w:w="960" w:type="dxa"/>
            <w:vAlign w:val="bottom"/>
          </w:tcPr>
          <w:p>
            <w:pPr>
              <w:spacing w:after="0"/>
              <w:rPr>
                <w:sz w:val="17"/>
                <w:szCs w:val="17"/>
                <w:color w:val="auto"/>
              </w:rPr>
            </w:pPr>
          </w:p>
        </w:tc>
        <w:tc>
          <w:tcPr>
            <w:tcW w:w="962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2017 that is filed as Exhibit 4.a.1 hereto (incorporated by reference to Exhibit 4.a.2. to Amdocs’ Annual Report on Form 20-F, filed</w:t>
              </w:r>
            </w:hyperlink>
          </w:p>
        </w:tc>
        <w:tc>
          <w:tcPr>
            <w:tcW w:w="36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December 10, 2018).</w:t>
              </w:r>
            </w:hyperlink>
          </w:p>
        </w:tc>
        <w:tc>
          <w:tcPr>
            <w:tcW w:w="500" w:type="dxa"/>
            <w:vAlign w:val="bottom"/>
            <w:gridSpan w:val="5"/>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960" w:type="dxa"/>
            <w:vAlign w:val="bottom"/>
          </w:tcPr>
          <w:p>
            <w:pPr>
              <w:jc w:val="center"/>
              <w:ind w:right="430"/>
              <w:spacing w:after="0"/>
              <w:rPr>
                <w:sz w:val="20"/>
                <w:szCs w:val="20"/>
                <w:color w:val="auto"/>
              </w:rPr>
            </w:pPr>
            <w:r>
              <w:rPr>
                <w:rFonts w:ascii="Arial" w:cs="Arial" w:eastAsia="Arial" w:hAnsi="Arial"/>
                <w:sz w:val="18"/>
                <w:szCs w:val="18"/>
                <w:color w:val="auto"/>
                <w:w w:val="87"/>
              </w:rPr>
              <w:t>4.a.3†</w:t>
            </w:r>
          </w:p>
        </w:tc>
        <w:tc>
          <w:tcPr>
            <w:tcW w:w="9980" w:type="dxa"/>
            <w:vAlign w:val="bottom"/>
            <w:gridSpan w:val="14"/>
          </w:tcPr>
          <w:p>
            <w:pPr>
              <w:spacing w:after="0"/>
              <w:rPr>
                <w:sz w:val="20"/>
                <w:szCs w:val="20"/>
                <w:color w:val="auto"/>
              </w:rPr>
            </w:pPr>
            <w:r>
              <w:rPr>
                <w:rFonts w:ascii="Arial" w:cs="Arial" w:eastAsia="Arial" w:hAnsi="Arial"/>
                <w:sz w:val="18"/>
                <w:szCs w:val="18"/>
                <w:color w:val="0000EE"/>
                <w:w w:val="96"/>
              </w:rPr>
              <w:t>Amendment No. 1 to Agreement between Amdocs, Inc. and AT&amp;T Services, Inc. for Software and Professional Services, effective</w:t>
            </w:r>
          </w:p>
        </w:tc>
      </w:tr>
      <w:tr>
        <w:trPr>
          <w:trHeight w:val="196"/>
        </w:trPr>
        <w:tc>
          <w:tcPr>
            <w:tcW w:w="960" w:type="dxa"/>
            <w:vAlign w:val="bottom"/>
          </w:tcPr>
          <w:p>
            <w:pPr>
              <w:spacing w:after="0"/>
              <w:rPr>
                <w:sz w:val="17"/>
                <w:szCs w:val="17"/>
                <w:color w:val="auto"/>
              </w:rPr>
            </w:pPr>
          </w:p>
        </w:tc>
        <w:tc>
          <w:tcPr>
            <w:tcW w:w="942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November 8, 2018</w:t>
            </w:r>
          </w:p>
        </w:tc>
        <w:tc>
          <w:tcPr>
            <w:tcW w:w="560" w:type="dxa"/>
            <w:vAlign w:val="bottom"/>
            <w:gridSpan w:val="6"/>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960" w:type="dxa"/>
            <w:vAlign w:val="bottom"/>
          </w:tcPr>
          <w:p>
            <w:pPr>
              <w:jc w:val="center"/>
              <w:ind w:right="430"/>
              <w:spacing w:after="0"/>
              <w:rPr>
                <w:sz w:val="20"/>
                <w:szCs w:val="20"/>
                <w:color w:val="auto"/>
              </w:rPr>
            </w:pPr>
            <w:r>
              <w:rPr>
                <w:rFonts w:ascii="Arial" w:cs="Arial" w:eastAsia="Arial" w:hAnsi="Arial"/>
                <w:sz w:val="18"/>
                <w:szCs w:val="18"/>
                <w:color w:val="auto"/>
                <w:w w:val="87"/>
              </w:rPr>
              <w:t>4.a.4†</w:t>
            </w:r>
          </w:p>
        </w:tc>
        <w:tc>
          <w:tcPr>
            <w:tcW w:w="9980" w:type="dxa"/>
            <w:vAlign w:val="bottom"/>
            <w:gridSpan w:val="14"/>
          </w:tcPr>
          <w:p>
            <w:pPr>
              <w:spacing w:after="0"/>
              <w:rPr>
                <w:sz w:val="20"/>
                <w:szCs w:val="20"/>
                <w:color w:val="auto"/>
              </w:rPr>
            </w:pPr>
            <w:r>
              <w:rPr>
                <w:rFonts w:ascii="Arial" w:cs="Arial" w:eastAsia="Arial" w:hAnsi="Arial"/>
                <w:sz w:val="18"/>
                <w:szCs w:val="18"/>
                <w:color w:val="0000EE"/>
                <w:w w:val="96"/>
              </w:rPr>
              <w:t>Amendment No. 2 to Agreement between Amdocs, Inc. and AT&amp;T Services, Inc. for Software and Professional Services, effective</w:t>
            </w:r>
          </w:p>
        </w:tc>
      </w:tr>
      <w:tr>
        <w:trPr>
          <w:trHeight w:val="196"/>
        </w:trPr>
        <w:tc>
          <w:tcPr>
            <w:tcW w:w="96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December 27, 2018</w:t>
            </w:r>
          </w:p>
        </w:tc>
        <w:tc>
          <w:tcPr>
            <w:tcW w:w="8000" w:type="dxa"/>
            <w:vAlign w:val="bottom"/>
            <w:tcBorders>
              <w:top w:val="single" w:sz="8" w:color="0000EE"/>
            </w:tcBorders>
            <w:gridSpan w:val="6"/>
          </w:tcPr>
          <w:p>
            <w:pPr>
              <w:spacing w:after="0"/>
              <w:rPr>
                <w:sz w:val="17"/>
                <w:szCs w:val="17"/>
                <w:color w:val="auto"/>
              </w:rPr>
            </w:pPr>
          </w:p>
        </w:tc>
        <w:tc>
          <w:tcPr>
            <w:tcW w:w="560" w:type="dxa"/>
            <w:vAlign w:val="bottom"/>
            <w:gridSpan w:val="6"/>
          </w:tcPr>
          <w:p>
            <w:pPr>
              <w:spacing w:after="0"/>
              <w:rPr>
                <w:sz w:val="17"/>
                <w:szCs w:val="17"/>
                <w:color w:val="auto"/>
              </w:rPr>
            </w:pPr>
          </w:p>
        </w:tc>
      </w:tr>
      <w:tr>
        <w:trPr>
          <w:trHeight w:val="304"/>
        </w:trPr>
        <w:tc>
          <w:tcPr>
            <w:tcW w:w="960" w:type="dxa"/>
            <w:vAlign w:val="bottom"/>
          </w:tcPr>
          <w:p>
            <w:pPr>
              <w:ind w:left="140"/>
              <w:spacing w:after="0"/>
              <w:rPr>
                <w:sz w:val="20"/>
                <w:szCs w:val="20"/>
                <w:color w:val="auto"/>
              </w:rPr>
            </w:pPr>
            <w:r>
              <w:rPr>
                <w:rFonts w:ascii="Arial" w:cs="Arial" w:eastAsia="Arial" w:hAnsi="Arial"/>
                <w:sz w:val="18"/>
                <w:szCs w:val="18"/>
                <w:color w:val="auto"/>
              </w:rPr>
              <w:t>4.b</w:t>
            </w:r>
          </w:p>
        </w:tc>
        <w:tc>
          <w:tcPr>
            <w:tcW w:w="9840" w:type="dxa"/>
            <w:vAlign w:val="bottom"/>
            <w:tcBorders>
              <w:bottom w:val="single" w:sz="8" w:color="0000EE"/>
            </w:tcBorders>
            <w:gridSpan w:val="11"/>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Amdocs Limited 1998 Stock Option and Incentive Plan, as amended (incorporated by reference to Exhibit 99.1 to Amdocs’ Registration</w:t>
              </w:r>
            </w:hyperlink>
          </w:p>
        </w:tc>
        <w:tc>
          <w:tcPr>
            <w:tcW w:w="14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Statement on Form S-8, filed on February 12, 2018)</w:t>
              </w:r>
            </w:hyperlink>
          </w:p>
        </w:tc>
        <w:tc>
          <w:tcPr>
            <w:tcW w:w="6220" w:type="dxa"/>
            <w:vAlign w:val="bottom"/>
            <w:gridSpan w:val="9"/>
          </w:tcPr>
          <w:p>
            <w:pPr>
              <w:spacing w:after="0"/>
              <w:rPr>
                <w:sz w:val="17"/>
                <w:szCs w:val="17"/>
                <w:color w:val="auto"/>
              </w:rPr>
            </w:pPr>
          </w:p>
        </w:tc>
      </w:tr>
      <w:tr>
        <w:trPr>
          <w:trHeight w:val="304"/>
        </w:trPr>
        <w:tc>
          <w:tcPr>
            <w:tcW w:w="960" w:type="dxa"/>
            <w:vAlign w:val="bottom"/>
          </w:tcPr>
          <w:p>
            <w:pPr>
              <w:jc w:val="center"/>
              <w:ind w:right="370"/>
              <w:spacing w:after="0"/>
              <w:rPr>
                <w:sz w:val="20"/>
                <w:szCs w:val="20"/>
                <w:color w:val="auto"/>
              </w:rPr>
            </w:pPr>
            <w:r>
              <w:rPr>
                <w:rFonts w:ascii="Arial" w:cs="Arial" w:eastAsia="Arial" w:hAnsi="Arial"/>
                <w:sz w:val="18"/>
                <w:szCs w:val="18"/>
                <w:color w:val="auto"/>
                <w:w w:val="91"/>
              </w:rPr>
              <w:t>4.c</w:t>
            </w:r>
          </w:p>
        </w:tc>
        <w:tc>
          <w:tcPr>
            <w:tcW w:w="9980" w:type="dxa"/>
            <w:vAlign w:val="bottom"/>
            <w:tcBorders>
              <w:bottom w:val="single" w:sz="8" w:color="0000EE"/>
            </w:tcBorders>
            <w:gridSpan w:val="14"/>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Amended and Restated Credit Agreement, dated as of December 11, 2017, among Amdocs Limited, certain of its subsidiaries, the lenders</w:t>
              </w:r>
            </w:hyperlink>
          </w:p>
        </w:tc>
      </w:tr>
      <w:tr>
        <w:trPr>
          <w:trHeight w:val="196"/>
        </w:trPr>
        <w:tc>
          <w:tcPr>
            <w:tcW w:w="960" w:type="dxa"/>
            <w:vAlign w:val="bottom"/>
          </w:tcPr>
          <w:p>
            <w:pPr>
              <w:spacing w:after="0"/>
              <w:rPr>
                <w:sz w:val="17"/>
                <w:szCs w:val="17"/>
                <w:color w:val="auto"/>
              </w:rPr>
            </w:pPr>
          </w:p>
        </w:tc>
        <w:tc>
          <w:tcPr>
            <w:tcW w:w="9980" w:type="dxa"/>
            <w:vAlign w:val="bottom"/>
            <w:gridSpan w:val="14"/>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from time to time party thereto, JPMorgan Chase Bank, N.A., as administrative agent, J.P. Morgan Europe Limited, as London agent, and</w:t>
              </w:r>
            </w:hyperlink>
          </w:p>
        </w:tc>
      </w:tr>
      <w:tr>
        <w:trPr>
          <w:trHeight w:val="196"/>
        </w:trPr>
        <w:tc>
          <w:tcPr>
            <w:tcW w:w="960" w:type="dxa"/>
            <w:vAlign w:val="bottom"/>
          </w:tcPr>
          <w:p>
            <w:pPr>
              <w:spacing w:after="0"/>
              <w:rPr>
                <w:sz w:val="17"/>
                <w:szCs w:val="17"/>
                <w:color w:val="auto"/>
              </w:rPr>
            </w:pPr>
          </w:p>
        </w:tc>
        <w:tc>
          <w:tcPr>
            <w:tcW w:w="9900" w:type="dxa"/>
            <w:vAlign w:val="bottom"/>
            <w:tcBorders>
              <w:top w:val="single" w:sz="8" w:color="0000EE"/>
            </w:tcBorders>
            <w:gridSpan w:val="13"/>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JPMorgan Chase Bank, N.A., Toronto branch, as Canadian agent (incorporated by reference to Exhibit 4.d to Amdocs’ Annual Report on</w:t>
              </w:r>
            </w:hyperlink>
          </w:p>
        </w:tc>
        <w:tc>
          <w:tcPr>
            <w:tcW w:w="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8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Form 20-F, filed on December 11, 2017)</w:t>
              </w:r>
            </w:hyperlink>
          </w:p>
        </w:tc>
        <w:tc>
          <w:tcPr>
            <w:tcW w:w="100" w:type="dxa"/>
            <w:vAlign w:val="bottom"/>
            <w:gridSpan w:val="2"/>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00" w:hanging="771"/>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0000EE"/>
        </w:rPr>
        <w:t>Subsidiaries of Amdocs Limited</w:t>
      </w:r>
    </w:p>
    <w:p>
      <w:pPr>
        <w:spacing w:after="0" w:line="10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12.1</w:t>
            </w:r>
          </w:p>
        </w:tc>
        <w:tc>
          <w:tcPr>
            <w:tcW w:w="56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Certification of Chief Executive Officer pursuant to Rule 13a-14(a)/15d-14(a)</w:t>
            </w:r>
          </w:p>
        </w:tc>
        <w:tc>
          <w:tcPr>
            <w:tcW w:w="4220" w:type="dxa"/>
            <w:vAlign w:val="bottom"/>
          </w:tcPr>
          <w:p>
            <w:pPr>
              <w:spacing w:after="0"/>
              <w:rPr>
                <w:sz w:val="18"/>
                <w:szCs w:val="18"/>
                <w:color w:val="auto"/>
              </w:rPr>
            </w:pPr>
          </w:p>
        </w:tc>
      </w:tr>
      <w:tr>
        <w:trPr>
          <w:trHeight w:val="304"/>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12.2</w:t>
            </w:r>
          </w:p>
        </w:tc>
        <w:tc>
          <w:tcPr>
            <w:tcW w:w="9840" w:type="dxa"/>
            <w:vAlign w:val="bottom"/>
            <w:gridSpan w:val="6"/>
          </w:tcPr>
          <w:p>
            <w:pPr>
              <w:spacing w:after="0"/>
              <w:rPr>
                <w:sz w:val="20"/>
                <w:szCs w:val="20"/>
                <w:color w:val="auto"/>
              </w:rPr>
            </w:pPr>
            <w:r>
              <w:rPr>
                <w:rFonts w:ascii="Arial" w:cs="Arial" w:eastAsia="Arial" w:hAnsi="Arial"/>
                <w:sz w:val="18"/>
                <w:szCs w:val="18"/>
                <w:color w:val="0000EE"/>
              </w:rPr>
              <w:t>Certification of Chief Financial Officer pursuant to Rule 13a-14(a)/15d-14(a)</w:t>
            </w:r>
          </w:p>
        </w:tc>
      </w:tr>
      <w:tr>
        <w:trPr>
          <w:trHeight w:val="304"/>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13.1</w:t>
            </w:r>
          </w:p>
        </w:tc>
        <w:tc>
          <w:tcPr>
            <w:tcW w:w="55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Certification of Chief Executive Officer pursuant to 18 U.S.C. 1350</w:t>
            </w:r>
          </w:p>
        </w:tc>
        <w:tc>
          <w:tcPr>
            <w:tcW w:w="4280" w:type="dxa"/>
            <w:vAlign w:val="bottom"/>
            <w:gridSpan w:val="2"/>
          </w:tcPr>
          <w:p>
            <w:pPr>
              <w:spacing w:after="0"/>
              <w:rPr>
                <w:sz w:val="24"/>
                <w:szCs w:val="24"/>
                <w:color w:val="auto"/>
              </w:rPr>
            </w:pPr>
          </w:p>
        </w:tc>
      </w:tr>
      <w:tr>
        <w:trPr>
          <w:trHeight w:val="304"/>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13.2</w:t>
            </w:r>
          </w:p>
        </w:tc>
        <w:tc>
          <w:tcPr>
            <w:tcW w:w="48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2"/>
              </w:rPr>
              <w:t>Certification of Chief Financial Officer pursuant to 18 U.S.C. 1350</w:t>
            </w:r>
          </w:p>
        </w:tc>
        <w:tc>
          <w:tcPr>
            <w:tcW w:w="40" w:type="dxa"/>
            <w:vAlign w:val="bottom"/>
            <w:tcBorders>
              <w:top w:val="single" w:sz="8" w:color="0000EE"/>
            </w:tcBorders>
          </w:tcPr>
          <w:p>
            <w:pPr>
              <w:spacing w:after="0"/>
              <w:rPr>
                <w:sz w:val="24"/>
                <w:szCs w:val="24"/>
                <w:color w:val="auto"/>
              </w:rPr>
            </w:pPr>
          </w:p>
        </w:tc>
        <w:tc>
          <w:tcPr>
            <w:tcW w:w="4960" w:type="dxa"/>
            <w:vAlign w:val="bottom"/>
            <w:gridSpan w:val="3"/>
          </w:tcPr>
          <w:p>
            <w:pPr>
              <w:spacing w:after="0"/>
              <w:rPr>
                <w:sz w:val="24"/>
                <w:szCs w:val="24"/>
                <w:color w:val="auto"/>
              </w:rPr>
            </w:pPr>
          </w:p>
        </w:tc>
      </w:tr>
      <w:tr>
        <w:trPr>
          <w:trHeight w:val="304"/>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14.1</w:t>
            </w:r>
          </w:p>
        </w:tc>
        <w:tc>
          <w:tcPr>
            <w:tcW w:w="2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2"/>
              </w:rPr>
              <w:t>Consent of Ernst &amp; Young LLP</w:t>
            </w:r>
          </w:p>
        </w:tc>
        <w:tc>
          <w:tcPr>
            <w:tcW w:w="7560" w:type="dxa"/>
            <w:vAlign w:val="bottom"/>
            <w:gridSpan w:val="5"/>
          </w:tcPr>
          <w:p>
            <w:pPr>
              <w:spacing w:after="0"/>
              <w:rPr>
                <w:sz w:val="24"/>
                <w:szCs w:val="24"/>
                <w:color w:val="auto"/>
              </w:rPr>
            </w:pPr>
          </w:p>
        </w:tc>
      </w:tr>
      <w:tr>
        <w:trPr>
          <w:trHeight w:val="330"/>
        </w:trPr>
        <w:tc>
          <w:tcPr>
            <w:tcW w:w="1000" w:type="dxa"/>
            <w:vAlign w:val="bottom"/>
          </w:tcPr>
          <w:p>
            <w:pPr>
              <w:jc w:val="right"/>
              <w:ind w:right="510"/>
              <w:spacing w:after="0"/>
              <w:rPr>
                <w:sz w:val="20"/>
                <w:szCs w:val="20"/>
                <w:color w:val="auto"/>
              </w:rPr>
            </w:pPr>
            <w:r>
              <w:rPr>
                <w:rFonts w:ascii="Arial" w:cs="Arial" w:eastAsia="Arial" w:hAnsi="Arial"/>
                <w:sz w:val="18"/>
                <w:szCs w:val="18"/>
                <w:color w:val="auto"/>
                <w:w w:val="84"/>
              </w:rPr>
              <w:t>100.1</w:t>
            </w:r>
          </w:p>
        </w:tc>
        <w:tc>
          <w:tcPr>
            <w:tcW w:w="9840" w:type="dxa"/>
            <w:vAlign w:val="bottom"/>
            <w:gridSpan w:val="6"/>
          </w:tcPr>
          <w:p>
            <w:pPr>
              <w:spacing w:after="0"/>
              <w:rPr>
                <w:sz w:val="20"/>
                <w:szCs w:val="20"/>
                <w:color w:val="auto"/>
              </w:rPr>
            </w:pPr>
            <w:r>
              <w:rPr>
                <w:rFonts w:ascii="Arial" w:cs="Arial" w:eastAsia="Arial" w:hAnsi="Arial"/>
                <w:sz w:val="18"/>
                <w:szCs w:val="18"/>
                <w:color w:val="auto"/>
                <w:w w:val="96"/>
              </w:rPr>
              <w:t>The following financial information from Amdocs Limited’s Annual Report on Form 20-F for the year ended September 30, 2019,</w:t>
            </w:r>
          </w:p>
        </w:tc>
      </w:tr>
      <w:tr>
        <w:trPr>
          <w:trHeight w:val="216"/>
        </w:trPr>
        <w:tc>
          <w:tcPr>
            <w:tcW w:w="1000" w:type="dxa"/>
            <w:vAlign w:val="bottom"/>
          </w:tcPr>
          <w:p>
            <w:pPr>
              <w:spacing w:after="0"/>
              <w:rPr>
                <w:sz w:val="18"/>
                <w:szCs w:val="18"/>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w w:val="90"/>
              </w:rPr>
              <w:t>formatted in Extensible Business Reporting Language (XBRL): (i) Consolidated Balance Sheets as of September 30, 2019 and 2018, (ii)</w:t>
            </w:r>
          </w:p>
        </w:tc>
      </w:tr>
      <w:tr>
        <w:trPr>
          <w:trHeight w:val="230"/>
        </w:trPr>
        <w:tc>
          <w:tcPr>
            <w:tcW w:w="1000" w:type="dxa"/>
            <w:vAlign w:val="bottom"/>
          </w:tcPr>
          <w:p>
            <w:pPr>
              <w:spacing w:after="0"/>
              <w:rPr>
                <w:sz w:val="20"/>
                <w:szCs w:val="20"/>
                <w:color w:val="auto"/>
              </w:rPr>
            </w:pPr>
          </w:p>
        </w:tc>
        <w:tc>
          <w:tcPr>
            <w:tcW w:w="9840" w:type="dxa"/>
            <w:vAlign w:val="bottom"/>
            <w:gridSpan w:val="6"/>
          </w:tcPr>
          <w:p>
            <w:pPr>
              <w:spacing w:after="0"/>
              <w:rPr>
                <w:sz w:val="20"/>
                <w:szCs w:val="20"/>
                <w:color w:val="auto"/>
              </w:rPr>
            </w:pPr>
            <w:r>
              <w:rPr>
                <w:rFonts w:ascii="Arial" w:cs="Arial" w:eastAsia="Arial" w:hAnsi="Arial"/>
                <w:sz w:val="18"/>
                <w:szCs w:val="18"/>
                <w:color w:val="auto"/>
                <w:w w:val="97"/>
              </w:rPr>
              <w:t>Consolidated Statements of Income for the years ended September 30, 2019, 2018 and 2017, (iii) Consolidated Statements of</w:t>
            </w:r>
          </w:p>
        </w:tc>
      </w:tr>
    </w:tbl>
    <w:p>
      <w:pPr>
        <w:ind w:left="1200" w:right="180"/>
        <w:spacing w:after="0" w:line="255" w:lineRule="auto"/>
        <w:rPr>
          <w:sz w:val="20"/>
          <w:szCs w:val="20"/>
          <w:color w:val="auto"/>
        </w:rPr>
      </w:pPr>
      <w:r>
        <w:rPr>
          <w:rFonts w:ascii="Arial" w:cs="Arial" w:eastAsia="Arial" w:hAnsi="Arial"/>
          <w:sz w:val="18"/>
          <w:szCs w:val="18"/>
          <w:color w:val="auto"/>
        </w:rPr>
        <w:t>Comprehensive Income for the years ended September 30, 2019, 2018 and 2017, (iv) Consolidated Statements of Changes in Equity for the fiscal years ended September 30, 2019, 2018 and 2017, (v) the Consolidated Statements of Cash Flows for the years ended September 30, 2019, 2018 and 2017,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78740</wp:posOffset>
            </wp:positionV>
            <wp:extent cx="7632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3" w:lineRule="exact"/>
        <w:rPr>
          <w:sz w:val="20"/>
          <w:szCs w:val="20"/>
          <w:color w:val="auto"/>
        </w:rPr>
      </w:pPr>
    </w:p>
    <w:p>
      <w:pPr>
        <w:ind w:left="420" w:right="200" w:hanging="216"/>
        <w:spacing w:after="0" w:line="277"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i w:val="1"/>
          <w:iCs w:val="1"/>
          <w:color w:val="auto"/>
        </w:rPr>
        <w:t>Secretary and Authorized Signatory</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December 16, 2019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460"/>
          </w:cols>
          <w:pgMar w:left="240" w:top="459" w:right="11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8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20" w:type="dxa"/>
            <w:vAlign w:val="bottom"/>
            <w:gridSpan w:val="10"/>
          </w:tcPr>
          <w:p>
            <w:pPr>
              <w:spacing w:after="0" w:line="190" w:lineRule="exact"/>
              <w:rPr>
                <w:rFonts w:ascii="Arial" w:cs="Arial" w:eastAsia="Arial" w:hAnsi="Arial"/>
                <w:sz w:val="18"/>
                <w:szCs w:val="18"/>
                <w:color w:val="0000EE"/>
              </w:rPr>
            </w:pPr>
            <w:hyperlink w:anchor="page76">
              <w:r>
                <w:rPr>
                  <w:rFonts w:ascii="Arial" w:cs="Arial" w:eastAsia="Arial" w:hAnsi="Arial"/>
                  <w:sz w:val="18"/>
                  <w:szCs w:val="18"/>
                  <w:color w:val="0000EE"/>
                </w:rPr>
                <w:t>Management’s Report on Internal Control Over Financial Reporting</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Reports of Independent Registered Public Accounting Firm</w:t>
              </w:r>
            </w:hyperlink>
          </w:p>
        </w:tc>
        <w:tc>
          <w:tcPr>
            <w:tcW w:w="600" w:type="dxa"/>
            <w:vAlign w:val="bottom"/>
            <w:tcBorders>
              <w:top w:val="single" w:sz="8" w:color="0000EE"/>
            </w:tcBorders>
            <w:gridSpan w:val="2"/>
          </w:tcPr>
          <w:p>
            <w:pPr>
              <w:spacing w:after="0"/>
              <w:rPr>
                <w:sz w:val="17"/>
                <w:szCs w:val="17"/>
                <w:color w:val="auto"/>
              </w:rPr>
            </w:pPr>
          </w:p>
        </w:tc>
        <w:tc>
          <w:tcPr>
            <w:tcW w:w="53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Balance Sheets as of September 30, 2019 and 2018</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1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Income for the fiscal years ended September 30, 2019, 2018 and 2017</w:t>
              </w:r>
            </w:hyperlink>
          </w:p>
        </w:tc>
        <w:tc>
          <w:tcPr>
            <w:tcW w:w="31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1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Comprehensive Income for the fiscal years ended September 30, 2019, 2018 and 2017</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8240" w:type="dxa"/>
            <w:vAlign w:val="bottom"/>
            <w:tcBorders>
              <w:top w:val="single" w:sz="8" w:color="0000EE"/>
            </w:tcBorders>
            <w:gridSpan w:val="9"/>
          </w:tcPr>
          <w:p>
            <w:pPr>
              <w:spacing w:after="0" w:line="196"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Consolidated Statements of Changes in Equity for the fiscal years ended September 30, 2019, 2018 and 2017</w:t>
              </w:r>
            </w:hyperlink>
          </w:p>
        </w:tc>
        <w:tc>
          <w:tcPr>
            <w:tcW w:w="1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Cash Flows for the fiscal years ended September 30, 2019, 2018 and 2017</w:t>
              </w:r>
            </w:hyperlink>
          </w:p>
        </w:tc>
        <w:tc>
          <w:tcPr>
            <w:tcW w:w="480" w:type="dxa"/>
            <w:vAlign w:val="bottom"/>
            <w:tcBorders>
              <w:top w:val="single" w:sz="8" w:color="0000EE"/>
            </w:tcBorders>
          </w:tcPr>
          <w:p>
            <w:pPr>
              <w:spacing w:after="0"/>
              <w:rPr>
                <w:sz w:val="17"/>
                <w:szCs w:val="17"/>
                <w:color w:val="auto"/>
              </w:rPr>
            </w:pPr>
          </w:p>
        </w:tc>
        <w:tc>
          <w:tcPr>
            <w:tcW w:w="23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Notes to the Consolidated Financial Statements</w:t>
              </w:r>
            </w:hyperlink>
          </w:p>
        </w:tc>
        <w:tc>
          <w:tcPr>
            <w:tcW w:w="680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r>
        <w:trPr>
          <w:trHeight w:val="222"/>
        </w:trPr>
        <w:tc>
          <w:tcPr>
            <w:tcW w:w="1058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 Schedule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20" w:type="dxa"/>
            <w:vAlign w:val="bottom"/>
            <w:gridSpan w:val="10"/>
          </w:tcPr>
          <w:p>
            <w:pPr>
              <w:spacing w:after="0" w:line="190" w:lineRule="exact"/>
              <w:rPr>
                <w:rFonts w:ascii="Arial" w:cs="Arial" w:eastAsia="Arial" w:hAnsi="Arial"/>
                <w:sz w:val="18"/>
                <w:szCs w:val="18"/>
                <w:color w:val="0000EE"/>
              </w:rPr>
            </w:pPr>
            <w:hyperlink w:anchor="page121">
              <w:r>
                <w:rPr>
                  <w:rFonts w:ascii="Arial" w:cs="Arial" w:eastAsia="Arial" w:hAnsi="Arial"/>
                  <w:sz w:val="18"/>
                  <w:szCs w:val="18"/>
                  <w:color w:val="0000EE"/>
                </w:rPr>
                <w:t>Valuation and Qualifying Accounts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F-47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gridSpan w:val="5"/>
          </w:tcPr>
          <w:p>
            <w:pPr>
              <w:ind w:left="1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2" w:lineRule="exact"/>
        <w:rPr>
          <w:sz w:val="20"/>
          <w:szCs w:val="20"/>
          <w:color w:val="auto"/>
        </w:rPr>
      </w:pPr>
    </w:p>
    <w:p>
      <w:pPr>
        <w:ind w:left="1180" w:right="60" w:hanging="436"/>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6"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2019. In making this assessment, the Company’s management used the criteria set forth by the Committee of Sponsoring Organizations of the Treadway Commission (2013 framework) in Internal Control-Integrated Framework.</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Based on its assessment, management concluded that, as of September 30, 2019, the Company’s internal control over financial reporting is effective based on those criteria.</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audited the accompanying consolidated balance sheets of Amdocs Limited (the “Company”) as of September 30, 2019 and 2018, the related consolidated statements of income, comprehensive income, changes in equity and cash flows for each of the three years in the period ended September 30, 2019, and the related notes and the financial statement schedule listed in the Index at Item 18 of Part III (collectively referred to as the “consolidated financial statements”). In our opinion, the consolidated financial statements present fairly, in all material respects, the financial position of the Company at September 30, 2019 and 2018, and the results of its operations and its cash flows for each of the three years in the period ended September 30, 2019, in conformity with U.S. generally accepted accounting principles.</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2019, based on criteria established in Internal Control-Integrated Framework issued by the Committee of Sponsoring Organizations of the Treadway Commission (2013 framework), and our report dated December 16, 2019 expressed an unqualified opinion thereon.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ind w:left="2320"/>
        <w:spacing w:after="0"/>
        <w:rPr>
          <w:sz w:val="20"/>
          <w:szCs w:val="20"/>
          <w:color w:val="auto"/>
        </w:rPr>
      </w:pPr>
      <w:r>
        <w:rPr>
          <w:rFonts w:ascii="Arial" w:cs="Arial" w:eastAsia="Arial" w:hAnsi="Arial"/>
          <w:sz w:val="18"/>
          <w:szCs w:val="18"/>
          <w:b w:val="1"/>
          <w:bCs w:val="1"/>
          <w:i w:val="1"/>
          <w:iCs w:val="1"/>
          <w:color w:val="auto"/>
        </w:rPr>
        <w:t>Revenue recognition for projects</w:t>
      </w:r>
    </w:p>
    <w:p>
      <w:pPr>
        <w:sectPr>
          <w:pgSz w:w="11900" w:h="16838" w:orient="portrait"/>
          <w:cols w:equalWidth="0" w:num="1">
            <w:col w:w="11180"/>
          </w:cols>
          <w:pgMar w:left="240" w:top="459" w:right="479" w:bottom="1440" w:gutter="0" w:footer="0" w:header="0"/>
        </w:sect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Description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Matter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Company’s software solutions usually require significant customization, modification, implementation and</w:t>
      </w:r>
    </w:p>
    <w:p>
      <w:pPr>
        <w:spacing w:after="0" w:line="116" w:lineRule="exact"/>
        <w:rPr>
          <w:sz w:val="20"/>
          <w:szCs w:val="20"/>
          <w:color w:val="auto"/>
        </w:rPr>
      </w:pPr>
    </w:p>
    <w:p>
      <w:pPr>
        <w:sectPr>
          <w:pgSz w:w="11900" w:h="16838" w:orient="portrait"/>
          <w:cols w:equalWidth="0" w:num="2">
            <w:col w:w="1600" w:space="720"/>
            <w:col w:w="8860"/>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180"/>
          </w:cols>
          <w:pgMar w:left="240" w:top="459" w:right="47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10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6"/>
              </w:rPr>
              <w:t>integration. As a result, a significant portion of the Company’s project revenue is recognized over time, based on the</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percentage that incurred labor effort to date bears to total projected labor effort.</w:t>
            </w:r>
          </w:p>
        </w:tc>
      </w:tr>
      <w:tr>
        <w:trPr>
          <w:trHeight w:val="445"/>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8"/>
              </w:rPr>
              <w:t>Auditing the recognition of the Company’s project revenue was especially subjective and complex because of the</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9"/>
              </w:rPr>
              <w:t>significant estimation required by management to determine the total projected labor effort to complete a project.</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4"/>
              </w:rPr>
              <w:t>Determining the estimate of labor effort requires the knowledge of project-specific circumstances, including the specific</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1"/>
              </w:rPr>
              <w:t>terms and conditions of the contract, remaining performance obligations, changes to the project schedule, and complexity</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of the project. Changes in this estimate can have a material effect on when revenue is recognized.</w:t>
            </w:r>
          </w:p>
        </w:tc>
      </w:tr>
      <w:tr>
        <w:trPr>
          <w:trHeight w:val="431"/>
        </w:trPr>
        <w:tc>
          <w:tcPr>
            <w:tcW w:w="2120" w:type="dxa"/>
            <w:vAlign w:val="bottom"/>
            <w:gridSpan w:val="2"/>
          </w:tcPr>
          <w:p>
            <w:pPr>
              <w:ind w:left="200"/>
              <w:spacing w:after="0"/>
              <w:rPr>
                <w:sz w:val="20"/>
                <w:szCs w:val="20"/>
                <w:color w:val="auto"/>
              </w:rPr>
            </w:pPr>
            <w:r>
              <w:rPr>
                <w:rFonts w:ascii="Arial" w:cs="Arial" w:eastAsia="Arial" w:hAnsi="Arial"/>
                <w:sz w:val="18"/>
                <w:szCs w:val="18"/>
                <w:i w:val="1"/>
                <w:iCs w:val="1"/>
                <w:color w:val="auto"/>
              </w:rPr>
              <w:t>How We</w:t>
            </w:r>
          </w:p>
        </w:tc>
        <w:tc>
          <w:tcPr>
            <w:tcW w:w="9100" w:type="dxa"/>
            <w:vAlign w:val="bottom"/>
          </w:tcPr>
          <w:p>
            <w:pPr>
              <w:ind w:left="200"/>
              <w:spacing w:after="0"/>
              <w:rPr>
                <w:sz w:val="20"/>
                <w:szCs w:val="20"/>
                <w:color w:val="auto"/>
              </w:rPr>
            </w:pPr>
            <w:r>
              <w:rPr>
                <w:rFonts w:ascii="Arial" w:cs="Arial" w:eastAsia="Arial" w:hAnsi="Arial"/>
                <w:sz w:val="18"/>
                <w:szCs w:val="18"/>
                <w:color w:val="auto"/>
                <w:w w:val="91"/>
              </w:rPr>
              <w:t>We obtained an understanding, evaluated the design and tested the operating effectiveness of controls over the projected</w:t>
            </w:r>
          </w:p>
        </w:tc>
      </w:tr>
      <w:tr>
        <w:trPr>
          <w:trHeight w:val="216"/>
        </w:trPr>
        <w:tc>
          <w:tcPr>
            <w:tcW w:w="2120" w:type="dxa"/>
            <w:vAlign w:val="bottom"/>
            <w:gridSpan w:val="2"/>
          </w:tcPr>
          <w:p>
            <w:pPr>
              <w:ind w:left="200"/>
              <w:spacing w:after="0"/>
              <w:rPr>
                <w:sz w:val="20"/>
                <w:szCs w:val="20"/>
                <w:color w:val="auto"/>
              </w:rPr>
            </w:pPr>
            <w:r>
              <w:rPr>
                <w:rFonts w:ascii="Arial" w:cs="Arial" w:eastAsia="Arial" w:hAnsi="Arial"/>
                <w:sz w:val="18"/>
                <w:szCs w:val="18"/>
                <w:i w:val="1"/>
                <w:iCs w:val="1"/>
                <w:color w:val="auto"/>
                <w:w w:val="99"/>
              </w:rPr>
              <w:t>Addressed the Matter in</w:t>
            </w:r>
          </w:p>
        </w:tc>
        <w:tc>
          <w:tcPr>
            <w:tcW w:w="9100" w:type="dxa"/>
            <w:vAlign w:val="bottom"/>
          </w:tcPr>
          <w:p>
            <w:pPr>
              <w:ind w:left="200"/>
              <w:spacing w:after="0"/>
              <w:rPr>
                <w:sz w:val="20"/>
                <w:szCs w:val="20"/>
                <w:color w:val="auto"/>
              </w:rPr>
            </w:pPr>
            <w:r>
              <w:rPr>
                <w:rFonts w:ascii="Arial" w:cs="Arial" w:eastAsia="Arial" w:hAnsi="Arial"/>
                <w:sz w:val="18"/>
                <w:szCs w:val="18"/>
                <w:color w:val="auto"/>
                <w:w w:val="91"/>
              </w:rPr>
              <w:t>labor effort estimation process. For example, for a sample of projects, we tested controls over management’s review of the</w:t>
            </w:r>
          </w:p>
        </w:tc>
      </w:tr>
      <w:tr>
        <w:trPr>
          <w:trHeight w:val="216"/>
        </w:trPr>
        <w:tc>
          <w:tcPr>
            <w:tcW w:w="2120" w:type="dxa"/>
            <w:vAlign w:val="bottom"/>
            <w:gridSpan w:val="2"/>
          </w:tcPr>
          <w:p>
            <w:pPr>
              <w:ind w:left="200"/>
              <w:spacing w:after="0"/>
              <w:rPr>
                <w:sz w:val="20"/>
                <w:szCs w:val="20"/>
                <w:color w:val="auto"/>
              </w:rPr>
            </w:pPr>
            <w:r>
              <w:rPr>
                <w:rFonts w:ascii="Arial" w:cs="Arial" w:eastAsia="Arial" w:hAnsi="Arial"/>
                <w:sz w:val="18"/>
                <w:szCs w:val="18"/>
                <w:i w:val="1"/>
                <w:iCs w:val="1"/>
                <w:color w:val="auto"/>
              </w:rPr>
              <w:t>Our Audit</w:t>
            </w:r>
          </w:p>
        </w:tc>
        <w:tc>
          <w:tcPr>
            <w:tcW w:w="9100" w:type="dxa"/>
            <w:vAlign w:val="bottom"/>
          </w:tcPr>
          <w:p>
            <w:pPr>
              <w:ind w:left="200"/>
              <w:spacing w:after="0"/>
              <w:rPr>
                <w:sz w:val="20"/>
                <w:szCs w:val="20"/>
                <w:color w:val="auto"/>
              </w:rPr>
            </w:pPr>
            <w:r>
              <w:rPr>
                <w:rFonts w:ascii="Arial" w:cs="Arial" w:eastAsia="Arial" w:hAnsi="Arial"/>
                <w:sz w:val="18"/>
                <w:szCs w:val="18"/>
                <w:color w:val="auto"/>
                <w:w w:val="92"/>
              </w:rPr>
              <w:t>initial estimate of total projected labor effort to complete the project, as well as the ongoing evaluation of those estimates.</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1"/>
              </w:rPr>
              <w:t>Additionally, for a sample of completed projects, we tested the retrospective review controls performed by management to</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assess the reasonableness of the estimated labor effort throughout the life of the project.</w:t>
            </w:r>
          </w:p>
        </w:tc>
      </w:tr>
      <w:tr>
        <w:trPr>
          <w:trHeight w:val="445"/>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89"/>
              </w:rPr>
              <w:t>Our audit procedures included, among others, evaluating the significant assumptions and the accuracy and completeness of</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4"/>
              </w:rPr>
              <w:t>the underlying data used in management’s estimate. For example, for a sample of contracts, we tested management’s</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0"/>
              </w:rPr>
              <w:t>estimate of total projected labor effort through a combination of analytical procedures, such as comparison of the estimated</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3"/>
              </w:rPr>
              <w:t>labor effort period over period and inspection of contracts to understand the specific terms and conditions as well as the</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9"/>
              </w:rPr>
              <w:t>remaining obligations in the contract. For selected contracts, we also met with various executives throughout the</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5"/>
              </w:rPr>
              <w:t>organization, including project managers, to obtain an understanding of project status and other factors considered in</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4"/>
              </w:rPr>
              <w:t>developing the estimate of remaining labor effort including project challenges, completed milestones, customer change</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2"/>
              </w:rPr>
              <w:t>orders and delays. In addition, we performed a retrospective review of actual labor effort incurred compared to previously</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3"/>
              </w:rPr>
              <w:t>estimated projected labor effort to evaluate the Company’s historical ability to accurately estimate expected labor effort.</w:t>
            </w:r>
          </w:p>
        </w:tc>
      </w:tr>
      <w:tr>
        <w:trPr>
          <w:trHeight w:val="446"/>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0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Uncertain Tax Positions</w:t>
            </w:r>
          </w:p>
        </w:tc>
      </w:tr>
      <w:tr>
        <w:trPr>
          <w:trHeight w:val="418"/>
        </w:trPr>
        <w:tc>
          <w:tcPr>
            <w:tcW w:w="2120" w:type="dxa"/>
            <w:vAlign w:val="bottom"/>
            <w:gridSpan w:val="2"/>
          </w:tcPr>
          <w:p>
            <w:pPr>
              <w:ind w:left="200"/>
              <w:spacing w:after="0"/>
              <w:rPr>
                <w:sz w:val="20"/>
                <w:szCs w:val="20"/>
                <w:color w:val="auto"/>
              </w:rPr>
            </w:pPr>
            <w:r>
              <w:rPr>
                <w:rFonts w:ascii="Arial" w:cs="Arial" w:eastAsia="Arial" w:hAnsi="Arial"/>
                <w:sz w:val="18"/>
                <w:szCs w:val="18"/>
                <w:i w:val="1"/>
                <w:iCs w:val="1"/>
                <w:color w:val="auto"/>
              </w:rPr>
              <w:t>Description of</w:t>
            </w:r>
          </w:p>
        </w:tc>
        <w:tc>
          <w:tcPr>
            <w:tcW w:w="9100" w:type="dxa"/>
            <w:vAlign w:val="bottom"/>
          </w:tcPr>
          <w:p>
            <w:pPr>
              <w:ind w:left="200"/>
              <w:spacing w:after="0"/>
              <w:rPr>
                <w:sz w:val="20"/>
                <w:szCs w:val="20"/>
                <w:color w:val="auto"/>
              </w:rPr>
            </w:pPr>
            <w:r>
              <w:rPr>
                <w:rFonts w:ascii="Arial" w:cs="Arial" w:eastAsia="Arial" w:hAnsi="Arial"/>
                <w:sz w:val="18"/>
                <w:szCs w:val="18"/>
                <w:color w:val="auto"/>
                <w:w w:val="95"/>
              </w:rPr>
              <w:t>As discussed in Notes 2 and 11 to the consolidated financial statements, the Company operates in a multinational tax</w:t>
            </w:r>
          </w:p>
        </w:tc>
      </w:tr>
      <w:tr>
        <w:trPr>
          <w:trHeight w:val="216"/>
        </w:trPr>
        <w:tc>
          <w:tcPr>
            <w:tcW w:w="2120" w:type="dxa"/>
            <w:vAlign w:val="bottom"/>
            <w:gridSpan w:val="2"/>
          </w:tcPr>
          <w:p>
            <w:pPr>
              <w:ind w:left="200"/>
              <w:spacing w:after="0"/>
              <w:rPr>
                <w:sz w:val="20"/>
                <w:szCs w:val="20"/>
                <w:color w:val="auto"/>
              </w:rPr>
            </w:pPr>
            <w:r>
              <w:rPr>
                <w:rFonts w:ascii="Arial" w:cs="Arial" w:eastAsia="Arial" w:hAnsi="Arial"/>
                <w:sz w:val="18"/>
                <w:szCs w:val="18"/>
                <w:i w:val="1"/>
                <w:iCs w:val="1"/>
                <w:color w:val="auto"/>
              </w:rPr>
              <w:t>the Matter</w:t>
            </w:r>
          </w:p>
        </w:tc>
        <w:tc>
          <w:tcPr>
            <w:tcW w:w="9100" w:type="dxa"/>
            <w:vAlign w:val="bottom"/>
          </w:tcPr>
          <w:p>
            <w:pPr>
              <w:ind w:left="200"/>
              <w:spacing w:after="0"/>
              <w:rPr>
                <w:sz w:val="20"/>
                <w:szCs w:val="20"/>
                <w:color w:val="auto"/>
              </w:rPr>
            </w:pPr>
            <w:r>
              <w:rPr>
                <w:rFonts w:ascii="Arial" w:cs="Arial" w:eastAsia="Arial" w:hAnsi="Arial"/>
                <w:sz w:val="18"/>
                <w:szCs w:val="18"/>
                <w:color w:val="auto"/>
                <w:w w:val="92"/>
              </w:rPr>
              <w:t>environment and is subject to tax treaty arrangements and transfer pricing guidelines for intercompany transactions. The</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3"/>
              </w:rPr>
              <w:t>Company uses significant judgment to (1) determine whether, based on the technical merits, a tax position is more likely</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0"/>
              </w:rPr>
              <w:t>than not to be sustained and (2) measure the amount of tax benefit that qualifies for recognition. As of September 30, 2019,</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the total amount of unrecognized tax benefits for uncertain tax positions was $169.3 million.</w:t>
            </w:r>
          </w:p>
        </w:tc>
      </w:tr>
      <w:tr>
        <w:trPr>
          <w:trHeight w:val="445"/>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2"/>
              </w:rPr>
              <w:t>Auditing management’s analysis of the Company’s uncertain tax positions was especially subjective and complex due to</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4"/>
              </w:rPr>
              <w:t>the significant judgments made by management to determine the provisions for tax uncertainties. These provisions are</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1"/>
              </w:rPr>
              <w:t>based on interpretations of complex tax laws and legal rulings across various jurisdictions in which the Company operates</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0"/>
              </w:rPr>
              <w:t>and determination of arm’s length pricing for certain intercompany transactions. The assumptions underlying the provisions</w:t>
            </w:r>
          </w:p>
        </w:tc>
      </w:tr>
      <w:tr>
        <w:trPr>
          <w:trHeight w:val="216"/>
        </w:trPr>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8"/>
              </w:rPr>
              <w:t>for uncertain tax positions include the potential tax exposure resulting from management’s interpretations and the</w:t>
            </w:r>
          </w:p>
        </w:tc>
      </w:tr>
      <w:tr>
        <w:trPr>
          <w:trHeight w:val="230"/>
        </w:trPr>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w w:val="95"/>
              </w:rPr>
              <w:t>determination of the cumulative probability that the uncertain tax position will be upheld upon regulatory examination.</w:t>
            </w:r>
          </w:p>
        </w:tc>
      </w:tr>
      <w:tr>
        <w:trPr>
          <w:trHeight w:val="378"/>
        </w:trPr>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00" w:type="dxa"/>
            <w:vAlign w:val="bottom"/>
          </w:tcPr>
          <w:p>
            <w:pPr>
              <w:ind w:left="3460"/>
              <w:spacing w:after="0"/>
              <w:rPr>
                <w:sz w:val="20"/>
                <w:szCs w:val="20"/>
                <w:color w:val="auto"/>
              </w:rPr>
            </w:pPr>
            <w:r>
              <w:rPr>
                <w:rFonts w:ascii="Arial" w:cs="Arial" w:eastAsia="Arial" w:hAnsi="Arial"/>
                <w:sz w:val="18"/>
                <w:szCs w:val="18"/>
                <w:color w:val="auto"/>
              </w:rPr>
              <w:t>F-4</w:t>
            </w:r>
          </w:p>
        </w:tc>
      </w:tr>
    </w:tbl>
    <w:p>
      <w:pPr>
        <w:ind w:left="3460"/>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How We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Addressed the Matter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to assess and review their uncertain tax positions. For example, we tested the controls over the review of assumptions used in the estimation calculation such as the Company’s review over existing and potential tax controversies and tax audit results, and the computation of the impact to uncertain tax positions and tax reserves.</w:t>
      </w:r>
    </w:p>
    <w:p>
      <w:pPr>
        <w:spacing w:after="0" w:line="198" w:lineRule="exact"/>
        <w:rPr>
          <w:sz w:val="20"/>
          <w:szCs w:val="20"/>
          <w:color w:val="auto"/>
        </w:rPr>
      </w:pPr>
    </w:p>
    <w:p>
      <w:pPr>
        <w:sectPr>
          <w:pgSz w:w="11900" w:h="16838" w:orient="portrait"/>
          <w:cols w:equalWidth="0" w:num="2">
            <w:col w:w="1940" w:space="380"/>
            <w:col w:w="8900"/>
          </w:cols>
          <w:pgMar w:left="240" w:top="459" w:right="439" w:bottom="1440" w:gutter="0" w:footer="0" w:header="0"/>
          <w:type w:val="continuous"/>
        </w:sectPr>
      </w:pPr>
    </w:p>
    <w:p>
      <w:pPr>
        <w:ind w:left="2320"/>
        <w:spacing w:after="0" w:line="270" w:lineRule="auto"/>
        <w:rPr>
          <w:sz w:val="20"/>
          <w:szCs w:val="20"/>
          <w:color w:val="auto"/>
        </w:rPr>
      </w:pPr>
      <w:r>
        <w:rPr>
          <w:rFonts w:ascii="Arial" w:cs="Arial" w:eastAsia="Arial" w:hAnsi="Arial"/>
          <w:sz w:val="17"/>
          <w:szCs w:val="17"/>
          <w:color w:val="auto"/>
        </w:rPr>
        <w:t>We involved our tax professionals to assist us with obtaining an understanding of the Company’s tax structure, assessing the Company’s compliance with tax laws, related developments in administrative rulings and court cases, identifying tax law changes in jurisdictions that may impact the Company’s unrecognized tax benefits and assessing the technical merits of the Company’s tax positions. We inspected the Company’s correspondence with the relevant tax authorities and evaluated the income tax opinions. Our audit procedures also included, among others, evaluating the assumptions the Company used to develop its uncertain tax positions and related unrecognized income tax benefit amounts by jurisdiction and testing the completeness and accuracy of the underlying data used by the Company to calculate its uncertain tax positions. For certain tax positions related to intercompany transactions, we assessed the assumptions and pricing method used in setting arm’s length prices and the documentation to support the pricing. We also evaluated the adequacy of the Company’s financial statement disclosures related to these tax matters.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220"/>
          </w:cols>
          <w:pgMar w:left="240" w:top="459" w:right="439" w:bottom="1440" w:gutter="0" w:footer="0" w:header="0"/>
          <w:type w:val="continuous"/>
        </w:sectPr>
      </w:pP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1988.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16, 2019</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220"/>
          </w:cols>
          <w:pgMar w:left="240" w:top="459" w:right="4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We have audited Amdocs Limited’s internal control over financial reporting as of September 30, 2019, based on criteria established in Internal Control — Integrated Framework issued by the Committee of Sponsoring Organizations of the Treadway Commission (2013 framework), (the COSO criteria). In our opinion, Amdocs Limited (the “Company”) maintained, in all material respects, effective internal control over financial reporting as of September 30, 2019, based on the COSO criteria.</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September 30, 2019 and 2018, the related consolidated statements of income, comprehensive income, changes in equity and cash flows for each of the three years in the period ended September 30, 2019, and the related notes and the financial statement schedule listed in the Index at Item 18 of Part III and our report dated December 16, 2019 expressed an unqualified opinion thereon.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260" w:firstLine="441"/>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60"/>
          </w:cols>
          <w:pgMar w:left="24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16, 2019</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900"/>
          </w:cols>
          <w:pgMar w:left="240" w:top="459" w:right="7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471,632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418,783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100,433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971,502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229,999</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1,675,574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1,720,717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525,314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496,585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2,462,835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2,444,895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205,162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265,249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420,369</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5,292,826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5,347,815</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647,657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706,637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261,168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132,414</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1,207,930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1,294,957</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207,508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224,572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336,244</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1,750,360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1,855,773</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680" w:type="dxa"/>
            <w:vAlign w:val="bottom"/>
          </w:tcPr>
          <w:p>
            <w:pPr>
              <w:ind w:left="340"/>
              <w:spacing w:after="0" w:line="201" w:lineRule="exact"/>
              <w:rPr>
                <w:sz w:val="20"/>
                <w:szCs w:val="20"/>
                <w:color w:val="auto"/>
              </w:rPr>
            </w:pPr>
            <w:r>
              <w:rPr>
                <w:rFonts w:ascii="Arial" w:cs="Arial" w:eastAsia="Arial" w:hAnsi="Arial"/>
                <w:sz w:val="18"/>
                <w:szCs w:val="18"/>
                <w:color w:val="auto"/>
                <w:w w:val="93"/>
              </w:rPr>
              <w:t>Ordinary Shares — Authorized 700,000 shares; £0.01 par value; 277,148 and 275,896 issued and 134,773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140,177 outstanding, in 2019 and 2018,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4,452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4,436</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3,667,662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3,587,625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Treasury stock, at cost — 142,375 and 135,719 ordinary shares in 2019 and 2018,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(5,182,409)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(4,784,352)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(32,731)</w:t>
            </w: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5,012,799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4,673,901</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Amdocs Limited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3,499,957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3,448,879</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43,163</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3,542,466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3,492,042</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5,292,826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5,347,815</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4,086,669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3,974,837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3,867,155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2,653,172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2,595,276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2,507,656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273,936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276,615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97,358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110,291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Non-recurring charges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3,516,923</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3,546,530</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3,349,822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569,746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6,766</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taxes</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67,145</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354,396</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4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$479,446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$354,396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$436,826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30,553</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(51,116)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(1,182)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(978)</w:t>
            </w: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actuarial (loss) gain on defined benefit plan(3)</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8"/>
                <w:szCs w:val="18"/>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color w:val="auto"/>
              </w:rPr>
              <w:t>Other comprehensive income (loss), net of tax</w:t>
            </w:r>
          </w:p>
        </w:tc>
        <w:tc>
          <w:tcPr>
            <w:tcW w:w="18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(51,521)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509,630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302,875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449,521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1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Net of tax (expense) benefit of $(2,458), $4,482 and $651 for the fiscal years ended September 30, 2019, 2018 and 2017, respectively.</w:t>
      </w:r>
    </w:p>
    <w:p>
      <w:pPr>
        <w:spacing w:after="0" w:line="34" w:lineRule="exact"/>
        <w:rPr>
          <w:rFonts w:ascii="Arial" w:cs="Arial" w:eastAsia="Arial" w:hAnsi="Arial"/>
          <w:sz w:val="17"/>
          <w:szCs w:val="17"/>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of tax benefit (expense) of $0, $9 and $(4) for the fiscal years ended September 30, 2019, 2018 and 2017, respectively.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Net of tax benefit (expense) of $1,080, $(254) and $(697) for the fiscal years ended September 30, 2019, 2018 and 2017, respectively.</w:t>
      </w: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Amdocs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180" w:type="dxa"/>
            <w:vAlign w:val="bottom"/>
            <w:gridSpan w:val="5"/>
            <w:vMerge w:val="restart"/>
          </w:tcPr>
          <w:p>
            <w:pPr>
              <w:jc w:val="right"/>
              <w:ind w:right="72"/>
              <w:spacing w:after="0"/>
              <w:rPr>
                <w:sz w:val="20"/>
                <w:szCs w:val="20"/>
                <w:color w:val="auto"/>
              </w:rPr>
            </w:pPr>
            <w:r>
              <w:rPr>
                <w:rFonts w:ascii="Arial" w:cs="Arial" w:eastAsia="Arial" w:hAnsi="Arial"/>
                <w:sz w:val="13"/>
                <w:szCs w:val="13"/>
                <w:b w:val="1"/>
                <w:bCs w:val="1"/>
                <w:color w:val="auto"/>
              </w:rPr>
              <w:t>Ordinary Shares</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Limited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Non-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180" w:type="dxa"/>
            <w:vAlign w:val="bottom"/>
            <w:tcBorders>
              <w:bottom w:val="single" w:sz="8" w:color="auto"/>
            </w:tcBorders>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restart"/>
          </w:tcPr>
          <w:p>
            <w:pPr>
              <w:jc w:val="right"/>
              <w:ind w:right="53"/>
              <w:spacing w:after="0" w:line="135"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7"/>
                <w:szCs w:val="7"/>
                <w:color w:val="auto"/>
              </w:rPr>
            </w:pPr>
          </w:p>
        </w:tc>
        <w:tc>
          <w:tcPr>
            <w:tcW w:w="760" w:type="dxa"/>
            <w:vAlign w:val="bottom"/>
            <w:gridSpan w:val="2"/>
            <w:vMerge w:val="restart"/>
          </w:tcPr>
          <w:p>
            <w:pPr>
              <w:jc w:val="right"/>
              <w:ind w:right="200"/>
              <w:spacing w:after="0" w:line="135" w:lineRule="exact"/>
              <w:rPr>
                <w:sz w:val="20"/>
                <w:szCs w:val="20"/>
                <w:color w:val="auto"/>
              </w:rPr>
            </w:pPr>
            <w:r>
              <w:rPr>
                <w:rFonts w:ascii="Arial" w:cs="Arial" w:eastAsia="Arial" w:hAnsi="Arial"/>
                <w:sz w:val="13"/>
                <w:szCs w:val="13"/>
                <w:b w:val="1"/>
                <w:bCs w:val="1"/>
                <w:color w:val="auto"/>
                <w:w w:val="98"/>
              </w:rPr>
              <w:t>Treasury</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(Loss)</w:t>
            </w:r>
          </w:p>
        </w:tc>
        <w:tc>
          <w:tcPr>
            <w:tcW w:w="80" w:type="dxa"/>
            <w:vAlign w:val="bottom"/>
          </w:tcPr>
          <w:p>
            <w:pPr>
              <w:spacing w:after="0"/>
              <w:rPr>
                <w:sz w:val="7"/>
                <w:szCs w:val="7"/>
                <w:color w:val="auto"/>
              </w:rPr>
            </w:pPr>
          </w:p>
        </w:tc>
        <w:tc>
          <w:tcPr>
            <w:tcW w:w="720" w:type="dxa"/>
            <w:vAlign w:val="bottom"/>
            <w:gridSpan w:val="2"/>
            <w:vMerge w:val="restart"/>
          </w:tcPr>
          <w:p>
            <w:pPr>
              <w:jc w:val="right"/>
              <w:ind w:right="180"/>
              <w:spacing w:after="0" w:line="135" w:lineRule="exact"/>
              <w:rPr>
                <w:sz w:val="20"/>
                <w:szCs w:val="20"/>
                <w:color w:val="auto"/>
              </w:rPr>
            </w:pPr>
            <w:r>
              <w:rPr>
                <w:rFonts w:ascii="Arial" w:cs="Arial" w:eastAsia="Arial" w:hAnsi="Arial"/>
                <w:sz w:val="13"/>
                <w:szCs w:val="13"/>
                <w:b w:val="1"/>
                <w:bCs w:val="1"/>
                <w:color w:val="auto"/>
                <w:w w:val="94"/>
              </w:rPr>
              <w:t>Retained</w:t>
            </w:r>
          </w:p>
        </w:tc>
        <w:tc>
          <w:tcPr>
            <w:tcW w:w="940" w:type="dxa"/>
            <w:vAlign w:val="bottom"/>
            <w:gridSpan w:val="4"/>
            <w:vMerge w:val="restart"/>
          </w:tcPr>
          <w:p>
            <w:pPr>
              <w:ind w:left="80"/>
              <w:spacing w:after="0" w:line="135" w:lineRule="exact"/>
              <w:rPr>
                <w:sz w:val="20"/>
                <w:szCs w:val="20"/>
                <w:color w:val="auto"/>
              </w:rPr>
            </w:pPr>
            <w:r>
              <w:rPr>
                <w:rFonts w:ascii="Arial" w:cs="Arial" w:eastAsia="Arial" w:hAnsi="Arial"/>
                <w:sz w:val="13"/>
                <w:szCs w:val="13"/>
                <w:b w:val="1"/>
                <w:bCs w:val="1"/>
                <w:color w:val="auto"/>
                <w:w w:val="96"/>
              </w:rPr>
              <w:t>Shareholders’</w:t>
            </w:r>
          </w:p>
        </w:tc>
        <w:tc>
          <w:tcPr>
            <w:tcW w:w="80" w:type="dxa"/>
            <w:vAlign w:val="bottom"/>
          </w:tcPr>
          <w:p>
            <w:pPr>
              <w:spacing w:after="0"/>
              <w:rPr>
                <w:sz w:val="7"/>
                <w:szCs w:val="7"/>
                <w:color w:val="auto"/>
              </w:rPr>
            </w:pPr>
          </w:p>
        </w:tc>
        <w:tc>
          <w:tcPr>
            <w:tcW w:w="720" w:type="dxa"/>
            <w:vAlign w:val="bottom"/>
            <w:gridSpan w:val="3"/>
            <w:vMerge w:val="restart"/>
          </w:tcPr>
          <w:p>
            <w:pPr>
              <w:spacing w:after="0" w:line="135" w:lineRule="exact"/>
              <w:rPr>
                <w:sz w:val="20"/>
                <w:szCs w:val="20"/>
                <w:color w:val="auto"/>
              </w:rPr>
            </w:pPr>
            <w:r>
              <w:rPr>
                <w:rFonts w:ascii="Arial" w:cs="Arial" w:eastAsia="Arial" w:hAnsi="Arial"/>
                <w:sz w:val="13"/>
                <w:szCs w:val="13"/>
                <w:b w:val="1"/>
                <w:bCs w:val="1"/>
                <w:color w:val="auto"/>
              </w:rPr>
              <w:t>controlling</w:t>
            </w:r>
          </w:p>
        </w:tc>
        <w:tc>
          <w:tcPr>
            <w:tcW w:w="80" w:type="dxa"/>
            <w:vAlign w:val="bottom"/>
          </w:tcPr>
          <w:p>
            <w:pPr>
              <w:spacing w:after="0"/>
              <w:rPr>
                <w:sz w:val="7"/>
                <w:szCs w:val="7"/>
                <w:color w:val="auto"/>
              </w:rPr>
            </w:pPr>
          </w:p>
        </w:tc>
        <w:tc>
          <w:tcPr>
            <w:tcW w:w="700" w:type="dxa"/>
            <w:vAlign w:val="bottom"/>
            <w:gridSpan w:val="2"/>
            <w:vMerge w:val="restart"/>
          </w:tcPr>
          <w:p>
            <w:pPr>
              <w:jc w:val="right"/>
              <w:ind w:right="26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Income(1)</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3"/>
              </w:rPr>
              <w:t>Earnings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8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4"/>
              </w:rPr>
              <w:t>interests(2)</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2016</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147,134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4,377</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$3,322,789</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0"/>
              </w:rPr>
              <w:t>$(4,024,527)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6,095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$4,144,827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3,453,561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$3,453,561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436,826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436,826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436,826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ind w:left="260"/>
              <w:spacing w:after="0" w:line="149" w:lineRule="exact"/>
              <w:rPr>
                <w:sz w:val="20"/>
                <w:szCs w:val="20"/>
                <w:color w:val="auto"/>
              </w:rPr>
            </w:pPr>
            <w:r>
              <w:rPr>
                <w:rFonts w:ascii="Arial" w:cs="Arial" w:eastAsia="Arial" w:hAnsi="Arial"/>
                <w:sz w:val="14"/>
                <w:szCs w:val="14"/>
                <w:color w:val="auto"/>
              </w:rPr>
              <w:t>Other comprehensive income</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12,695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449,521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449,521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87,948</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87,976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87,976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(340,597)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(340,597)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(340,597)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Tax benefit from equity-based awards</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3,611</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($0.855 per ordinary share)</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(124,546)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(124,546)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w w:val="76"/>
              </w:rPr>
              <w:t>556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480" w:type="dxa"/>
            <w:vAlign w:val="bottom"/>
            <w:tcBorders>
              <w:bottom w:val="single" w:sz="8" w:color="auto"/>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44,539</w:t>
            </w: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September 30, 2017</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144,391</w:t>
            </w:r>
          </w:p>
        </w:tc>
        <w:tc>
          <w:tcPr>
            <w:tcW w:w="120" w:type="dxa"/>
            <w:vAlign w:val="bottom"/>
          </w:tcPr>
          <w:p>
            <w:pPr>
              <w:spacing w:after="0"/>
              <w:rPr>
                <w:sz w:val="13"/>
                <w:szCs w:val="13"/>
                <w:color w:val="auto"/>
              </w:rPr>
            </w:pPr>
          </w:p>
        </w:tc>
        <w:tc>
          <w:tcPr>
            <w:tcW w:w="20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4,410</w:t>
            </w: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$3,458,887</w:t>
            </w: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$(4,365,124)</w:t>
            </w:r>
          </w:p>
        </w:tc>
        <w:tc>
          <w:tcPr>
            <w:tcW w:w="140" w:type="dxa"/>
            <w:vAlign w:val="bottom"/>
            <w:gridSpan w:val="2"/>
          </w:tcPr>
          <w:p>
            <w:pPr>
              <w:ind w:left="8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18,790</w:t>
            </w:r>
          </w:p>
        </w:tc>
        <w:tc>
          <w:tcPr>
            <w:tcW w:w="10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4"/>
              </w:rPr>
              <w:t>$4,457,107</w:t>
            </w:r>
          </w:p>
        </w:tc>
        <w:tc>
          <w:tcPr>
            <w:tcW w:w="100" w:type="dxa"/>
            <w:vAlign w:val="bottom"/>
          </w:tcPr>
          <w:p>
            <w:pPr>
              <w:spacing w:after="0"/>
              <w:rPr>
                <w:sz w:val="13"/>
                <w:szCs w:val="13"/>
                <w:color w:val="auto"/>
              </w:rPr>
            </w:pPr>
          </w:p>
        </w:tc>
        <w:tc>
          <w:tcPr>
            <w:tcW w:w="1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9"/>
              </w:rPr>
              <w:t>3,574,070</w:t>
            </w:r>
          </w:p>
        </w:tc>
        <w:tc>
          <w:tcPr>
            <w:tcW w:w="100" w:type="dxa"/>
            <w:vAlign w:val="bottom"/>
          </w:tcPr>
          <w:p>
            <w:pPr>
              <w:spacing w:after="0"/>
              <w:rPr>
                <w:sz w:val="13"/>
                <w:szCs w:val="13"/>
                <w:color w:val="auto"/>
              </w:rPr>
            </w:pPr>
          </w:p>
        </w:tc>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4"/>
              </w:rPr>
              <w:t>$3,574,070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60"/>
              <w:spacing w:after="0" w:line="149" w:lineRule="exact"/>
              <w:rPr>
                <w:sz w:val="20"/>
                <w:szCs w:val="20"/>
                <w:color w:val="auto"/>
              </w:rPr>
            </w:pPr>
            <w:r>
              <w:rPr>
                <w:rFonts w:ascii="Arial" w:cs="Arial" w:eastAsia="Arial" w:hAnsi="Arial"/>
                <w:sz w:val="14"/>
                <w:szCs w:val="14"/>
                <w:color w:val="auto"/>
              </w:rPr>
              <w:t>Net income(2)</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354,396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354,396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354,396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comprehensive loss</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(51,521)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(51,521)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(51,521)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ind w:left="260"/>
              <w:spacing w:after="0" w:line="155"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302,875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302,875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81,262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81,286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(419,228)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(419,228)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(419,228)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($0.970 per ordinary share)</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(137,602)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(137,602)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w w:val="76"/>
              </w:rPr>
              <w:t>323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47,476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47,476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480" w:type="dxa"/>
            <w:vAlign w:val="bottom"/>
            <w:tcBorders>
              <w:bottom w:val="single" w:sz="8" w:color="auto"/>
            </w:tcBorders>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43,163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140,177</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$3,587,625</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$(4,784,352)</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(32,731)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$4,673,901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3,448,879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43,163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$3,492,042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Cumulative effect adjustment(3)</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10,434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ind w:left="260"/>
              <w:spacing w:after="0" w:line="149" w:lineRule="exact"/>
              <w:rPr>
                <w:sz w:val="20"/>
                <w:szCs w:val="20"/>
                <w:color w:val="auto"/>
              </w:rPr>
            </w:pPr>
            <w:r>
              <w:rPr>
                <w:rFonts w:ascii="Arial" w:cs="Arial" w:eastAsia="Arial" w:hAnsi="Arial"/>
                <w:sz w:val="14"/>
                <w:szCs w:val="14"/>
                <w:color w:val="auto"/>
              </w:rPr>
              <w:t>Net income(2)</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479,446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479,446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479,446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comprehensive income</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ind w:left="260"/>
              <w:spacing w:after="0" w:line="155"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509,630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509,630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874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41,487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(398,057)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(398,057)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(398,057)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($1.105 per ordinary share)</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(150,982)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(150,982)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(150,982)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w w:val="76"/>
              </w:rPr>
              <w:t>378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38,550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Changes in Noncontrolling interests</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(654)</w:t>
            </w: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134,773</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3,667,662</w:t>
            </w:r>
          </w:p>
        </w:tc>
        <w:tc>
          <w:tcPr>
            <w:tcW w:w="9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(5,182,409)</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5,012,799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3,499,957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3,542,466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right="80" w:hanging="436"/>
        <w:spacing w:after="0" w:line="227"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September 30, 2019, 2018 and 2017, accumulated other comprehensive (loss) income is comprised of unrealized gain (loss) on derivatives, net of tax, of $3,945, $(26,608) and $24,508 , unrealized loss on short-term interest-bearing investments, net of tax, of $0, $(1,592) and $(410) and unrealized loss on defined benefit plan, net of tax, of $(6,492), $(4,531) and $(5,308).</w:t>
      </w:r>
    </w:p>
    <w:p>
      <w:pPr>
        <w:ind w:left="640" w:hanging="436"/>
        <w:spacing w:after="0" w:line="221"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fiscal years 2019 and 2018, all of the Company’s net income is attributable to Amdocs Limited as the net income attributable to the Non-controlling interests is negligible.</w:t>
      </w:r>
    </w:p>
    <w:p>
      <w:pPr>
        <w:ind w:left="640" w:right="400" w:hanging="436"/>
        <w:spacing w:after="0" w:line="237"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Cumulative effect adjustments as of October 1, 2018 include an increase of $14,294 to retained earnings due to the impact of adoptions of ASU No. 2014-09 (ASC 606) and decrease of $3,860 to retained earnings due to adoption of ASU No. 2016-16.</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Cash Flow from Operating Activities:</w:t>
            </w: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21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9"/>
              </w:rPr>
              <w:t>479,446</w:t>
            </w:r>
          </w:p>
        </w:tc>
        <w:tc>
          <w:tcPr>
            <w:tcW w:w="120" w:type="dxa"/>
            <w:vAlign w:val="bottom"/>
          </w:tcPr>
          <w:p>
            <w:pPr>
              <w:spacing w:after="0"/>
              <w:rPr>
                <w:sz w:val="14"/>
                <w:szCs w:val="14"/>
                <w:color w:val="auto"/>
              </w:rPr>
            </w:pPr>
          </w:p>
        </w:tc>
        <w:tc>
          <w:tcPr>
            <w:tcW w:w="1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9"/>
              </w:rPr>
              <w:t>354,396</w:t>
            </w:r>
          </w:p>
        </w:tc>
        <w:tc>
          <w:tcPr>
            <w:tcW w:w="120" w:type="dxa"/>
            <w:vAlign w:val="bottom"/>
          </w:tcPr>
          <w:p>
            <w:pPr>
              <w:spacing w:after="0"/>
              <w:rPr>
                <w:sz w:val="14"/>
                <w:szCs w:val="14"/>
                <w:color w:val="auto"/>
              </w:rPr>
            </w:pPr>
          </w:p>
        </w:tc>
        <w:tc>
          <w:tcPr>
            <w:tcW w:w="18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436,826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Reconciliation of net income to net cash provided by operating activities:</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ind w:left="300"/>
              <w:spacing w:after="0" w:line="162" w:lineRule="exact"/>
              <w:rPr>
                <w:sz w:val="20"/>
                <w:szCs w:val="20"/>
                <w:color w:val="auto"/>
              </w:rPr>
            </w:pPr>
            <w:r>
              <w:rPr>
                <w:rFonts w:ascii="Arial" w:cs="Arial" w:eastAsia="Arial" w:hAnsi="Arial"/>
                <w:sz w:val="15"/>
                <w:szCs w:val="15"/>
                <w:color w:val="auto"/>
              </w:rPr>
              <w:t>Depreciation and amortization</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9"/>
              </w:rPr>
              <w:t>205,772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9"/>
              </w:rPr>
              <w:t>211,224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214,885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Equity-based compensation expense</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38,550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47,476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44,539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ind w:left="300"/>
              <w:spacing w:after="0" w:line="162" w:lineRule="exact"/>
              <w:rPr>
                <w:sz w:val="20"/>
                <w:szCs w:val="20"/>
                <w:color w:val="auto"/>
              </w:rPr>
            </w:pPr>
            <w:r>
              <w:rPr>
                <w:rFonts w:ascii="Arial" w:cs="Arial" w:eastAsia="Arial" w:hAnsi="Arial"/>
                <w:sz w:val="15"/>
                <w:szCs w:val="15"/>
                <w:color w:val="auto"/>
              </w:rPr>
              <w:t>Deferred income taxes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(13,950)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25,098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6,551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Excess tax benefit from equity-based compensation</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(4,666)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ind w:left="300"/>
              <w:spacing w:after="0" w:line="162" w:lineRule="exact"/>
              <w:rPr>
                <w:sz w:val="20"/>
                <w:szCs w:val="20"/>
                <w:color w:val="auto"/>
              </w:rPr>
            </w:pPr>
            <w:r>
              <w:rPr>
                <w:rFonts w:ascii="Arial" w:cs="Arial" w:eastAsia="Arial" w:hAnsi="Arial"/>
                <w:sz w:val="15"/>
                <w:szCs w:val="15"/>
                <w:color w:val="auto"/>
              </w:rPr>
              <w:t>Loss from short-term interest-bearing investments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737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1,324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changes in operating assets and liabilities, net of amounts acquired:</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ind w:left="300"/>
              <w:spacing w:after="0" w:line="162" w:lineRule="exact"/>
              <w:rPr>
                <w:sz w:val="20"/>
                <w:szCs w:val="20"/>
                <w:color w:val="auto"/>
              </w:rPr>
            </w:pPr>
            <w:r>
              <w:rPr>
                <w:rFonts w:ascii="Arial" w:cs="Arial" w:eastAsia="Arial" w:hAnsi="Arial"/>
                <w:sz w:val="15"/>
                <w:szCs w:val="15"/>
                <w:color w:val="auto"/>
              </w:rPr>
              <w:t>Accounts receivable, net</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6,589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(66,451)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(41,075)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25,907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(18,736)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ind w:left="300"/>
              <w:spacing w:after="0" w:line="162" w:lineRule="exact"/>
              <w:rPr>
                <w:sz w:val="20"/>
                <w:szCs w:val="20"/>
                <w:color w:val="auto"/>
              </w:rPr>
            </w:pPr>
            <w:r>
              <w:rPr>
                <w:rFonts w:ascii="Arial" w:cs="Arial" w:eastAsia="Arial" w:hAnsi="Arial"/>
                <w:sz w:val="15"/>
                <w:szCs w:val="15"/>
                <w:color w:val="auto"/>
              </w:rPr>
              <w:t>Other noncurrent assets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(1,635)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9,674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(52,667)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payable, accrued expenses and accrued personnel</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(60,042)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25,348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72,049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ind w:left="300"/>
              <w:spacing w:after="0" w:line="162" w:lineRule="exact"/>
              <w:rPr>
                <w:sz w:val="20"/>
                <w:szCs w:val="20"/>
                <w:color w:val="auto"/>
              </w:rPr>
            </w:pPr>
            <w:r>
              <w:rPr>
                <w:rFonts w:ascii="Arial" w:cs="Arial" w:eastAsia="Arial" w:hAnsi="Arial"/>
                <w:sz w:val="15"/>
                <w:szCs w:val="15"/>
                <w:color w:val="auto"/>
              </w:rPr>
              <w:t>Deferred revenue</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(37,855)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7,650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(50,230)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Income taxes payable, net</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6,025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(31,036)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(15,145)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60" w:type="dxa"/>
            <w:vAlign w:val="bottom"/>
          </w:tcPr>
          <w:p>
            <w:pPr>
              <w:ind w:left="300"/>
              <w:spacing w:after="0" w:line="162" w:lineRule="exact"/>
              <w:rPr>
                <w:sz w:val="20"/>
                <w:szCs w:val="20"/>
                <w:color w:val="auto"/>
              </w:rPr>
            </w:pPr>
            <w:r>
              <w:rPr>
                <w:rFonts w:ascii="Arial" w:cs="Arial" w:eastAsia="Arial" w:hAnsi="Arial"/>
                <w:sz w:val="15"/>
                <w:szCs w:val="15"/>
                <w:color w:val="auto"/>
              </w:rPr>
              <w:t>Other noncurrent liabilities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6,833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(8,718)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14,034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cash provided by operating activities</w:t>
            </w:r>
          </w:p>
        </w:tc>
        <w:tc>
          <w:tcPr>
            <w:tcW w:w="20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656,377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557,249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636,112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Cash Flow from Investing Activities: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property and equipment, net(1)</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(128,086)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(231,146)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(133,392)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line="162" w:lineRule="exact"/>
              <w:rPr>
                <w:sz w:val="20"/>
                <w:szCs w:val="20"/>
                <w:color w:val="auto"/>
              </w:rPr>
            </w:pPr>
            <w:r>
              <w:rPr>
                <w:rFonts w:ascii="Arial" w:cs="Arial" w:eastAsia="Arial" w:hAnsi="Arial"/>
                <w:sz w:val="15"/>
                <w:szCs w:val="15"/>
                <w:color w:val="auto"/>
              </w:rPr>
              <w:t>Proceeds from sale of short-term interest-bearing investments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9"/>
              </w:rPr>
              <w:t>101,287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9"/>
              </w:rPr>
              <w:t>303,090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278,066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short-term interest-bearing investments</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(76,037)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(281,983)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line="162" w:lineRule="exact"/>
              <w:rPr>
                <w:sz w:val="20"/>
                <w:szCs w:val="20"/>
                <w:color w:val="auto"/>
              </w:rPr>
            </w:pPr>
            <w:r>
              <w:rPr>
                <w:rFonts w:ascii="Arial" w:cs="Arial" w:eastAsia="Arial" w:hAnsi="Arial"/>
                <w:sz w:val="15"/>
                <w:szCs w:val="15"/>
                <w:color w:val="auto"/>
              </w:rPr>
              <w:t>Net cash paid for acquisitions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(60,572)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(355,142)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(18,064)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(3,157)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(29,940)</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5"/>
                <w:szCs w:val="15"/>
                <w:color w:val="auto"/>
              </w:rPr>
              <w:t>Net cash used in investing activities</w:t>
            </w: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80" w:type="dxa"/>
            <w:vAlign w:val="bottom"/>
            <w:gridSpan w:val="2"/>
            <w:vMerge w:val="continue"/>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(86,756)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w w:val="93"/>
              </w:rPr>
              <w:t>(362,392)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w w:val="93"/>
              </w:rPr>
              <w:t>(185,313)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Financing Activities:</w:t>
            </w:r>
          </w:p>
        </w:tc>
        <w:tc>
          <w:tcPr>
            <w:tcW w:w="20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line="162" w:lineRule="exact"/>
              <w:rPr>
                <w:sz w:val="20"/>
                <w:szCs w:val="20"/>
                <w:color w:val="auto"/>
              </w:rPr>
            </w:pPr>
            <w:r>
              <w:rPr>
                <w:rFonts w:ascii="Arial" w:cs="Arial" w:eastAsia="Arial" w:hAnsi="Arial"/>
                <w:sz w:val="15"/>
                <w:szCs w:val="15"/>
                <w:color w:val="auto"/>
              </w:rPr>
              <w:t>Borrowings under financing arrangements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w w:val="99"/>
              </w:rPr>
              <w:t>120,000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under financing arrangements</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(120,000)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(400,000)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line="162" w:lineRule="exact"/>
              <w:rPr>
                <w:sz w:val="20"/>
                <w:szCs w:val="20"/>
                <w:color w:val="auto"/>
              </w:rPr>
            </w:pPr>
            <w:r>
              <w:rPr>
                <w:rFonts w:ascii="Arial" w:cs="Arial" w:eastAsia="Arial" w:hAnsi="Arial"/>
                <w:sz w:val="15"/>
                <w:szCs w:val="15"/>
                <w:color w:val="auto"/>
              </w:rPr>
              <w:t>Repurchase of shares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(398,057)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(419,228)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(340,597)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employee stock option exercises</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41,483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81,280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87,586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line="162" w:lineRule="exact"/>
              <w:rPr>
                <w:sz w:val="20"/>
                <w:szCs w:val="20"/>
                <w:color w:val="auto"/>
              </w:rPr>
            </w:pPr>
            <w:r>
              <w:rPr>
                <w:rFonts w:ascii="Arial" w:cs="Arial" w:eastAsia="Arial" w:hAnsi="Arial"/>
                <w:sz w:val="15"/>
                <w:szCs w:val="15"/>
                <w:color w:val="auto"/>
              </w:rPr>
              <w:t>Payments of dividends</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(147,616)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(134,292)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(121,503)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Investment by noncontrolling interests, net(1)</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(4,776)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47,013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line="162" w:lineRule="exact"/>
              <w:rPr>
                <w:sz w:val="20"/>
                <w:szCs w:val="20"/>
                <w:color w:val="auto"/>
              </w:rPr>
            </w:pPr>
            <w:r>
              <w:rPr>
                <w:rFonts w:ascii="Arial" w:cs="Arial" w:eastAsia="Arial" w:hAnsi="Arial"/>
                <w:sz w:val="15"/>
                <w:szCs w:val="15"/>
                <w:color w:val="auto"/>
              </w:rPr>
              <w:t>Payment of contingent consideration from a business acquisition</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(7,470)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Excess tax benefit from equity-based compensation and other</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4,666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5"/>
                <w:szCs w:val="15"/>
                <w:color w:val="auto"/>
              </w:rPr>
              <w:t>Net cash used in financing activities</w:t>
            </w: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8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w w:val="93"/>
              </w:rPr>
              <w:t>(516,772)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w w:val="93"/>
              </w:rPr>
              <w:t>(425,685)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w w:val="93"/>
              </w:rPr>
              <w:t>(569,848)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increase (decrease) in cash and cash equivalents</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52,849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(230,828)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(119,049)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6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beginning of year</w:t>
            </w:r>
          </w:p>
        </w:tc>
        <w:tc>
          <w:tcPr>
            <w:tcW w:w="2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9"/>
              </w:rPr>
              <w:t>418,783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99"/>
              </w:rPr>
              <w:t>649,611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768,660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end of year</w:t>
            </w:r>
          </w:p>
        </w:tc>
        <w:tc>
          <w:tcPr>
            <w:tcW w:w="21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471,632</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418,783</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649,611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Supplementary Cash Flow Information</w:t>
            </w: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80" w:type="dxa"/>
            <w:vAlign w:val="bottom"/>
            <w:gridSpan w:val="2"/>
            <w:vMerge w:val="continue"/>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and Income Taxes Paid</w:t>
            </w:r>
          </w:p>
        </w:tc>
        <w:tc>
          <w:tcPr>
            <w:tcW w:w="2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tcPr>
          <w:p>
            <w:pPr>
              <w:spacing w:after="0" w:line="162" w:lineRule="exact"/>
              <w:rPr>
                <w:sz w:val="20"/>
                <w:szCs w:val="20"/>
                <w:color w:val="auto"/>
              </w:rPr>
            </w:pPr>
            <w:r>
              <w:rPr>
                <w:rFonts w:ascii="Arial" w:cs="Arial" w:eastAsia="Arial" w:hAnsi="Arial"/>
                <w:sz w:val="15"/>
                <w:szCs w:val="15"/>
                <w:color w:val="auto"/>
              </w:rPr>
              <w:t>Cash paid for:</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Income taxes, net of refunds</w:t>
            </w:r>
          </w:p>
        </w:tc>
        <w:tc>
          <w:tcPr>
            <w:tcW w:w="21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75,790</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55,938</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67,544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60" w:type="dxa"/>
            <w:vAlign w:val="bottom"/>
          </w:tcPr>
          <w:p>
            <w:pPr>
              <w:ind w:left="300"/>
              <w:spacing w:after="0"/>
              <w:rPr>
                <w:sz w:val="20"/>
                <w:szCs w:val="20"/>
                <w:color w:val="auto"/>
              </w:rPr>
            </w:pPr>
            <w:r>
              <w:rPr>
                <w:rFonts w:ascii="Arial" w:cs="Arial" w:eastAsia="Arial" w:hAnsi="Arial"/>
                <w:sz w:val="15"/>
                <w:szCs w:val="15"/>
                <w:color w:val="auto"/>
              </w:rPr>
              <w:t>Interest(2)</w:t>
            </w: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7,348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2,009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65405</wp:posOffset>
            </wp:positionV>
            <wp:extent cx="7632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4"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amounts under “Purchase of property and equipment, net”, include proceeds of $9,676 relating to refund of betterment levy for the year ended September 30, 2019</w:t>
      </w:r>
    </w:p>
    <w:p>
      <w:pPr>
        <w:spacing w:after="0" w:line="13" w:lineRule="exact"/>
        <w:rPr>
          <w:rFonts w:ascii="Arial" w:cs="Arial" w:eastAsia="Arial" w:hAnsi="Arial"/>
          <w:sz w:val="14"/>
          <w:szCs w:val="14"/>
          <w:color w:val="auto"/>
        </w:rPr>
      </w:pPr>
    </w:p>
    <w:p>
      <w:pPr>
        <w:ind w:left="640" w:right="100"/>
        <w:spacing w:after="0" w:line="225" w:lineRule="auto"/>
        <w:rPr>
          <w:rFonts w:ascii="Arial" w:cs="Arial" w:eastAsia="Arial" w:hAnsi="Arial"/>
          <w:sz w:val="14"/>
          <w:szCs w:val="14"/>
          <w:color w:val="auto"/>
        </w:rPr>
      </w:pPr>
      <w:r>
        <w:rPr>
          <w:rFonts w:ascii="Arial" w:cs="Arial" w:eastAsia="Arial" w:hAnsi="Arial"/>
          <w:sz w:val="15"/>
          <w:szCs w:val="15"/>
          <w:color w:val="auto"/>
        </w:rPr>
        <w:t>($4,776 of which was a refund to the noncontrolling interest), proceeds from sale of property and equipment of $151, $459 and $57 for the year ended September 30, 2019, 2018 and 2017, respectively.</w:t>
      </w:r>
    </w:p>
    <w:p>
      <w:pPr>
        <w:ind w:left="640" w:hanging="436"/>
        <w:spacing w:after="0"/>
        <w:tabs>
          <w:tab w:leader="none" w:pos="6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amounts under “Interest”, include payments of interest to financial institution, tax authorities and other.</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 — Nature of Entity</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amdocsONE, an open and modular solution set.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GAAP and are denominated in U.S. Dollars.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the vast majority of which are wholly-owned. All intercompany transactions and balances have been eliminated in consolidation.</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December 2017, the Company entered into agreements with Union Investments and Development Limited (“Union”) to partner through a legal entity that is equally owned by the Company and Union for the purpose of acquiring specific land which the Company expects to use as the site for a new campus in Ra’anana, Israel. On January 2, 2018 the Company completed the acquisition of the land. Pursuant to the agreements between the Company and Union, as the Company has control over the construction and ongoing operations of the new campus, the new entity’s financial information is consolidated into the Company’s consolidated financial statements with the portion not owned classified as non-controlling interests. The Company is obligated to distribute in the future the new entity’s earnings under certain conditions, in fiscal years 2019 and 2018 the new entity had negligible earnings or losses and, therefore, an immaterial effect on consolidated financial statements of Amdocs Limited.</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440" w:firstLine="441"/>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From time to time, the Company uses non-recourse factoring arrangements, to sell accounts receivable to third-party financial institutions. The sale of the receivables in these arrangements are accounted for as a true sale.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Company classifies all of its short-term interest-bearing investments as available-for-sale securities. Such short-term interest-bearing investments, if applicable, generally consist primarily of bank deposits, corporate bonds, money market funds, U.S. government treasuries, and U.S. agency securities, which are stated at market value. Unrealized gains and losses are comprised of the difference between market value and amortized costs of such securities and are reflected, net of tax, as “accumulated other comprehensive (loss) income” in equity, unless a security is other than temporarily impaired.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income (loss). The Company uses a discounted cash flow analysis to determine the portion of the impairment that relates to the credit losses. To the extent that the net present value of the projected cash flows is less than the amortized cost of the security, the difference is considered a credit loss. Realized gains and losses on short-term interest-bearing investments are included in earnings and are derived using the first-in-first-out (FIFO) method for determining the cost of securities.</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Property and equipment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 Property and equipment that have been fully depreciated and are no longer in use are netted against accumulated depreciation.</w:t>
      </w:r>
    </w:p>
    <w:p>
      <w:pPr>
        <w:spacing w:after="0" w:line="14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Company capitalizes certain expenditures for software that is internally developed for use in the business, which is classified as computer equipment. Amortization of internal use software begins when the software is ready for service and continues on the straight-line method over the estimated useful life.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The Company capitalizes the expenditures related to the new campus in Israel, which are classified as building and land. Amortization will begin when the new campus is ready for use and will be amortized on the straight-line basis over the estimated useful life.</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189"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2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18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117" w:lineRule="exact"/>
        <w:rPr>
          <w:sz w:val="20"/>
          <w:szCs w:val="20"/>
          <w:color w:val="auto"/>
        </w:rPr>
      </w:pPr>
    </w:p>
    <w:p>
      <w:pPr>
        <w:ind w:left="1420" w:hanging="224"/>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change in fair value of available-for-sale securities;</w:t>
      </w:r>
    </w:p>
    <w:p>
      <w:pPr>
        <w:spacing w:after="0" w:line="117" w:lineRule="exact"/>
        <w:rPr>
          <w:rFonts w:ascii="Arial" w:cs="Arial" w:eastAsia="Arial" w:hAnsi="Arial"/>
          <w:sz w:val="18"/>
          <w:szCs w:val="18"/>
          <w:color w:val="auto"/>
        </w:rPr>
      </w:pPr>
    </w:p>
    <w:p>
      <w:pPr>
        <w:ind w:left="1460" w:hanging="264"/>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change in fair value of cash flow hedges; and</w:t>
      </w:r>
    </w:p>
    <w:p>
      <w:pPr>
        <w:spacing w:after="0" w:line="117" w:lineRule="exact"/>
        <w:rPr>
          <w:rFonts w:ascii="Arial" w:cs="Arial" w:eastAsia="Arial" w:hAnsi="Arial"/>
          <w:sz w:val="18"/>
          <w:szCs w:val="18"/>
          <w:color w:val="auto"/>
        </w:rPr>
      </w:pPr>
    </w:p>
    <w:p>
      <w:pPr>
        <w:ind w:left="1520" w:hanging="324"/>
        <w:spacing w:after="0"/>
        <w:tabs>
          <w:tab w:leader="none" w:pos="1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actuarial gains and losses on defined benefit plans.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equity.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60"/>
          </w:cols>
          <w:pgMar w:left="24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 Any earn-out which is not considered a contingent consideration is recognized as compensation expense over expected service period.</w:t>
      </w:r>
    </w:p>
    <w:p>
      <w:pPr>
        <w:spacing w:after="0" w:line="16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accordance with business combinations accounting,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of the significant judgments that need to be made,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19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the Company records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its consolidated statements of income.</w:t>
      </w:r>
    </w:p>
    <w:p>
      <w:pPr>
        <w:spacing w:after="0" w:line="18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Company records deferred income taxes to reflect the net tax effects of temporary differences between the carrying amounts of assets and liabilities for financial reporting and tax purposes. Deferred taxes are computed based on enacted tax rates anticipated to be in effect when the deferred taxes are expected to be paid or realized. A valuation allowance is provided for deferred tax assets if it is more likely than not, the Company will not be able to realize their benefit.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Deferred tax liabilities and assets are classified as noncurrent on the balance sheet. Deferred tax liabilities also include anticipated withholding taxes due on subsidiaries’ earnings when paid as dividends to the Company.</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Interest and penalties related to uncertain tax positions are recognized in the provision for income taxes. See Note 11 to the consolidated financial statements.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Company recognizes revenue under the five-step methodology required under ASC 606, which requires the Company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Revenue is recognized net of any revenue-based taxes assessed by a governmental authority that are both imposed on and concurrent with a specific revenue-producing transaction and collected by the Company from a customer (for example, sales, use and value added taxes).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primary revenue categories, related performance obligations, and associated recognition patterns are as follows: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i w:val="1"/>
          <w:iCs w:val="1"/>
          <w:color w:val="auto"/>
        </w:rPr>
        <w:t xml:space="preserve">Revenue Recognition for projects </w:t>
      </w:r>
      <w:r>
        <w:rPr>
          <w:rFonts w:ascii="Arial" w:cs="Arial" w:eastAsia="Arial" w:hAnsi="Arial"/>
          <w:sz w:val="17"/>
          <w:szCs w:val="17"/>
          <w:color w:val="auto"/>
        </w:rPr>
        <w:t>— The Company usually sells its software licenses as part of an overall solution offered to a customer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customization, modification, implementation and integration. Those services are deemed essential to the software. As a result, revenue related to these projects is recognized over time, usually based on a percentage that incurred labor effort to date bears to total projected labor effort. Incurred effort represents work performed, which corresponds with, and thereby best depicts, the transfer of control to the customer. Revenue from customization, implementation, modification and integration services is also recognized over the course of the projects.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w:t>
      </w:r>
    </w:p>
    <w:p>
      <w:pPr>
        <w:spacing w:after="0" w:line="179"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 xml:space="preserve">Revenue Recognition for subsequent license fee </w:t>
      </w:r>
      <w:r>
        <w:rPr>
          <w:rFonts w:ascii="Arial" w:cs="Arial" w:eastAsia="Arial" w:hAnsi="Arial"/>
          <w:sz w:val="18"/>
          <w:szCs w:val="18"/>
          <w:color w:val="auto"/>
        </w:rPr>
        <w:t>— Subsequent license fee revenue is recognized when the customer has access to the license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use and benefit from the license. In cases when the conditions require delivery, then delivery must have occurred for purposes of revenue recognition. Subsequent license fee is based on a customer’s subscriber level, transaction volume or other measurements when greater than the level specified in the contract for the initial license fee.</w:t>
      </w:r>
    </w:p>
    <w:p>
      <w:pPr>
        <w:spacing w:after="0" w:line="18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i w:val="1"/>
          <w:iCs w:val="1"/>
          <w:color w:val="auto"/>
        </w:rPr>
        <w:t xml:space="preserve">Revenue Recognition for term-based license and perpetual license </w:t>
      </w:r>
      <w:r>
        <w:rPr>
          <w:rFonts w:ascii="Arial" w:cs="Arial" w:eastAsia="Arial" w:hAnsi="Arial"/>
          <w:sz w:val="18"/>
          <w:szCs w:val="18"/>
          <w:color w:val="auto"/>
        </w:rPr>
        <w:t>— Revenue related to software solutions that do not require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customization, implementation and modification are recognized upon delivery.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Revenue Recognition for maintenance </w:t>
      </w:r>
      <w:r>
        <w:rPr>
          <w:rFonts w:ascii="Arial" w:cs="Arial" w:eastAsia="Arial" w:hAnsi="Arial"/>
          <w:sz w:val="18"/>
          <w:szCs w:val="18"/>
          <w:color w:val="auto"/>
        </w:rPr>
        <w:t>— Maintenance revenue is recognized ratably over the term of the maintenance agreement.</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i w:val="1"/>
          <w:iCs w:val="1"/>
          <w:color w:val="auto"/>
        </w:rPr>
        <w:t xml:space="preserve">Revenue Recognition for ongoing services — </w:t>
      </w:r>
      <w:r>
        <w:rPr>
          <w:rFonts w:ascii="Arial" w:cs="Arial" w:eastAsia="Arial" w:hAnsi="Arial"/>
          <w:sz w:val="17"/>
          <w:szCs w:val="17"/>
          <w:color w:val="auto"/>
        </w:rPr>
        <w:t>Revenue from ongoing support services is recognized as work is performed, revenue from other</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services is recognized over time as services are preformed, using one method of measuring performance such as time elapsed, output produced, volume of data processed or subscriber count that provides the most faithful depiction of the transfer of services.</w:t>
      </w:r>
    </w:p>
    <w:p>
      <w:pPr>
        <w:spacing w:after="0" w:line="166"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 xml:space="preserve">Revenue Recognition for managed services arrangement </w:t>
      </w:r>
      <w:r>
        <w:rPr>
          <w:rFonts w:ascii="Arial" w:cs="Arial" w:eastAsia="Arial" w:hAnsi="Arial"/>
          <w:sz w:val="18"/>
          <w:szCs w:val="18"/>
          <w:color w:val="auto"/>
        </w:rPr>
        <w:t>— Managed services arrangements include management of data center operations and IT</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application management and ongoing support, management of end-to-end business processes, and managed transformation that includes both a transformation project as well as taking over managed services responsibility.</w:t>
      </w:r>
    </w:p>
    <w:p>
      <w:pPr>
        <w:spacing w:after="0" w:line="18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The revenue from managed services arrangement is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181"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Revenue from the management of a customer’s operations pursuant to managed services arrangements, is recognized over time as services are preformed, using one method of measuring performance such as time elapsed, output produced, volume of data processed or subscriber count that provides the most faithful depiction of the transfer of services, pursuant to the specific contract terms of the managed services arrangement. Typically, managed services arrangements are long term in duration and are not subject to significant seasonality.</w:t>
      </w:r>
    </w:p>
    <w:p>
      <w:pPr>
        <w:spacing w:after="0" w:line="17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Revenue Recognition for third-party hardware and software </w:t>
      </w:r>
      <w:r>
        <w:rPr>
          <w:rFonts w:ascii="Arial" w:cs="Arial" w:eastAsia="Arial" w:hAnsi="Arial"/>
          <w:sz w:val="17"/>
          <w:szCs w:val="17"/>
          <w:color w:val="auto"/>
        </w:rPr>
        <w:t>— Third-party hardware sales are recognized upon delivery or installation,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third-party software sales is recognized upon delivery. Maintenance revenue is recognized ratably over the term of the maintenance agreement Revenue from third-party hardware and software sales is recorded at gross amount for transactions in which the Company control the third-party hardware and software prior to fulfilling the performance obligation . In specific circumstances where the Company do not meet the above criteria, revenue is recognized on a net basis. In certain arrangements, the Company may earn revenue from other third-party services which is recorded at a gross amount as it controls the services before transferring them to the customer.</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Arrangements with Multiple Performance Obligations </w:t>
      </w:r>
      <w:r>
        <w:rPr>
          <w:rFonts w:ascii="Arial" w:cs="Arial" w:eastAsia="Arial" w:hAnsi="Arial"/>
          <w:sz w:val="17"/>
          <w:szCs w:val="17"/>
          <w:color w:val="auto"/>
        </w:rPr>
        <w:t>— Many of the Company’s agreements include multiple performance obligations.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 offers its services in accordance with ASC 606. The determination of SSP requires the exercise of judgement.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7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Billing terms and conditions generally vary by contract category. Amounts are typically billed as work progresses in accordance with agreed-upon contractual terms, either at periodic intervals (e.g., monthly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jc w:val="both"/>
        <w:ind w:left="200" w:right="620"/>
        <w:spacing w:after="0" w:line="312" w:lineRule="auto"/>
        <w:rPr>
          <w:sz w:val="20"/>
          <w:szCs w:val="20"/>
          <w:color w:val="auto"/>
        </w:rPr>
      </w:pPr>
      <w:r>
        <w:rPr>
          <w:rFonts w:ascii="Arial" w:cs="Arial" w:eastAsia="Arial" w:hAnsi="Arial"/>
          <w:sz w:val="16"/>
          <w:szCs w:val="16"/>
          <w:color w:val="auto"/>
        </w:rPr>
        <w:t>quarterly) or upon achievement of contractual milestones. In cases where timing of revenue recognition significantly differs from the timing of invoicing, the Company is considering whether a significant financing component exists. The Company elected to use the practical expedient in assessing the financing component in contracts where the time between cash collection and performance is less than one year.</w:t>
      </w:r>
    </w:p>
    <w:p>
      <w:pPr>
        <w:spacing w:after="0" w:line="14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 xml:space="preserve">Accounts Receivable — Billed </w:t>
      </w:r>
      <w:r>
        <w:rPr>
          <w:rFonts w:ascii="Arial" w:cs="Arial" w:eastAsia="Arial" w:hAnsi="Arial"/>
          <w:sz w:val="18"/>
          <w:szCs w:val="18"/>
          <w:color w:val="auto"/>
        </w:rPr>
        <w:t>— Billed accounts receivables include all outstanding invoices to customers, as well as amounts allowed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billed according to contractual billing terms with customers.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i w:val="1"/>
          <w:iCs w:val="1"/>
          <w:color w:val="auto"/>
        </w:rPr>
        <w:t xml:space="preserve">Accounts Receivable — Unbilled — </w:t>
      </w:r>
      <w:r>
        <w:rPr>
          <w:rFonts w:ascii="Arial" w:cs="Arial" w:eastAsia="Arial" w:hAnsi="Arial"/>
          <w:sz w:val="18"/>
          <w:szCs w:val="18"/>
          <w:color w:val="auto"/>
        </w:rPr>
        <w:t>Unbilled accounts receivable include all revenue amounts that had not been billed as of the balance sheet date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contractual billing terms with customers. Unbilled accounts receivable that are expected to be billed beyond the next 12 months are considered long-term unbilled receivables and included in other noncurrent assets.</w:t>
      </w:r>
    </w:p>
    <w:p>
      <w:pPr>
        <w:spacing w:after="0" w:line="18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i w:val="1"/>
          <w:iCs w:val="1"/>
          <w:color w:val="auto"/>
        </w:rPr>
        <w:t xml:space="preserve">Deferred Revenue — </w:t>
      </w:r>
      <w:r>
        <w:rPr>
          <w:rFonts w:ascii="Arial" w:cs="Arial" w:eastAsia="Arial" w:hAnsi="Arial"/>
          <w:sz w:val="16"/>
          <w:szCs w:val="16"/>
          <w:color w:val="auto"/>
        </w:rPr>
        <w:t>Deferred revenue represents billings to customers for which revenue has not yet been recognized. Deferred revenue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recognized beyond the next 12 months is considered long-term deferred revenue and included in other noncurrent liabilities.</w:t>
      </w:r>
    </w:p>
    <w:p>
      <w:pPr>
        <w:spacing w:after="0" w:line="124"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 xml:space="preserve">Assets Recognized from the Costs to Obtain a Contract with a Customer — </w:t>
      </w:r>
      <w:r>
        <w:rPr>
          <w:rFonts w:ascii="Arial" w:cs="Arial" w:eastAsia="Arial" w:hAnsi="Arial"/>
          <w:sz w:val="16"/>
          <w:szCs w:val="16"/>
          <w:color w:val="auto"/>
        </w:rPr>
        <w:t>Incremental costs of obtaining a contract (e.g., sales commissions)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and amortized on a pro-rata basis over the contract period if the Company expects to recover those costs. Commissions on renewals are commensurate with the commission from the initial arrangement. Incremental costs of obtaining a contract include only those costs the Company incurs to obtain a contract that it would not have incurred if the contract had not been obtained. The Company has determined that certain sales commissions programs meet the requirements to be capitalized, which prior to the adoption of ASC 606, were previously expensed as incurred. Additionally, as a practical expedient, the Company expenses costs to obtain a contract as incurred if the amortization period would have been a year or less. The amortization of these costs is included in selling, general and administrative expenses in the Company’s consolidated statements of income.</w:t>
      </w:r>
    </w:p>
    <w:p>
      <w:pPr>
        <w:spacing w:after="0" w:line="16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Cost of revenue consists of all costs associated with providing software licenses and services to customers, third party hardware and software including identified losses on contracts. Estimated losses on contracts satisfied over time as work performed are recognized in the period in which the loss is identified.</w:t>
      </w:r>
    </w:p>
    <w:p>
      <w:pPr>
        <w:spacing w:after="0" w:line="181"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Cost of revenue also includes costs of third-party products associated with 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154"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and the rest of the world. Most of the Company’s customers are among the largest communications and media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8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Company evaluates accounts receivable to determine if they ultimately will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The allowance for doubtful accounts as of September 30, 2019 and 2018, was $36,121 and $21,211, respectively. As of September 30, 2019, the Company had one customer with an accounts receivable balance of more than 10% of total accounts receivable, amounting to 16%, which was lower than its respective portion of total revenue. As of September 30, 2018, the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Company had one customer with an accounts receivable balance of more than 10% of total accounts receivable, amounting to 19%, which was lower than its respective portion of total revenue.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The Company includes participating securities (unvested restricted shares that contain non-forfeitable rights to dividends or dividend equivalents) in the computation of earnings per share pursuant to the two-class method, which calculates earnings per share for common shares and participating securities.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income (loss)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November 2018, the Financial Accounting Standards Board, or FASB, issued Accounting Standard Update, or ASU, No. 2018-18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The ASU clarifies the interaction between collaborative arrangements and the new revenue standards. This ASU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the Company on October 1, 2020, and early adoption is permitted. The Company currently expects that adoption of this ASU will not have a material impact on its consolidated financial statements.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This ASU will be effective for the Company on October 1, 2020, and early adoption is permitted. The Company currently expects that adoption of this ASU will not have a material impact on its consolidated financial statements.</w:t>
      </w:r>
    </w:p>
    <w:p>
      <w:pPr>
        <w:spacing w:after="0" w:line="18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This ASU will be effective for the Company on October 1, 2020, and early adoption is permitted with specific limitations. The Company currently expects that adoption of this ASU may result in changes to its financial statements disclosure and will not have a material impact on its consolidated financial statements.</w:t>
      </w:r>
    </w:p>
    <w:p>
      <w:pPr>
        <w:spacing w:after="0" w:line="18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 retirement benefit plans. This ASU will be effective for the Company on October 1, 2020, and early adoption is permitted. The Company expects that the adoption of this ASU will not have a material impact on its consolidated financial statements.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jc w:val="both"/>
        <w:ind w:left="200" w:right="360" w:firstLine="441"/>
        <w:spacing w:after="0" w:line="279" w:lineRule="auto"/>
        <w:rPr>
          <w:sz w:val="20"/>
          <w:szCs w:val="20"/>
          <w:color w:val="auto"/>
        </w:rPr>
      </w:pPr>
      <w:r>
        <w:rPr>
          <w:rFonts w:ascii="Arial" w:cs="Arial" w:eastAsia="Arial" w:hAnsi="Arial"/>
          <w:sz w:val="17"/>
          <w:szCs w:val="17"/>
          <w:color w:val="auto"/>
        </w:rPr>
        <w:t>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ASU aligns the measurement and classification for share-based payments to nonemployees with the guidance for share-based payments to employees, with certain exceptions. This ASU will be effective for the Company on October 1, 2019, and early adoption is permitted with certain limitations. The Company expects that the adoption of this ASU will not have a material impact on its consolidated financial statements.</w:t>
      </w:r>
    </w:p>
    <w:p>
      <w:pPr>
        <w:spacing w:after="0" w:line="17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The ASU amends existing guidance to simplify the application of hedge accounting in certain situations and allows companies to better align their hedge accounting with their risk management activities. This ASU will be effective for the Company on October 1, 2020, and earlier adoption by one year is permitted. The Company currently expects that adoption of this ASU will not have a material impact on its consolidated financial statements.</w:t>
      </w:r>
    </w:p>
    <w:p>
      <w:pPr>
        <w:spacing w:after="0" w:line="17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ASU which introduces an impairment model that is based on expected losses rather than incurred losses and will apply to financial assets subject to credit losses and measured at amortized cost, and certain off-balance sheet credit exposures. This ASU will be effective for the Company on October 1, 2020, and earlier adoption by one year is permitted. The Company is currently evaluating the impact of adoption of this ASU on its consolidated financial statements.</w:t>
      </w:r>
    </w:p>
    <w:p>
      <w:pPr>
        <w:spacing w:after="0" w:line="154"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will be effective for the Company on October 1, 2019. The Company will adopt this ASU using a modified retrospective method. The Company is finalizing the implementation of this new standard including analyzing its lease contracts and evaluating changes to system, business processes and controls needed to support recognition, including currencies exposures and disclosure. The Company expects its leases designated as operating leases will be reported on the consolidated balance sheet upon adoption, as of October 1, 2019, which will increase its total assets and liabilities in total amount of approximately $260 million to $310 million. In addition, as a material portion of the Company’s leases are denominated in currencies other than the functional currency, the associated lease liabilities will be remeasured using the current exchange rate in the future reporting periods, which may result, if not fully hedged, in foreign exchange gains or losses. The Company currently expects that the adoption of this ASU will not have a material impact on its consolidated statement of income and on its consolidated statement of cash flow.</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December 2017, the SEC issued Staff Accounting Bulletin No. 118 (“SAB No. 118”) in response to the new tax legislation in the United States (The Tax Cuts and Jobs Act or “The Act”). The Act, which was enacted on December 22, 2017, reduces the US federal corporate tax rate from 35% to 21%, which requires the payment of a one-time transition tax on earnings of certain foreign subsidiaries and creates new taxes on certain foreign sourced earnings. The guidance provided in SAB No.118 allowed the Company to record provisional amounts of income tax effects of the Act during a one-year measurement period. As of December 31, 2018, the Company has completed its accounting for the tax effects of enactment of the Act and made a reasonable estimate of the effects on its existing deferred tax balances and the one-time transition tax. There was no material impact on the Company’s consolidated financial statements, see also Note 11 to the consolidated financial statements.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ASU revises and narrows the definition of a business and provides a framework that gives entities a basis for making reasonable judgments about whether a transaction involves an asset or a business. The Company prospectively adopted this ASU effective October 1, 2018. As of the date of the adoption there was no impact on the Company’s consolidated financial statements.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The ASU requires the Company to recognize the income tax consequences of intra-entity transfers, other than inventory, when the transfer occurs. The Company adopted this ASU as of October 1, 2018, using the modified retrospective transition approach, which resulted in a cumulative adjustment of $3,860 decrease of the retained earnings.</w:t>
      </w:r>
    </w:p>
    <w:p>
      <w:pPr>
        <w:spacing w:after="0" w:line="18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The ASU intends to reduce diversity in practice in how certain transactions are classified in the statement of cash flows. The Company retrospectively adopted this ASU effective October 1, 2018, which resulted in the classification of certain cash payments of contingent consideration in financing activities on the Company’s consolidated statement of cash flow during the year ended September 30, 2019. There was no such impact during the year ended September 30, 2018.</w:t>
      </w:r>
    </w:p>
    <w:p>
      <w:pPr>
        <w:spacing w:after="0" w:line="154"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January 2016, the FASB issued ASU No.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The ASU updates certain aspects of recognition and measurement of financial assets and financial liabilities. The ASU affects the accounting for equity investments, financial liabilities under the fair value option, and the presentation and disclosure requirements for financial instruments. The Company prospectively adopted this ASU effective October 1, 2018. There was no material impact on the Company’s consolidated financial statements, see also Note 5 to the consolidated financial statements.</w:t>
      </w:r>
    </w:p>
    <w:p>
      <w:pPr>
        <w:spacing w:after="0" w:line="154"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In May 2014, the FASB issued ASU No. 2014-09,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ASU on revenue from contracts with customers, or the new revenue standard, which outlines a single comprehensive model for entities to use in accounting for revenue arising from contracts with customers and supersedes most current revenue recognition guidance. Prior to the adoption of ASC 606 the Company developed a transition plan, including changes to policies, processes and internal controls, as well as system enhancements to generate the information necessary for new disclosure requirements and recently completed an assessment to identify the potential areas of impact that this new revenue recognition standard will have on its consolidated financial statement and internal control environment. As part of the assessment, the Company reviewed a representative sample of its contracts across its various customers and geographies to identify potential differences that could result from applying the requirements of the new standard. As of October 1, 2018, the Company adopted this ASU using the modified retrospective transition approach. This method was applied to contracts that were not complete as of the date of adoption.</w:t>
      </w:r>
    </w:p>
    <w:p>
      <w:pPr>
        <w:spacing w:after="0" w:line="182"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The cumulative impact of adopting ASC 606, which was immaterial, was a net increase in the opening balance of retained earnings as of October 1, 2018, of $14,294, net of tax, from total amount of $4,673,901 to $4,688,195. The impact was primarily related to (i) the removal of the limitation on contingent revenue, as revenue allocated to satisfied performance obligations is no longer restricted to the amount that is not contingent upon the satisfaction of additional performance obligations (ii) the change of definition of contract term to represent the period for which enforceable rights and obligations exist, and (iii) the capitalization and amortization of certain sales commissions in accordance with ASC 606.</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depicts the impact of adoption as of October 1, 2018, on the Company’s consolidated balance sheet: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As of October 1, 2018</w:t>
            </w: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Balance as of</w:t>
            </w:r>
          </w:p>
        </w:tc>
        <w:tc>
          <w:tcPr>
            <w:tcW w:w="2320" w:type="dxa"/>
            <w:vAlign w:val="bottom"/>
            <w:gridSpan w:val="4"/>
          </w:tcPr>
          <w:p>
            <w:pPr>
              <w:ind w:left="820"/>
              <w:spacing w:after="0" w:line="119" w:lineRule="exact"/>
              <w:rPr>
                <w:sz w:val="20"/>
                <w:szCs w:val="20"/>
                <w:color w:val="auto"/>
              </w:rPr>
            </w:pPr>
            <w:r>
              <w:rPr>
                <w:rFonts w:ascii="Arial" w:cs="Arial" w:eastAsia="Arial" w:hAnsi="Arial"/>
                <w:sz w:val="13"/>
                <w:szCs w:val="13"/>
                <w:b w:val="1"/>
                <w:bCs w:val="1"/>
                <w:color w:val="auto"/>
              </w:rPr>
              <w:t>Adjustments due</w:t>
            </w:r>
          </w:p>
        </w:tc>
        <w:tc>
          <w:tcPr>
            <w:tcW w:w="400" w:type="dxa"/>
            <w:vAlign w:val="bottom"/>
          </w:tcPr>
          <w:p>
            <w:pPr>
              <w:spacing w:after="0"/>
              <w:rPr>
                <w:sz w:val="10"/>
                <w:szCs w:val="10"/>
                <w:color w:val="auto"/>
              </w:rPr>
            </w:pPr>
          </w:p>
        </w:tc>
        <w:tc>
          <w:tcPr>
            <w:tcW w:w="980" w:type="dxa"/>
            <w:vAlign w:val="bottom"/>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Balance as of</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20" w:type="dxa"/>
            <w:vAlign w:val="bottom"/>
            <w:gridSpan w:val="3"/>
          </w:tcPr>
          <w:p>
            <w:pPr>
              <w:ind w:left="1220"/>
              <w:spacing w:after="0"/>
              <w:rPr>
                <w:sz w:val="20"/>
                <w:szCs w:val="20"/>
                <w:color w:val="auto"/>
              </w:rPr>
            </w:pPr>
            <w:r>
              <w:rPr>
                <w:rFonts w:ascii="Arial" w:cs="Arial" w:eastAsia="Arial" w:hAnsi="Arial"/>
                <w:sz w:val="14"/>
                <w:szCs w:val="14"/>
                <w:b w:val="1"/>
                <w:bCs w:val="1"/>
                <w:color w:val="auto"/>
                <w:w w:val="90"/>
              </w:rPr>
              <w:t>September 30, 2018</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to ASC 606</w:t>
            </w:r>
          </w:p>
        </w:tc>
        <w:tc>
          <w:tcPr>
            <w:tcW w:w="1440" w:type="dxa"/>
            <w:vAlign w:val="bottom"/>
            <w:gridSpan w:val="4"/>
          </w:tcPr>
          <w:p>
            <w:pPr>
              <w:ind w:left="400"/>
              <w:spacing w:after="0"/>
              <w:rPr>
                <w:sz w:val="20"/>
                <w:szCs w:val="20"/>
                <w:color w:val="auto"/>
              </w:rPr>
            </w:pPr>
            <w:r>
              <w:rPr>
                <w:rFonts w:ascii="Arial" w:cs="Arial" w:eastAsia="Arial" w:hAnsi="Arial"/>
                <w:sz w:val="14"/>
                <w:szCs w:val="14"/>
                <w:b w:val="1"/>
                <w:bCs w:val="1"/>
                <w:color w:val="auto"/>
                <w:w w:val="97"/>
              </w:rPr>
              <w:t>October 1, 2018</w:t>
            </w: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1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Account receivable — unbilled</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263,997</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10,039</w:t>
            </w:r>
          </w:p>
        </w:tc>
        <w:tc>
          <w:tcPr>
            <w:tcW w:w="44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274,036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229,999</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420,369</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15,636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436,005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(current)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132,414</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706,637</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(14,062)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692,575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224,572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234,996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4,673,901</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14,294</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4,688,195</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impact of adopting the new standard for the year ended September 30, 2019, was an increase of approximately $26,096 to revenue, most of which was recorded against Account receivable — unbilled and decrease of approximately $11,051 to cost of revenue most of which was recorded against Accrued expenses and other current liabilities.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 — Acquisitions</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 During fiscal year 2019, the Company acquired TTS Wireless for approximately $50,000 in cash and potential additional consideration based on the achievement of certain performance metrics. TTS Wireless is a leading provider of mobile network engineering services, specializing in network optimization, planning and software-enabled solutions. During fiscal year 2018, the Company acquired three technology companies for an aggregate consideration of $355,142 in cash: Vubiquity, a leading provider of premium content services and technology solutions, projekt202, a leader in experience-driven software design and development, and UXP systems (“UXP”) whose User Lifecycle Management solution is a leading platform for empowering digital user relationships and digital identity. See Note 9 to the consolidated financial statement.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 — Revenue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October 1,</w:t>
            </w:r>
          </w:p>
        </w:tc>
        <w:tc>
          <w:tcPr>
            <w:tcW w:w="1160" w:type="dxa"/>
            <w:vAlign w:val="bottom"/>
            <w:gridSpan w:val="3"/>
          </w:tcPr>
          <w:p>
            <w:pPr>
              <w:ind w:left="2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2018 (as adjusted)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Accounts receivable — billed (net of allowances for doubtful accounts of $21,211 as</w:t>
            </w: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September 30 and October 1, 2018 and $36,121 as of September 30, 2019)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707,505</w:t>
            </w:r>
          </w:p>
        </w:tc>
        <w:tc>
          <w:tcPr>
            <w:tcW w:w="3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707,505</w:t>
            </w:r>
          </w:p>
        </w:tc>
        <w:tc>
          <w:tcPr>
            <w:tcW w:w="3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760,797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263,997</w:t>
            </w:r>
          </w:p>
        </w:tc>
        <w:tc>
          <w:tcPr>
            <w:tcW w:w="3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274,036</w:t>
            </w:r>
          </w:p>
        </w:tc>
        <w:tc>
          <w:tcPr>
            <w:tcW w:w="3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227,061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Total Accounts receivable — unbilled</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279,683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287,221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(132,414)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(146,462)</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(27,977)</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(27,977)</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(23,785)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(160,391)</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(174,439)</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(141,967)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Revenue recognized during the year ended September 30, 2019, which was included in deferred revenue (current) as of October 1, 2018 was</w:t>
      </w:r>
    </w:p>
    <w:p>
      <w:pPr>
        <w:spacing w:after="0" w:line="35" w:lineRule="exact"/>
        <w:rPr>
          <w:sz w:val="20"/>
          <w:szCs w:val="20"/>
          <w:color w:val="auto"/>
        </w:rPr>
      </w:pPr>
    </w:p>
    <w:p>
      <w:pPr>
        <w:jc w:val="both"/>
        <w:ind w:left="200" w:right="20"/>
        <w:spacing w:after="0" w:line="261" w:lineRule="auto"/>
        <w:rPr>
          <w:sz w:val="20"/>
          <w:szCs w:val="20"/>
          <w:color w:val="auto"/>
        </w:rPr>
      </w:pPr>
      <w:r>
        <w:rPr>
          <w:rFonts w:ascii="Arial" w:cs="Arial" w:eastAsia="Arial" w:hAnsi="Arial"/>
          <w:sz w:val="18"/>
          <w:szCs w:val="18"/>
          <w:color w:val="auto"/>
        </w:rPr>
        <w:t>$93,508. Amounts billed during the year ended September 30, 2019, which was included in unbilled accounts receivable (current) as of October 1, 2018, was $129,230.</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Remaining Performance Obligations from Contracts with Customer</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As of September 30, 2019, the aggregate amount of the transaction price allocated to remaining performance obligations that are unsatisfied or partially unsatisfied was approximately $5.5 billion. Remaining performance obligations typically include the remaining non-cancelable, committed and fixed portion of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 see Note 21 — Segment Information and Sales to Significant Customers.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 — Fair Value Measurements</w:t>
      </w:r>
    </w:p>
    <w:p>
      <w:pPr>
        <w:spacing w:after="0" w:line="121" w:lineRule="exact"/>
        <w:rPr>
          <w:sz w:val="20"/>
          <w:szCs w:val="20"/>
          <w:color w:val="auto"/>
        </w:rPr>
      </w:pPr>
    </w:p>
    <w:p>
      <w:pPr>
        <w:jc w:val="both"/>
        <w:ind w:left="200" w:right="340" w:firstLine="441"/>
        <w:spacing w:after="0" w:line="302"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1060"/>
        <w:spacing w:after="0"/>
        <w:tabs>
          <w:tab w:leader="none" w:pos="18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17" w:lineRule="exact"/>
        <w:rPr>
          <w:sz w:val="20"/>
          <w:szCs w:val="20"/>
          <w:color w:val="auto"/>
        </w:rPr>
      </w:pPr>
    </w:p>
    <w:p>
      <w:pPr>
        <w:ind w:left="640" w:right="260" w:firstLine="423"/>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1060"/>
        <w:spacing w:after="0"/>
        <w:tabs>
          <w:tab w:leader="none" w:pos="18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that is significant to the fair value of the assets or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September 30, 2019 and 2018:</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September 30, 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ind w:left="20"/>
              <w:spacing w:after="0"/>
              <w:rPr>
                <w:sz w:val="20"/>
                <w:szCs w:val="20"/>
                <w:color w:val="auto"/>
              </w:rPr>
            </w:pPr>
            <w:r>
              <w:rPr>
                <w:rFonts w:ascii="Arial" w:cs="Arial" w:eastAsia="Arial" w:hAnsi="Arial"/>
                <w:sz w:val="18"/>
                <w:szCs w:val="18"/>
                <w:color w:val="auto"/>
                <w:w w:val="87"/>
              </w:rPr>
              <w:t>69,370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69,370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69,370</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69,370</w:t>
            </w:r>
          </w:p>
        </w:tc>
        <w:tc>
          <w:tcPr>
            <w:tcW w:w="120" w:type="dxa"/>
            <w:vAlign w:val="bottom"/>
            <w:shd w:val="clear" w:color="auto" w:fill="CCEEFF"/>
          </w:tcPr>
          <w:p>
            <w:pPr>
              <w:spacing w:after="0"/>
              <w:rPr>
                <w:sz w:val="18"/>
                <w:szCs w:val="18"/>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Equity Investment</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18,008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20" w:type="dxa"/>
            <w:vAlign w:val="bottom"/>
            <w:shd w:val="clear" w:color="auto" w:fill="CCEEFF"/>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(29,805)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(29,805)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69,370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(11,797)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September 30, 2018</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Level 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47,531</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47,531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30,883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87"/>
              </w:rPr>
              <w:t>23,258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Supranational and sovereign debt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CEEFF"/>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2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7"/>
              </w:rPr>
              <w:t>54,141</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77,175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131,316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(27,842)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(27,842)</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(37,954)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(37,954)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54,141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49,333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(37,954)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Available-for-sale securities that are classified as Level 2 assets are priced using observable data that may include quoted market prices for similar instruments, market dealer quotes, market spreads, non-binding market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year 2019. Level 3 liabilities relate to certain acquisition-related liabilities, which were generally valued using a Monte-Carlo simulation model. These liabilities were included in both accrued expenses and other current liabilities and other noncurrent liabilities as of September 30, 2019 and 2018. The decrease in Level 3 liabilities is primarily related to payments of certain acquisition-related liabilities offset by an increase against goodwill. Level 3 assets relate to equity investments, which were valued based on price changes in orderly transactions for similar investments of the same issuer.</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The carrying amounts of cash and cash equivalents, accounts receivable, accounts payable, accrued personnel costs, short-term financing arrangements and accrued expenses and other current liabilities approximate their fair value because of the relatively short maturity of these items.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 — Available-For-Sale Securities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fiscal year 2019 the Company sold most of its available-for-sale securities, in total amount of $101,287, the realized losses recognized from this sale were immaterial and were recorded in the consolidated statements of income.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September 30, 2019</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2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4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Losses</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$ 69,370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$ 69,370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3"/>
          </w:tcPr>
          <w:p>
            <w:pPr>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$ 69,370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$ 69,370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660" w:hanging="436"/>
        <w:spacing w:after="0" w:line="312" w:lineRule="auto"/>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2019, all the securities were classified as cash and cash equivalents.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1"/>
              </w:rPr>
              <w:t>As of September 30, 2018</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4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16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6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Losses</w:t>
            </w:r>
          </w:p>
        </w:tc>
        <w:tc>
          <w:tcPr>
            <w:tcW w:w="4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48,252</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Money market funds</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U.S. agency securities</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Supranational and sovereign debt</w:t>
            </w:r>
          </w:p>
        </w:tc>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Total(1)</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132,908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40" w:type="dxa"/>
            <w:vAlign w:val="bottom"/>
            <w:gridSpan w:val="2"/>
          </w:tcPr>
          <w:p>
            <w:pPr>
              <w:jc w:val="right"/>
              <w:ind w:right="1167"/>
              <w:spacing w:after="0"/>
              <w:rPr>
                <w:sz w:val="20"/>
                <w:szCs w:val="20"/>
                <w:color w:val="auto"/>
              </w:rPr>
            </w:pPr>
            <w:r>
              <w:rPr>
                <w:rFonts w:ascii="Arial" w:cs="Arial" w:eastAsia="Arial" w:hAnsi="Arial"/>
                <w:sz w:val="18"/>
                <w:szCs w:val="18"/>
                <w:color w:val="auto"/>
              </w:rPr>
              <w:t>F-27</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245745</wp:posOffset>
            </wp:positionV>
            <wp:extent cx="7632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right="460" w:hanging="436"/>
        <w:spacing w:after="0" w:line="279" w:lineRule="auto"/>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2018, $100,433 of securities were classified as short-term interest-bearing investments and $30,883 of securities were classified as cash and cash equivalents.</w:t>
      </w:r>
    </w:p>
    <w:p>
      <w:pPr>
        <w:spacing w:after="0" w:line="17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As of September 30, 2019,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fiscal years 2019, 2018 and 2017.</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the Company’s available-for-sale securities had the following maturity dates: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3460" w:type="dxa"/>
            <w:vAlign w:val="bottom"/>
            <w:gridSpan w:val="3"/>
          </w:tcPr>
          <w:p>
            <w:pPr>
              <w:ind w:left="2560"/>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69,370</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$11,373 as of September 30, 2019. The Company has limited its credit risk by entering into derivative transactions exclusively with investment-grade rated financial institutions and monitors the creditworthiness of these financial institutions on an ongoing basis.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2019. Notional values are in U.S. dollars and are translated and calculated based on forward rates as of September 30, 2019 for forward contracts, and based on spot rates as of September 30, 2019 for options.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280" w:type="dxa"/>
            <w:vAlign w:val="bottom"/>
            <w:gridSpan w:val="3"/>
          </w:tcPr>
          <w:p>
            <w:pPr>
              <w:ind w:left="224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1,103,169</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40" w:hanging="436"/>
        <w:spacing w:after="0" w:line="27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see Note 5 to the consolidated financial statements. The fair value of the open foreign exchange contracts recorded as an asset or a liability by the Company on its consolidated balance sheets as of September 30, 2019 and September 30, 2018, is as follows: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Derivatives designated as hedging instruments</w:t>
            </w: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$ 9,344</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200" w:type="dxa"/>
            <w:vAlign w:val="bottom"/>
            <w:gridSpan w:val="3"/>
          </w:tcPr>
          <w:p>
            <w:pPr>
              <w:jc w:val="right"/>
              <w:ind w:right="280"/>
              <w:spacing w:after="0"/>
              <w:rPr>
                <w:sz w:val="20"/>
                <w:szCs w:val="20"/>
                <w:color w:val="auto"/>
              </w:rPr>
            </w:pPr>
            <w:r>
              <w:rPr>
                <w:rFonts w:ascii="Arial" w:cs="Arial" w:eastAsia="Arial" w:hAnsi="Arial"/>
                <w:sz w:val="18"/>
                <w:szCs w:val="18"/>
                <w:color w:val="auto"/>
              </w:rPr>
              <w:t>(2,977)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(17,681)</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(10,030)</w:t>
            </w: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(27,465)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5,086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(2,076)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(3,135)</w:t>
            </w: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$ 7,890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(27,842)</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September 30, 2019 is scheduled to mature within the next 12 months.</w:t>
      </w:r>
    </w:p>
    <w:p>
      <w:pPr>
        <w:spacing w:after="0" w:line="15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(loss),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2019, 2018 and 2017, respectively, which partially offsets the foreign currency impact from the underlying exposures, is summarized as follows:</w:t>
      </w:r>
    </w:p>
    <w:p>
      <w:pPr>
        <w:spacing w:after="0" w:line="143"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(Losses) Gains Reclassified from</w:t>
      </w:r>
    </w:p>
    <w:p>
      <w:pPr>
        <w:jc w:val="center"/>
        <w:ind w:left="6240"/>
        <w:spacing w:after="0" w:line="226" w:lineRule="auto"/>
        <w:rPr>
          <w:sz w:val="20"/>
          <w:szCs w:val="20"/>
          <w:color w:val="auto"/>
        </w:rPr>
      </w:pPr>
      <w:r>
        <w:rPr>
          <w:rFonts w:ascii="Arial" w:cs="Arial" w:eastAsia="Arial" w:hAnsi="Arial"/>
          <w:sz w:val="14"/>
          <w:szCs w:val="14"/>
          <w:b w:val="1"/>
          <w:bCs w:val="1"/>
          <w:color w:val="auto"/>
        </w:rPr>
        <w:t>Other Comprehensive Income (Loss)</w:t>
      </w:r>
    </w:p>
    <w:p>
      <w:pPr>
        <w:jc w:val="center"/>
        <w:ind w:left="6240"/>
        <w:spacing w:after="0" w:line="222" w:lineRule="auto"/>
        <w:rPr>
          <w:sz w:val="20"/>
          <w:szCs w:val="20"/>
          <w:color w:val="auto"/>
        </w:rPr>
      </w:pPr>
      <w:r>
        <w:rPr>
          <w:rFonts w:ascii="Arial" w:cs="Arial" w:eastAsia="Arial" w:hAnsi="Arial"/>
          <w:sz w:val="14"/>
          <w:szCs w:val="14"/>
          <w:b w:val="1"/>
          <w:bCs w:val="1"/>
          <w:color w:val="auto"/>
        </w:rPr>
        <w:t>(Effective Portion)</w:t>
      </w:r>
    </w:p>
    <w:p>
      <w:pPr>
        <w:jc w:val="center"/>
        <w:ind w:left="6240"/>
        <w:spacing w:after="0" w:line="231" w:lineRule="auto"/>
        <w:rPr>
          <w:sz w:val="20"/>
          <w:szCs w:val="20"/>
          <w:color w:val="auto"/>
        </w:rPr>
      </w:pPr>
      <w:r>
        <w:rPr>
          <w:rFonts w:ascii="Arial" w:cs="Arial" w:eastAsia="Arial" w:hAnsi="Arial"/>
          <w:sz w:val="14"/>
          <w:szCs w:val="14"/>
          <w:b w:val="1"/>
          <w:bCs w:val="1"/>
          <w:color w:val="auto"/>
        </w:rPr>
        <w:t>Year Ended September 30,</w:t>
      </w:r>
    </w:p>
    <w:tbl>
      <w:tblPr>
        <w:tblLayout w:type="fixed"/>
        <w:tblInd w:w="1080" w:type="dxa"/>
        <w:tblCellMar>
          <w:top w:w="0" w:type="dxa"/>
          <w:left w:w="0" w:type="dxa"/>
          <w:bottom w:w="0" w:type="dxa"/>
          <w:right w:w="0" w:type="dxa"/>
        </w:tblCellMar>
      </w:tblP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Revenue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 (1,129)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(1,021)</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(8,627)</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15,877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21,783</w:t>
            </w: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(2,059)</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3,127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(2,309)</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3,462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(12,976</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21,337</w:t>
            </w:r>
          </w:p>
        </w:tc>
        <w:tc>
          <w:tcPr>
            <w:tcW w:w="4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$ 28,349</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activity related to the changes in net unrealized gains (losses) on cash flow hedges recorded in accumulated other comprehensive (loss)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net of tax, is as follows: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82"/>
        </w:trPr>
        <w:tc>
          <w:tcPr>
            <w:tcW w:w="60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unrealized (loss) gain on cash flow hedges, net of tax, beginning of</w:t>
            </w: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(26,608)</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$ 24,508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$ 12,514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19,228</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(31,908)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36,765</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loss (gain) into earnings, net of tax</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11,325</w:t>
            </w:r>
          </w:p>
        </w:tc>
        <w:tc>
          <w:tcPr>
            <w:tcW w:w="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(19,208)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(24,771)</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unrealized gain (loss) on cash flow hedges, net of tax,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(26,608</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$ 24,508</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Net unrealized gain (loss) from cash flow hedges recognized in other comprehensive income (loss) were $20,035, $(34,260) and $39,692, or $19,228, $(31,908) and $36,765, net of taxes, during the fiscal years ended September 30, 2019, 2018 and 2017, respectively.</w:t>
      </w:r>
    </w:p>
    <w:p>
      <w:pPr>
        <w:spacing w:after="0" w:line="14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Of the net gains related to derivatives designated as cash flow hedges and recorded in accumulated other comprehensive (loss) income as of September 30, 2019, a net gain of $5,085 will be reclassified into earnings during fiscal 2020 and will partially offset the foreign currency impact from the underlying exposures. The amount ultimately realized in earnings will likely differ due to future changes in foreign exchange rates.</w:t>
      </w:r>
    </w:p>
    <w:p>
      <w:pPr>
        <w:spacing w:after="0" w:line="14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2019, 2018 and 2017, was not material.</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80"/>
          </w:cols>
          <w:pgMar w:left="240" w:top="459" w:right="5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2019, 2018 and 2017, respectively, which partially offsets the foreign currency impact from the underlying exposure, is summarized as follows: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jc w:val="center"/>
              <w:ind w:left="195"/>
              <w:spacing w:after="0"/>
              <w:rPr>
                <w:sz w:val="20"/>
                <w:szCs w:val="20"/>
                <w:color w:val="auto"/>
              </w:rPr>
            </w:pPr>
            <w:r>
              <w:rPr>
                <w:rFonts w:ascii="Arial" w:cs="Arial" w:eastAsia="Arial" w:hAnsi="Arial"/>
                <w:sz w:val="14"/>
                <w:szCs w:val="14"/>
                <w:b w:val="1"/>
                <w:bCs w:val="1"/>
                <w:color w:val="auto"/>
                <w:w w:val="89"/>
              </w:rPr>
              <w:t>Gains (Losses)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Income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10"/>
          </w:tcPr>
          <w:p>
            <w:pPr>
              <w:jc w:val="center"/>
              <w:ind w:right="600"/>
              <w:spacing w:after="0"/>
              <w:rPr>
                <w:sz w:val="20"/>
                <w:szCs w:val="20"/>
                <w:color w:val="auto"/>
              </w:rPr>
            </w:pPr>
            <w:r>
              <w:rPr>
                <w:rFonts w:ascii="Arial" w:cs="Arial" w:eastAsia="Arial" w:hAnsi="Arial"/>
                <w:sz w:val="14"/>
                <w:szCs w:val="14"/>
                <w:b w:val="1"/>
                <w:bCs w:val="1"/>
                <w:color w:val="auto"/>
                <w:w w:val="92"/>
              </w:rPr>
              <w:t>Year Ended 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1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  401</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$(4,577)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(expense), net</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2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7,038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(10,514)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5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6,026</w:t>
            </w:r>
          </w:p>
        </w:tc>
        <w:tc>
          <w:tcPr>
            <w:tcW w:w="12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$ 2,356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Property and Equipment, Net</w:t>
            </w:r>
          </w:p>
        </w:tc>
        <w:tc>
          <w:tcPr>
            <w:tcW w:w="1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0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gridSpan w:val="2"/>
          </w:tcPr>
          <w:p>
            <w:pPr>
              <w:ind w:left="440"/>
              <w:spacing w:after="0"/>
              <w:rPr>
                <w:sz w:val="20"/>
                <w:szCs w:val="20"/>
                <w:color w:val="auto"/>
              </w:rPr>
            </w:pPr>
            <w:r>
              <w:rPr>
                <w:rFonts w:ascii="Arial" w:cs="Arial" w:eastAsia="Arial" w:hAnsi="Arial"/>
                <w:sz w:val="18"/>
                <w:szCs w:val="18"/>
                <w:color w:val="auto"/>
              </w:rPr>
              <w:t>The components of property and equipment, net are:</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Computers, related equipment and software</w:t>
            </w:r>
          </w:p>
        </w:tc>
        <w:tc>
          <w:tcPr>
            <w:tcW w:w="2060" w:type="dxa"/>
            <w:vAlign w:val="bottom"/>
            <w:tcBorders>
              <w:right w:val="single" w:sz="8" w:color="CCEEFF"/>
            </w:tcBorders>
            <w:gridSpan w:val="2"/>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$1,109,465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$1,027,825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Building and land</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109,446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230,817</w:t>
            </w:r>
          </w:p>
        </w:tc>
        <w:tc>
          <w:tcPr>
            <w:tcW w:w="2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222,812</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Furniture, fixtures and other</w:t>
            </w:r>
          </w:p>
        </w:tc>
        <w:tc>
          <w:tcPr>
            <w:tcW w:w="1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47,813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43,518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5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1,497,541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1,391,937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(972,227)</w:t>
            </w:r>
          </w:p>
        </w:tc>
        <w:tc>
          <w:tcPr>
            <w:tcW w:w="280" w:type="dxa"/>
            <w:vAlign w:val="bottom"/>
          </w:tcPr>
          <w:p>
            <w:pPr>
              <w:spacing w:after="0"/>
              <w:rPr>
                <w:sz w:val="18"/>
                <w:szCs w:val="18"/>
                <w:color w:val="auto"/>
              </w:rPr>
            </w:pP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(895,352)</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525,314</w:t>
            </w:r>
          </w:p>
        </w:tc>
        <w:tc>
          <w:tcPr>
            <w:tcW w:w="2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8"/>
              </w:rPr>
              <w:t>$  496,585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depreciation expense for fiscal years 2019, 2018 and 2017, was $111,387, $105,439 and $105,027, respectively.</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of September 30, 2019 and 2018, the costs, net of accumulated depreciation of software assets developed for internal use were $171,331 and $152,366, respectively, and are presented under Computer equipment in the table above.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fiscal year 2018, the Company purchased a land and capitalized costs related to the new building, see also Note 2.</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9" w:right="4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838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tcPr>
          <w:p>
            <w:pPr>
              <w:jc w:val="center"/>
              <w:ind w:left="990"/>
              <w:spacing w:after="0"/>
              <w:rPr>
                <w:sz w:val="20"/>
                <w:szCs w:val="20"/>
                <w:color w:val="auto"/>
              </w:rPr>
            </w:pPr>
            <w:r>
              <w:rPr>
                <w:rFonts w:ascii="Arial" w:cs="Arial" w:eastAsia="Arial" w:hAnsi="Arial"/>
                <w:sz w:val="18"/>
                <w:szCs w:val="18"/>
                <w:b w:val="1"/>
                <w:bCs w:val="1"/>
                <w:color w:val="auto"/>
              </w:rPr>
              <w:t>AMDOCS LIMITED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tcPr>
          <w:p>
            <w:pPr>
              <w:jc w:val="center"/>
              <w:ind w:left="97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0" w:type="dxa"/>
            <w:vAlign w:val="bottom"/>
          </w:tcPr>
          <w:p>
            <w:pPr>
              <w:jc w:val="center"/>
              <w:ind w:left="990"/>
              <w:spacing w:after="0"/>
              <w:rPr>
                <w:sz w:val="20"/>
                <w:szCs w:val="20"/>
                <w:color w:val="auto"/>
              </w:rPr>
            </w:pPr>
            <w:r>
              <w:rPr>
                <w:rFonts w:ascii="Arial" w:cs="Arial" w:eastAsia="Arial" w:hAnsi="Arial"/>
                <w:sz w:val="18"/>
                <w:szCs w:val="18"/>
                <w:b w:val="1"/>
                <w:bCs w:val="1"/>
                <w:color w:val="auto"/>
                <w:w w:val="89"/>
              </w:rPr>
              <w:t>(dollar and share amounts in thousands, except per share data)</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80" w:type="dxa"/>
            <w:vAlign w:val="bottom"/>
            <w:gridSpan w:val="5"/>
          </w:tcPr>
          <w:p>
            <w:pPr>
              <w:ind w:left="200"/>
              <w:spacing w:after="0"/>
              <w:rPr>
                <w:sz w:val="20"/>
                <w:szCs w:val="20"/>
                <w:color w:val="auto"/>
              </w:rPr>
            </w:pPr>
            <w:r>
              <w:rPr>
                <w:rFonts w:ascii="Arial" w:cs="Arial" w:eastAsia="Arial" w:hAnsi="Arial"/>
                <w:sz w:val="18"/>
                <w:szCs w:val="18"/>
                <w:b w:val="1"/>
                <w:bCs w:val="1"/>
                <w:color w:val="auto"/>
              </w:rPr>
              <w:t>Note 9 — Goodwill and Intangible Assets, Net</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8160" w:type="dxa"/>
            <w:vAlign w:val="bottom"/>
            <w:gridSpan w:val="4"/>
          </w:tcPr>
          <w:p>
            <w:pPr>
              <w:ind w:left="42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6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 of October 1, 2017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$ 2,221,209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 resulting from acquisitions(1)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227,283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960" w:type="dxa"/>
            <w:vAlign w:val="bottom"/>
            <w:gridSpan w:val="2"/>
          </w:tcPr>
          <w:p>
            <w:pPr>
              <w:ind w:left="560"/>
              <w:spacing w:after="0"/>
              <w:rPr>
                <w:sz w:val="20"/>
                <w:szCs w:val="20"/>
                <w:color w:val="auto"/>
              </w:rPr>
            </w:pPr>
            <w:r>
              <w:rPr>
                <w:rFonts w:ascii="Arial" w:cs="Arial" w:eastAsia="Arial" w:hAnsi="Arial"/>
                <w:sz w:val="18"/>
                <w:szCs w:val="18"/>
                <w:color w:val="auto"/>
              </w:rPr>
              <w:t>As of September 30, 2018</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$ 2,444,895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 resulting from acquisitions(2)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$ 2,462,835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40" w:hanging="436"/>
        <w:spacing w:after="0" w:line="25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Mainly relates to the acquisitions of Vubiquity, projekt202 and UXP. In allocating the total purchase price for Vubiquity, based on estimated fair values, the Company recorded $148,184 of goodwill, $38,630 of customer relationships to be amortized over approximately nine years, $45,692 of core technology to be amortized over approximately five years, $10,104 of trade mark to be amortized over eight years. In allocating the total purchase price of projekt202, based on estimated fair values, the Company recorded $34,390 of goodwill and $19,835 of customer relationships to be amortized over four years. In allocating the total purchase price of UXP, based on estimated fair values, the Company recorded $40,629 of goodwill, $31,552 of core technology to be amortized over five years and $6,552 of customer relationships to be amortized over approximately five years.</w:t>
      </w:r>
    </w:p>
    <w:p>
      <w:pPr>
        <w:spacing w:after="0" w:line="5" w:lineRule="exact"/>
        <w:rPr>
          <w:rFonts w:ascii="Arial" w:cs="Arial" w:eastAsia="Arial" w:hAnsi="Arial"/>
          <w:sz w:val="18"/>
          <w:szCs w:val="18"/>
          <w:color w:val="auto"/>
        </w:rPr>
      </w:pPr>
    </w:p>
    <w:p>
      <w:pPr>
        <w:ind w:left="640" w:right="60" w:hanging="436"/>
        <w:spacing w:after="0" w:line="255"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Mainly relates to the acquisitions of TTS. In allocating the total preliminary purchase price for TTS, based on estimated fair values, the Company recorded $10,032 of goodwill, $29,500 of customer relationships to be amortized over approximately six years, $2,100 of core technology to be amortized over approximately six years and $1,300 of trade mark to be amortized over four years.</w:t>
      </w:r>
    </w:p>
    <w:p>
      <w:pPr>
        <w:spacing w:after="0" w:line="19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years 2019, 2018 or 2017.</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80"/>
          </w:cols>
          <w:pgMar w:left="240" w:top="446"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5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2019</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Core technology(1)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775,479</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(690,961)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84,518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594,555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(483,313)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111,242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44,946</w:t>
            </w:r>
          </w:p>
        </w:tc>
        <w:tc>
          <w:tcPr>
            <w:tcW w:w="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(35,544)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1,414,980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(1,209,818)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ind w:left="860"/>
              <w:spacing w:after="0"/>
              <w:rPr>
                <w:sz w:val="20"/>
                <w:szCs w:val="20"/>
                <w:color w:val="auto"/>
              </w:rPr>
            </w:pPr>
            <w:r>
              <w:rPr>
                <w:rFonts w:ascii="Arial" w:cs="Arial" w:eastAsia="Arial" w:hAnsi="Arial"/>
                <w:sz w:val="18"/>
                <w:szCs w:val="18"/>
                <w:b w:val="1"/>
                <w:bCs w:val="1"/>
                <w:color w:val="auto"/>
              </w:rPr>
              <w:t>September 30, 2018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Core technology(1)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773,380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(628,932)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563,656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(453,137)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110,519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43,646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10,282</w:t>
            </w:r>
          </w:p>
        </w:tc>
        <w:tc>
          <w:tcPr>
            <w:tcW w:w="0" w:type="dxa"/>
            <w:vAlign w:val="bottom"/>
          </w:tcPr>
          <w:p>
            <w:pPr>
              <w:spacing w:after="0"/>
              <w:rPr>
                <w:sz w:val="1"/>
                <w:szCs w:val="1"/>
                <w:color w:val="auto"/>
              </w:rPr>
            </w:pPr>
          </w:p>
        </w:tc>
      </w:tr>
      <w:tr>
        <w:trPr>
          <w:trHeight w:val="223"/>
        </w:trPr>
        <w:tc>
          <w:tcPr>
            <w:tcW w:w="6500" w:type="dxa"/>
            <w:vAlign w:val="bottom"/>
            <w:gridSpan w:val="3"/>
          </w:tcPr>
          <w:p>
            <w:pPr>
              <w:ind w:left="8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1,380,682</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(1,115,433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265,249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line="264"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previously presented separately as Intellectual property rights and purchased computer software are included in Core Technology as the nature of the intangible is consistent with the Core technology category. The asset was fully amortized as of 2019 and 2018, and consisted of gross asset of $51,996 and accumulated amortization of $51,996.</w:t>
      </w:r>
    </w:p>
    <w:p>
      <w:pPr>
        <w:spacing w:after="0" w:line="18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table presents the amortization expense of the Company’s definite-lived purchased intangible assets, included in each financial statement caption reported in the consolidated statements of income:</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 Ended September 30,</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Amortization of definite-lived purchased intangible assets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94,205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105,213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94,385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105,785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2019 is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196"/>
        </w:trPr>
        <w:tc>
          <w:tcPr>
            <w:tcW w:w="2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4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2020</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70,138</w:t>
            </w:r>
          </w:p>
        </w:tc>
        <w:tc>
          <w:tcPr>
            <w:tcW w:w="6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47,114</w:t>
            </w:r>
          </w:p>
        </w:tc>
        <w:tc>
          <w:tcPr>
            <w:tcW w:w="6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2022</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34,940</w:t>
            </w:r>
          </w:p>
        </w:tc>
        <w:tc>
          <w:tcPr>
            <w:tcW w:w="6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18,904</w:t>
            </w:r>
          </w:p>
        </w:tc>
        <w:tc>
          <w:tcPr>
            <w:tcW w:w="6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2024</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11,186</w:t>
            </w:r>
          </w:p>
        </w:tc>
        <w:tc>
          <w:tcPr>
            <w:tcW w:w="6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22,880</w:t>
            </w:r>
          </w:p>
        </w:tc>
        <w:tc>
          <w:tcPr>
            <w:tcW w:w="60" w:type="dxa"/>
            <w:vAlign w:val="bottom"/>
            <w:shd w:val="clear" w:color="auto" w:fill="CCEEFF"/>
          </w:tcPr>
          <w:p>
            <w:pPr>
              <w:spacing w:after="0"/>
              <w:rPr>
                <w:sz w:val="18"/>
                <w:szCs w:val="18"/>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Total</w:t>
            </w:r>
          </w:p>
        </w:tc>
        <w:tc>
          <w:tcPr>
            <w:tcW w:w="45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205,162</w:t>
            </w:r>
          </w:p>
        </w:tc>
        <w:tc>
          <w:tcPr>
            <w:tcW w:w="6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220" w:type="dxa"/>
            <w:vAlign w:val="bottom"/>
          </w:tcPr>
          <w:p>
            <w:pPr>
              <w:spacing w:after="0"/>
              <w:rPr>
                <w:sz w:val="24"/>
                <w:szCs w:val="24"/>
                <w:color w:val="auto"/>
              </w:rPr>
            </w:pPr>
          </w:p>
        </w:tc>
        <w:tc>
          <w:tcPr>
            <w:tcW w:w="4580" w:type="dxa"/>
            <w:vAlign w:val="bottom"/>
            <w:gridSpan w:val="2"/>
          </w:tcPr>
          <w:p>
            <w:pPr>
              <w:jc w:val="right"/>
              <w:ind w:right="2825"/>
              <w:spacing w:after="0"/>
              <w:rPr>
                <w:sz w:val="20"/>
                <w:szCs w:val="20"/>
                <w:color w:val="auto"/>
              </w:rPr>
            </w:pPr>
            <w:r>
              <w:rPr>
                <w:rFonts w:ascii="Arial" w:cs="Arial" w:eastAsia="Arial" w:hAnsi="Arial"/>
                <w:sz w:val="18"/>
                <w:szCs w:val="18"/>
                <w:color w:val="auto"/>
              </w:rPr>
              <w:t>F-33</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 — Non-recurring charges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During fiscal year 2018 the Company incurred non-recurring charges of a loss incurred to settle a long-running legal dispute in total amount of $55,000 including legal costs and also incurred restructuring charges of $30,057 primarily related to employee severance expenses. During fiscal year 2019 the Company paid the settlement amount of $50,000 and $5,000 in legal and other fees. During fiscal year 2019 and 2018 the Company paid most of the restructuring charges, and the remaining amount will be paid over the next several quarters.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 —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102,391</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$42,047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$69,535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(13,950)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25,098</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88,441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67,145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Company maintained a tax receivable balance of $53,143 and $55,198 as of September 30, 2019 and 2018, respectively, which is included in Prepaid expenses and other current assets.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24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10"/>
          </w:tcPr>
          <w:p>
            <w:pPr>
              <w:jc w:val="right"/>
              <w:ind w:right="10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30,659</w:t>
            </w: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30,596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76,327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72,218</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Intangible assets, computer software and intellectual property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11,805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9,793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 net capital and operating loss carryforwards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153,062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184,450</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73,249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345,102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346,789</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Valuation allowances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(85,533)</w:t>
            </w: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(112,727)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 net</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259,569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234,062</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380" w:type="dxa"/>
            <w:vAlign w:val="bottom"/>
            <w:gridSpan w:val="2"/>
          </w:tcPr>
          <w:p>
            <w:pPr>
              <w:ind w:left="44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Anticipated withholdings on subsidiaries’ earnings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(70,961)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(68,394)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Intangible assets, computer software and intellectual property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(104,926)</w:t>
            </w:r>
          </w:p>
        </w:tc>
        <w:tc>
          <w:tcPr>
            <w:tcW w:w="1320" w:type="dxa"/>
            <w:vAlign w:val="bottom"/>
            <w:gridSpan w:val="6"/>
          </w:tcPr>
          <w:p>
            <w:pPr>
              <w:jc w:val="right"/>
              <w:spacing w:after="0"/>
              <w:rPr>
                <w:sz w:val="20"/>
                <w:szCs w:val="20"/>
                <w:color w:val="auto"/>
              </w:rPr>
            </w:pPr>
            <w:r>
              <w:rPr>
                <w:rFonts w:ascii="Arial" w:cs="Arial" w:eastAsia="Arial" w:hAnsi="Arial"/>
                <w:sz w:val="18"/>
                <w:szCs w:val="18"/>
                <w:color w:val="auto"/>
              </w:rPr>
              <w:t>(114,094)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(81,736)</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(31,750)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(257,623</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(214,238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19,824</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The effective income tax rate varied from the statutory Guernsey tax rate as follows:</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w w:val="96"/>
              </w:rPr>
              <w:t>Year Ended 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5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Foreign taxes(1)</w:t>
            </w: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gridSpan w:val="4"/>
            <w:shd w:val="clear" w:color="auto" w:fill="CCEEFF"/>
          </w:tcPr>
          <w:p>
            <w:pPr>
              <w:jc w:val="right"/>
              <w:ind w:right="288"/>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1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income before income tax expense is considered to be foreign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7632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Foreign taxes for the year ended Sep 30, 2019:</w:t>
      </w:r>
    </w:p>
    <w:p>
      <w:pPr>
        <w:spacing w:after="0" w:line="117" w:lineRule="exact"/>
        <w:rPr>
          <w:sz w:val="20"/>
          <w:szCs w:val="20"/>
          <w:color w:val="auto"/>
        </w:rPr>
      </w:pPr>
    </w:p>
    <w:p>
      <w:pPr>
        <w:ind w:left="640" w:firstLine="423"/>
        <w:spacing w:after="0" w:line="264" w:lineRule="auto"/>
        <w:rPr>
          <w:sz w:val="20"/>
          <w:szCs w:val="20"/>
          <w:color w:val="auto"/>
        </w:rPr>
      </w:pPr>
      <w:r>
        <w:rPr>
          <w:rFonts w:ascii="Arial" w:cs="Arial" w:eastAsia="Arial" w:hAnsi="Arial"/>
          <w:sz w:val="18"/>
          <w:szCs w:val="18"/>
          <w:color w:val="auto"/>
        </w:rPr>
        <w:t>In fiscal year 2019, foreign taxes included a benefit of $26,529 that was primarily attributable to the expiration of the periods set forth in statutes of limitations and to a lesser extent from the conclusions of tax audits related to unrecognized tax benefits accumulated over several years in certain jurisdictions.</w:t>
      </w:r>
    </w:p>
    <w:p>
      <w:pPr>
        <w:spacing w:after="0" w:line="181" w:lineRule="exact"/>
        <w:rPr>
          <w:sz w:val="20"/>
          <w:szCs w:val="20"/>
          <w:color w:val="auto"/>
        </w:rPr>
      </w:pPr>
    </w:p>
    <w:p>
      <w:pPr>
        <w:jc w:val="both"/>
        <w:ind w:left="640" w:right="20" w:firstLine="423"/>
        <w:spacing w:after="0" w:line="342" w:lineRule="auto"/>
        <w:rPr>
          <w:sz w:val="20"/>
          <w:szCs w:val="20"/>
          <w:color w:val="auto"/>
        </w:rPr>
      </w:pPr>
      <w:r>
        <w:rPr>
          <w:rFonts w:ascii="Arial" w:cs="Arial" w:eastAsia="Arial" w:hAnsi="Arial"/>
          <w:sz w:val="16"/>
          <w:szCs w:val="16"/>
          <w:color w:val="auto"/>
        </w:rPr>
        <w:t>Foreign taxes in fiscal year 2019 also included a benefit of $12,650 resulting from the release of valuation allowances on deferred tax assets at certain of the Company’s subsidiaries, which will, more likely than not, be realized due to the Company’s projections of future taxable income.</w:t>
      </w:r>
    </w:p>
    <w:p>
      <w:pPr>
        <w:spacing w:after="0" w:line="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60"/>
          </w:cols>
          <w:pgMar w:left="24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taxes for the year ended Sep 30, 2018:</w:t>
      </w:r>
    </w:p>
    <w:p>
      <w:pPr>
        <w:spacing w:after="0" w:line="117" w:lineRule="exact"/>
        <w:rPr>
          <w:sz w:val="20"/>
          <w:szCs w:val="20"/>
          <w:color w:val="auto"/>
        </w:rPr>
      </w:pPr>
    </w:p>
    <w:p>
      <w:pPr>
        <w:ind w:left="640" w:right="120" w:firstLine="423"/>
        <w:spacing w:after="0" w:line="273" w:lineRule="auto"/>
        <w:rPr>
          <w:sz w:val="20"/>
          <w:szCs w:val="20"/>
          <w:color w:val="auto"/>
        </w:rPr>
      </w:pPr>
      <w:r>
        <w:rPr>
          <w:rFonts w:ascii="Arial" w:cs="Arial" w:eastAsia="Arial" w:hAnsi="Arial"/>
          <w:sz w:val="17"/>
          <w:szCs w:val="17"/>
          <w:color w:val="auto"/>
        </w:rPr>
        <w:t>In fiscal year 2018, foreign taxes included a benefit of $9,564 due to conclusions of tax audits in certain jurisdictions, which resulted in an increase to the Company’s tax credits carryforwards and a reduction to the Company’s provision for gross unrecognized tax benefits. In addition, foreign taxes in fiscal year 2018 included a benefit of $18,022 that was attributable to the expiration of the periods set forth in statutes of limitations related to unrecognized tax benefits accumulated over several years in certain jurisdictions. Foreign taxes in fiscal year 2018 also included a tax expenses of $12,032 resulting from the creation of valuation allowances on deferred tax assets at certain of the Company’s subsidiaries, which may not be realized based on the Company’s projections of future taxable income.</w:t>
      </w:r>
    </w:p>
    <w:p>
      <w:pPr>
        <w:spacing w:after="0" w:line="178" w:lineRule="exact"/>
        <w:rPr>
          <w:sz w:val="20"/>
          <w:szCs w:val="20"/>
          <w:color w:val="auto"/>
        </w:rPr>
      </w:pPr>
    </w:p>
    <w:p>
      <w:pPr>
        <w:ind w:left="640" w:right="320" w:firstLine="423"/>
        <w:spacing w:after="0" w:line="259" w:lineRule="auto"/>
        <w:rPr>
          <w:sz w:val="20"/>
          <w:szCs w:val="20"/>
          <w:color w:val="auto"/>
        </w:rPr>
      </w:pPr>
      <w:r>
        <w:rPr>
          <w:rFonts w:ascii="Arial" w:cs="Arial" w:eastAsia="Arial" w:hAnsi="Arial"/>
          <w:sz w:val="18"/>
          <w:szCs w:val="18"/>
          <w:color w:val="auto"/>
        </w:rPr>
        <w:t>In addition, foreign taxes in fiscal year 2018 included a provisional expense of $2,321 relating to changes in tax law in the United States pursuant to SAB No. 118 (see Note 2). The provisional expense is attributable to deemed repatriation of foreign income partially offset by a benefit resulting from the re-evaluation of the Company’s deferred tax assets and liabilities due to the expected lower blended effective U.S. federal tax rate when the assets and liabilities are expected to be utilized.</w:t>
      </w:r>
    </w:p>
    <w:p>
      <w:pPr>
        <w:spacing w:after="0" w:line="187" w:lineRule="exact"/>
        <w:rPr>
          <w:sz w:val="20"/>
          <w:szCs w:val="20"/>
          <w:color w:val="auto"/>
        </w:rPr>
      </w:pPr>
    </w:p>
    <w:p>
      <w:pPr>
        <w:ind w:left="640" w:right="100" w:firstLine="423"/>
        <w:spacing w:after="0" w:line="264" w:lineRule="auto"/>
        <w:rPr>
          <w:sz w:val="20"/>
          <w:szCs w:val="20"/>
          <w:color w:val="auto"/>
        </w:rPr>
      </w:pPr>
      <w:r>
        <w:rPr>
          <w:rFonts w:ascii="Arial" w:cs="Arial" w:eastAsia="Arial" w:hAnsi="Arial"/>
          <w:sz w:val="18"/>
          <w:szCs w:val="18"/>
          <w:color w:val="auto"/>
        </w:rPr>
        <w:t>As an indirect consequence to the changes in tax law in the United States the Company no longer makes a permanently reinvest assertion relating to one of its subsidiaries, therefore, a provisional tax liability of $4,059 was recorded related to the tax implications of remitting earnings that were previously asserted as permanently reinvested.</w:t>
      </w:r>
    </w:p>
    <w:p>
      <w:pPr>
        <w:spacing w:after="0" w:line="181" w:lineRule="exact"/>
        <w:rPr>
          <w:sz w:val="20"/>
          <w:szCs w:val="20"/>
          <w:color w:val="auto"/>
        </w:rPr>
      </w:pPr>
    </w:p>
    <w:p>
      <w:pPr>
        <w:ind w:left="640" w:right="260" w:firstLine="423"/>
        <w:spacing w:after="0" w:line="308" w:lineRule="auto"/>
        <w:rPr>
          <w:sz w:val="20"/>
          <w:szCs w:val="20"/>
          <w:color w:val="auto"/>
        </w:rPr>
      </w:pPr>
      <w:r>
        <w:rPr>
          <w:rFonts w:ascii="Arial" w:cs="Arial" w:eastAsia="Arial" w:hAnsi="Arial"/>
          <w:sz w:val="17"/>
          <w:szCs w:val="17"/>
          <w:color w:val="auto"/>
        </w:rPr>
        <w:t>During fiscal year 2018, as a result of funding decisions for the construction of the Company’s new campus in Israel, see also Note 2, the Company recorded a tax benefit of $28,795 related to the release of withholding and income tax reserves for unremitted earnings.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fiscal year 2019, the net decrease in valuation allowances was $27,194. The valuation allowances, related to the uncertainty of realizing tax benefits primarily for tax credits, net capital and operating loss carryforwards related to certain of the Company’s subsidiaries. As of September 30, 2019, the Company had tax credits, net capital and operating loss carryforwards of $797,091 of which $244,711 have expiration dates through 2039, and the remainder do not expire.</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During fiscal year 2018, the net increase in valuation allowances was $18,154, which related to the uncertainty of realizing tax benefits primarily for tax credits, net capital and operating loss carryforwards related to certain of the Company’s subsidiaries. As of September 30, 2018, the Company had tax credits, net capital and operating loss carryforwards of $894,997 of which $322,816 have expiration dates through 2038, and the remainder do not expire.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1"/>
              </w:rPr>
              <w:t>Year Ended 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860" w:type="dxa"/>
            <w:vAlign w:val="bottom"/>
          </w:tcPr>
          <w:p>
            <w:pPr>
              <w:spacing w:after="0"/>
              <w:rPr>
                <w:sz w:val="18"/>
                <w:szCs w:val="18"/>
                <w:color w:val="auto"/>
              </w:rPr>
            </w:pPr>
          </w:p>
        </w:tc>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$187,646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$193,024</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$196,668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19,530</w:t>
            </w:r>
          </w:p>
        </w:tc>
        <w:tc>
          <w:tcPr>
            <w:tcW w:w="60" w:type="dxa"/>
            <w:vAlign w:val="bottom"/>
          </w:tcPr>
          <w:p>
            <w:pPr>
              <w:spacing w:after="0"/>
              <w:rPr>
                <w:sz w:val="18"/>
                <w:szCs w:val="18"/>
                <w:color w:val="auto"/>
              </w:rPr>
            </w:pP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20,329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22,319</w:t>
            </w:r>
          </w:p>
        </w:tc>
      </w:tr>
      <w:tr>
        <w:trPr>
          <w:trHeight w:val="216"/>
        </w:trPr>
        <w:tc>
          <w:tcPr>
            <w:tcW w:w="86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(reduction) for tax positions of prior years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24,980</w:t>
            </w:r>
          </w:p>
        </w:tc>
        <w:tc>
          <w:tcPr>
            <w:tcW w:w="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(3,805)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12,261</w:t>
            </w:r>
          </w:p>
        </w:tc>
      </w:tr>
      <w:tr>
        <w:trPr>
          <w:trHeight w:val="216"/>
        </w:trPr>
        <w:tc>
          <w:tcPr>
            <w:tcW w:w="86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Settlements with tax authorities(1)</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(37,672)</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(3,880)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(9,450)</w:t>
            </w:r>
          </w:p>
        </w:tc>
      </w:tr>
      <w:tr>
        <w:trPr>
          <w:trHeight w:val="216"/>
        </w:trPr>
        <w:tc>
          <w:tcPr>
            <w:tcW w:w="86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(25,162)</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(18,022)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(28,774)</w:t>
            </w:r>
          </w:p>
        </w:tc>
      </w:tr>
      <w:tr>
        <w:trPr>
          <w:trHeight w:val="223"/>
        </w:trPr>
        <w:tc>
          <w:tcPr>
            <w:tcW w:w="6820" w:type="dxa"/>
            <w:vAlign w:val="bottom"/>
            <w:gridSpan w:val="3"/>
          </w:tcPr>
          <w:p>
            <w:pPr>
              <w:ind w:left="860"/>
              <w:spacing w:after="0"/>
              <w:rPr>
                <w:sz w:val="20"/>
                <w:szCs w:val="20"/>
                <w:color w:val="auto"/>
              </w:rPr>
            </w:pPr>
            <w:r>
              <w:rPr>
                <w:rFonts w:ascii="Arial" w:cs="Arial" w:eastAsia="Arial" w:hAnsi="Arial"/>
                <w:sz w:val="18"/>
                <w:szCs w:val="18"/>
                <w:color w:val="auto"/>
              </w:rPr>
              <w:t>Balance at end of fiscal year</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169,322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187,646</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193,024</w:t>
            </w:r>
          </w:p>
        </w:tc>
        <w:tc>
          <w:tcPr>
            <w:tcW w:w="10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640" w:right="20" w:hanging="436"/>
        <w:spacing w:after="0" w:line="264"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changes in the year ended September 30, 2019, in the balance of the Company’s gross unrecognized tax benefits that relate to settlements with tax authorities is $37,672, the vast majority of which was offset by income tax payments and increase in Tax Payables and Deferred Tax Liabilities.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total amount of unrecognized tax benefits, which includes interest and penalties, was $169,322 as of September 30, 2019, and $187,646 as of September 30, 2018, all of which would affect the effective tax rate if realized.</w:t>
      </w:r>
    </w:p>
    <w:p>
      <w:pPr>
        <w:spacing w:after="0" w:line="17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Company recognizes interest and penalties related to unrecognized tax benefits in the provision for income taxes. As of September 30, 2019, the Company had accrued $31,108 in income taxes payable for interest and penalties relating to unrecognized tax benefits, of which $4,679 was recognized in the statements of income in fiscal year 2019, net of interest and penalty reversals. As of September 30, 2018, the Company had accrued $30,807 in income taxes payable for interest and penalties relating to unrecognized tax benefits, of which a benefit of $2,579 was recognized in the statements of income in fiscal year 2018, net of interest and penalty reversals.</w:t>
      </w:r>
    </w:p>
    <w:p>
      <w:pPr>
        <w:spacing w:after="0" w:line="17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Company is currently under tax audit in several jurisdictions for the tax years 2007 and onwards. Timing of the resolution of audits is highly uncertain and therefore, as of September 30, 2019, the Company cannot estimate the change in unrecognized tax benefits resulting from these audits within the next 12 months.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It is reasonably possible that the amount of unrecognized tax benefits may decrease by up to $12,763 during fiscal year 2020 as a result of lapse of statutes of limitations in jurisdictions in which the Company operates.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 — Repurchase of Shares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From time to time, the Company’s Board of Directors can adopt share repurchase plans authorizing the repurchase of the Company’s outstanding ordinary shares. On November 8, 2017, the Company’s Board of Directors adopted another share repurchase plan for the repurchase of up to an additional $800,000 of the Company’s outstanding ordinary shares with no expiration date. In April 2018, the Company completed the repurchase of the remaining authorized amount of ordinary shares under the February 2016 plan and began executing repurchases under the November 2017 plan. In fiscal year 2019, the Company repurchased approximately 6,656 ordinary shares at an average price of $59.79 per share (excluding broker and transaction fees). The November 2017 plan permits the Company to purchase its ordinary shares in open market or privately negotiated transactions at times and prices that it considers appropriate. As of September 30, 2019, the Company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right="300"/>
        <w:spacing w:after="0" w:line="257" w:lineRule="auto"/>
        <w:rPr>
          <w:sz w:val="20"/>
          <w:szCs w:val="20"/>
          <w:color w:val="auto"/>
        </w:rPr>
      </w:pPr>
      <w:r>
        <w:rPr>
          <w:rFonts w:ascii="Arial" w:cs="Arial" w:eastAsia="Arial" w:hAnsi="Arial"/>
          <w:sz w:val="18"/>
          <w:szCs w:val="18"/>
          <w:color w:val="auto"/>
        </w:rPr>
        <w:t>had remaining authority to repurchase up to $239,171 of its outstanding ordinary shares under the November 2017 plan. On November 12, 2019, the Company’s Board of Directors adopted another share repurchase plan for the repurchase of up to an additional $800,000 of Company’s outstanding ordinary shares which brings the unused authorization as of September 30, 2019 to $1,039,171. The November 2019 plan authorizations have no expiration date and permit the Company to purchase its ordinary shares in open market or privately negotiated transactions at times and prices that it considers appropriate.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 — Financing Arrangements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December 2011, the Company entered into a $500,000 five-year revolving credit facility with a syndicate of banks. In December 2014 and in December 2017, the credit facility was amended and restated to, among other things, extend the maturity date of the facility to December 2019 and December 2022, respectively. The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in part on the Company’s credit ratings. In March 2017, the Company borrowed an aggregate of $200,000 under the facility and repaid it in April 2017. In March 2018, the Company borrowed an aggregate of $120,000 under the facility and repaid it in April 2018. As of September 30, 2019, the Company was in compliance with the financial covenants under the revolving credit facility and had no outstanding borrowings under this facility.</w:t>
      </w:r>
    </w:p>
    <w:p>
      <w:pPr>
        <w:spacing w:after="0" w:line="179"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of September 30, 2019, the Company had additional uncommitted lines of credit available for general corporate and other specific purposes and had outstanding letters of credit and bank guarantees from various banks totaling $91,291. These were supported by a combination of the uncommitted lines of credit that the Company maintains with various banks.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14 — Accrued Expenses and Other 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20" w:type="dxa"/>
            <w:vAlign w:val="bottom"/>
            <w:gridSpan w:val="4"/>
          </w:tcPr>
          <w:p>
            <w:pPr>
              <w:ind w:left="30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2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$259,661</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$ 256,012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140,701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155,739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28,335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Dividends payable(1)</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38,413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35,046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instruments(2)</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175,494</w:t>
            </w:r>
          </w:p>
        </w:tc>
        <w:tc>
          <w:tcPr>
            <w:tcW w:w="4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211,176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647,657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$ 706,637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right="420" w:hanging="436"/>
        <w:spacing w:after="0" w:line="258"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payable as a result of the August 7, 2019 and the July 31, 2018 dividend declarations. See Note 19 to the consolidated financial statements.</w:t>
      </w:r>
    </w:p>
    <w:p>
      <w:pPr>
        <w:spacing w:after="0" w:line="1" w:lineRule="exact"/>
        <w:rPr>
          <w:rFonts w:ascii="Arial" w:cs="Arial" w:eastAsia="Arial" w:hAnsi="Arial"/>
          <w:sz w:val="18"/>
          <w:szCs w:val="18"/>
          <w:color w:val="auto"/>
        </w:rPr>
      </w:pPr>
    </w:p>
    <w:p>
      <w:pPr>
        <w:ind w:left="640" w:right="180" w:hanging="436"/>
        <w:spacing w:after="0" w:line="261"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derivatives that are designated as hedging instruments and derivatives that are not designated as hedging instruments. See Note 7 to the consolidated financial statements.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15 — Interest and other expense,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and other expense, net, consists of the following:</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76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40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$ 6,225</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$ 6,602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$ 7,972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Interest expense</w:t>
            </w:r>
          </w:p>
        </w:tc>
        <w:tc>
          <w:tcPr>
            <w:tcW w:w="3480" w:type="dxa"/>
            <w:vAlign w:val="bottom"/>
            <w:gridSpan w:val="3"/>
          </w:tcPr>
          <w:p>
            <w:pPr>
              <w:jc w:val="right"/>
              <w:ind w:right="400"/>
              <w:spacing w:after="0"/>
              <w:rPr>
                <w:sz w:val="20"/>
                <w:szCs w:val="20"/>
                <w:color w:val="auto"/>
              </w:rPr>
            </w:pPr>
            <w:r>
              <w:rPr>
                <w:rFonts w:ascii="Arial" w:cs="Arial" w:eastAsia="Arial" w:hAnsi="Arial"/>
                <w:sz w:val="18"/>
                <w:szCs w:val="18"/>
                <w:color w:val="auto"/>
              </w:rPr>
              <w:t>(3,911)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(2,764)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(1,600)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3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(7,860)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(8,246)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 net</w:t>
            </w:r>
          </w:p>
        </w:tc>
        <w:tc>
          <w:tcPr>
            <w:tcW w:w="2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3,687</w:t>
            </w:r>
          </w:p>
        </w:tc>
        <w:tc>
          <w:tcPr>
            <w:tcW w:w="4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(4,431)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(2,547)</w:t>
            </w:r>
          </w:p>
        </w:tc>
      </w:tr>
      <w:tr>
        <w:trPr>
          <w:trHeight w:val="27"/>
        </w:trPr>
        <w:tc>
          <w:tcPr>
            <w:tcW w:w="4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(1,859)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(6,766)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(4,421)</w:t>
            </w:r>
          </w:p>
        </w:tc>
      </w:tr>
      <w:tr>
        <w:trPr>
          <w:trHeight w:val="20"/>
        </w:trPr>
        <w:tc>
          <w:tcPr>
            <w:tcW w:w="4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16 — Contingencies and Commitments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Company leases office space and vehicles under non-cancelable operating leases in various countries in which it does business. Future minimum non-cancelable lease payments, which include rent and other payments the Company is obligated to make, based on the Company’s contractual obligations as of September 30, 2019 are as follows: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2021</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60,544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2023</w:t>
            </w: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331,596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Rent expense net of sublease income was approximately $65,692, $63,603 and $55,480 for fiscal years 2019, 2018 and 2017, respectively. The Company had immaterial committed future sublease income as of September 30, 2019.</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Since 2014, the Company has been defending a lawsuit against certain of its subsidiaries in the U.S. District Court in Oregon alleging breach of contract and trade secret misappropriation. According to the suit, the Company improperly utilized information received in connection with its electronic payment processing solution, which is one of several components of its mobile financial services offerings. During fiscal year 2016, the District Court denied the Company’s motions to dismiss and to compel arbitration with respect to certain of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80"/>
          </w:cols>
          <w:pgMar w:left="24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claims, and the proceedings continued. The District Court scheduled a tentative jury trial date for late October 2018. The Company filed a motion for summary judgment with the District Court during fiscal year 2018 and the District Court partially granted the motion with respect to two trade secrets. In October 2018, while continuing to deny the plaintiff’s allegations, the Company entered into a settlement agreement with the plaintiff, which included a $50,000 settlement payment by the Company, in consideration for a mutual release of each party and its respective customers with no admission of liability or fault. As a result of the settlement, the lawsuit was dismissed with prejudice on November 13, 2018. During fiscal year 2019 the Company paid the settlement amount of $50,000 and $5,000 in legal and other fees which were accrued as of September 30, 2018.</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181" w:lineRule="exact"/>
        <w:rPr>
          <w:sz w:val="20"/>
          <w:szCs w:val="20"/>
          <w:color w:val="auto"/>
        </w:rPr>
      </w:pPr>
    </w:p>
    <w:p>
      <w:pPr>
        <w:jc w:val="both"/>
        <w:ind w:left="200" w:right="360" w:firstLine="441"/>
        <w:spacing w:after="0" w:line="312" w:lineRule="auto"/>
        <w:rPr>
          <w:sz w:val="20"/>
          <w:szCs w:val="20"/>
          <w:color w:val="auto"/>
        </w:rPr>
      </w:pPr>
      <w:r>
        <w:rPr>
          <w:rFonts w:ascii="Arial" w:cs="Arial" w:eastAsia="Arial" w:hAnsi="Arial"/>
          <w:sz w:val="16"/>
          <w:szCs w:val="16"/>
          <w:color w:val="auto"/>
        </w:rPr>
        <w:t>The Company generally offers its products with a limited warranty. The Company’s policy is to accrue for warranty costs, if needed, based on historical trends in product failure. Based on the Company’s experience, only minimal warranty charges have been incurred after revenue was fully recognized and, as a result, the Company did not accrue any amounts for product warranty liability during fiscal years 2019, 2018 and 2017.</w:t>
      </w:r>
    </w:p>
    <w:p>
      <w:pPr>
        <w:spacing w:after="0" w:line="14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17 — Employee Benefits</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Company accrues severance pay mainly for the employees of its Israeli operations in accordance with Israeli law and certain employment procedures on the basis of the latest monthly salary paid to these employees and the length of time that they have worked for the Israeli operations. The severance pay liability amounted to $266,209 and $258,262 as of September 30, 2019 and 2018, respectively, and is included as accrued employee costs in other noncurrent liabilities. This liability is partially funded by amounts on deposit with insurance companies that totaled $206,752 and $202,230 as of September 30, 2019 and 2018, respectively, and are included in other noncurrent assets. The accrued severance expenses were $33,355, $28,472 and $32,908 for fiscal years 2019, 2018 and 2017, respectively.</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years 2019, 2018 and 2017 under such plans were not material compared to total operating expenses.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balance sheet. The pension and other benefits costs related to the non-contributory defined benefit plans were immaterial in fiscal years 2019, 2018 and 2017.</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18 — Stock Option and Incentive Plan</w:t>
      </w:r>
    </w:p>
    <w:p>
      <w:pPr>
        <w:spacing w:after="0" w:line="121"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by the Company’s Board of Directors to be granted under the Equity Incentive Plan was increased from 62,300 to 67,550. The issuance of such additional shares was registered with the SEC in February 2018. Awards granted under the Equity Incentive Plan generally vest over a period of three to four years and stock options have a term of ten years. Also, in accordance with the Equity Incentive Plan, options are issued at or above the market price at the time of the grant.</w:t>
      </w:r>
    </w:p>
    <w:p>
      <w:pPr>
        <w:spacing w:after="0" w:line="163" w:lineRule="exact"/>
        <w:rPr>
          <w:sz w:val="20"/>
          <w:szCs w:val="20"/>
          <w:color w:val="auto"/>
        </w:rPr>
      </w:pPr>
    </w:p>
    <w:p>
      <w:pPr>
        <w:ind w:left="200" w:right="80" w:firstLine="441"/>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fiscal year ended September 30, 2019:</w:t>
      </w:r>
    </w:p>
    <w:p>
      <w:pPr>
        <w:spacing w:after="0" w:line="17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80" w:type="dxa"/>
            <w:vAlign w:val="bottom"/>
            <w:gridSpan w:val="3"/>
          </w:tcPr>
          <w:p>
            <w:pPr>
              <w:jc w:val="center"/>
              <w:ind w:left="676"/>
              <w:spacing w:after="0"/>
              <w:rPr>
                <w:sz w:val="20"/>
                <w:szCs w:val="20"/>
                <w:color w:val="auto"/>
              </w:rPr>
            </w:pPr>
            <w:r>
              <w:rPr>
                <w:rFonts w:ascii="Arial" w:cs="Arial" w:eastAsia="Arial" w:hAnsi="Arial"/>
                <w:sz w:val="14"/>
                <w:szCs w:val="14"/>
                <w:b w:val="1"/>
                <w:bCs w:val="1"/>
                <w:color w:val="auto"/>
                <w:w w:val="97"/>
              </w:rPr>
              <w:t>Number of</w:t>
            </w:r>
          </w:p>
        </w:tc>
        <w:tc>
          <w:tcPr>
            <w:tcW w:w="16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Share</w:t>
            </w:r>
          </w:p>
        </w:tc>
        <w:tc>
          <w:tcPr>
            <w:tcW w:w="1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2018</w:t>
            </w:r>
          </w:p>
        </w:tc>
        <w:tc>
          <w:tcPr>
            <w:tcW w:w="1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1,975</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(682)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2019(1)</w:t>
            </w:r>
          </w:p>
        </w:tc>
        <w:tc>
          <w:tcPr>
            <w:tcW w:w="13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September 30, 2019(1)</w:t>
            </w:r>
          </w:p>
        </w:tc>
        <w:tc>
          <w:tcPr>
            <w:tcW w:w="1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50.60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52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640" w:right="420" w:hanging="436"/>
        <w:spacing w:after="0" w:line="277"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of September 30, 2019, the weighted average remaining contractual life of outstanding and exercisable options was 7.24 and 5.63 years, respectively.</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240" w:top="459" w:right="5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during the fiscal year ended September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2019:</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5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6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58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2018</w:t>
            </w:r>
          </w:p>
        </w:tc>
        <w:tc>
          <w:tcPr>
            <w:tcW w:w="1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(147)</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2019</w:t>
            </w:r>
          </w:p>
        </w:tc>
        <w:tc>
          <w:tcPr>
            <w:tcW w:w="14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total intrinsic value of options exercised during fiscal years 2019, 2018 and 2017 was $13,081, $38,025 and $47,321, respectively.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value of restricted shares vested during fiscal years 2019, 2018 and 2017 was $28,430, $35,801 and $36,922, respectively.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2019 was $56,997 and $40,532, respectively.</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equity-based compensation pre-tax expense for the years ended September 30, 2019, 2018 and 2017 was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gridSpan w:val="8"/>
          </w:tcPr>
          <w:p>
            <w:pPr>
              <w:ind w:left="48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$19,879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$18,253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$ 19,215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2,714</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3,536</w:t>
            </w:r>
          </w:p>
        </w:tc>
        <w:tc>
          <w:tcPr>
            <w:tcW w:w="6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15,957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25,747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21,788</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38,550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47,476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$ 44,539</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rate(1)</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2.64%</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4.50</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4.50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17.8%</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1.82%</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$9.13</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$8.70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$7.62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240" w:top="459"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19 — Dividends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Board of Directors declared the following dividends during the fiscal years ended September 30, 2019, 2018 and 2017:</w:t>
      </w:r>
    </w:p>
    <w:p>
      <w:pPr>
        <w:spacing w:after="0" w:line="24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Dividends Per</w:t>
            </w:r>
          </w:p>
        </w:tc>
        <w:tc>
          <w:tcPr>
            <w:tcW w:w="21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Record Date</w:t>
            </w:r>
          </w:p>
        </w:tc>
        <w:tc>
          <w:tcPr>
            <w:tcW w:w="15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 Amount</w:t>
            </w:r>
          </w:p>
        </w:tc>
        <w:tc>
          <w:tcPr>
            <w:tcW w:w="16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2460" w:type="dxa"/>
            <w:vAlign w:val="bottom"/>
            <w:gridSpan w:val="2"/>
            <w:vMerge w:val="continue"/>
          </w:tcPr>
          <w:p>
            <w:pPr>
              <w:spacing w:after="0"/>
              <w:rPr>
                <w:sz w:val="15"/>
                <w:szCs w:val="15"/>
                <w:color w:val="auto"/>
              </w:rPr>
            </w:pPr>
          </w:p>
        </w:tc>
        <w:tc>
          <w:tcPr>
            <w:tcW w:w="2420" w:type="dxa"/>
            <w:vAlign w:val="bottom"/>
            <w:gridSpan w:val="2"/>
          </w:tcPr>
          <w:p>
            <w:pPr>
              <w:ind w:left="1100"/>
              <w:spacing w:after="0"/>
              <w:rPr>
                <w:sz w:val="20"/>
                <w:szCs w:val="20"/>
                <w:color w:val="auto"/>
              </w:rPr>
            </w:pPr>
            <w:r>
              <w:rPr>
                <w:rFonts w:ascii="Arial" w:cs="Arial" w:eastAsia="Arial" w:hAnsi="Arial"/>
                <w:sz w:val="14"/>
                <w:szCs w:val="14"/>
                <w:b w:val="1"/>
                <w:bCs w:val="1"/>
                <w:color w:val="auto"/>
              </w:rPr>
              <w:t>Ordinary Share</w:t>
            </w:r>
          </w:p>
        </w:tc>
        <w:tc>
          <w:tcPr>
            <w:tcW w:w="2100" w:type="dxa"/>
            <w:vAlign w:val="bottom"/>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7, 2019</w:t>
            </w:r>
          </w:p>
        </w:tc>
        <w:tc>
          <w:tcPr>
            <w:tcW w:w="14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0.285</w:t>
            </w:r>
          </w:p>
        </w:tc>
        <w:tc>
          <w:tcPr>
            <w:tcW w:w="21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September 30, 2019</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38,413</w:t>
            </w:r>
          </w:p>
        </w:tc>
        <w:tc>
          <w:tcPr>
            <w:tcW w:w="16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3"/>
              </w:rPr>
              <w:t>October 25,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May 14, 2019</w:t>
            </w:r>
          </w:p>
        </w:tc>
        <w:tc>
          <w:tcPr>
            <w:tcW w:w="1440" w:type="dxa"/>
            <w:vAlign w:val="bottom"/>
          </w:tcPr>
          <w:p>
            <w:pPr>
              <w:ind w:left="10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0.285</w:t>
            </w:r>
          </w:p>
        </w:tc>
        <w:tc>
          <w:tcPr>
            <w:tcW w:w="2100" w:type="dxa"/>
            <w:vAlign w:val="bottom"/>
          </w:tcPr>
          <w:p>
            <w:pPr>
              <w:ind w:left="320"/>
              <w:spacing w:after="0"/>
              <w:rPr>
                <w:sz w:val="20"/>
                <w:szCs w:val="20"/>
                <w:color w:val="auto"/>
              </w:rPr>
            </w:pPr>
            <w:r>
              <w:rPr>
                <w:rFonts w:ascii="Arial" w:cs="Arial" w:eastAsia="Arial" w:hAnsi="Arial"/>
                <w:sz w:val="18"/>
                <w:szCs w:val="18"/>
                <w:color w:val="auto"/>
              </w:rPr>
              <w:t>June 28, 2019</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38,730</w:t>
            </w:r>
          </w:p>
        </w:tc>
        <w:tc>
          <w:tcPr>
            <w:tcW w:w="1640" w:type="dxa"/>
            <w:vAlign w:val="bottom"/>
          </w:tcPr>
          <w:p>
            <w:pPr>
              <w:ind w:left="320"/>
              <w:spacing w:after="0"/>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February 5, 2019</w:t>
            </w: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0.285</w:t>
            </w:r>
          </w:p>
        </w:tc>
        <w:tc>
          <w:tcPr>
            <w:tcW w:w="2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29, 2019</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39,084</w:t>
            </w:r>
          </w:p>
        </w:tc>
        <w:tc>
          <w:tcPr>
            <w:tcW w:w="1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2018</w:t>
            </w: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0.250</w:t>
            </w:r>
          </w:p>
        </w:tc>
        <w:tc>
          <w:tcPr>
            <w:tcW w:w="21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31, 2018</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34,755</w:t>
            </w:r>
          </w:p>
        </w:tc>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3"/>
              </w:rPr>
              <w:t>January 18,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July 31, 2018</w:t>
            </w: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0.250</w:t>
            </w:r>
          </w:p>
        </w:tc>
        <w:tc>
          <w:tcPr>
            <w:tcW w:w="2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28, 2018</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35,046</w:t>
            </w:r>
          </w:p>
        </w:tc>
        <w:tc>
          <w:tcPr>
            <w:tcW w:w="1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October 19,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May 10, 2018</w:t>
            </w:r>
          </w:p>
        </w:tc>
        <w:tc>
          <w:tcPr>
            <w:tcW w:w="1440" w:type="dxa"/>
            <w:vAlign w:val="bottom"/>
          </w:tcPr>
          <w:p>
            <w:pPr>
              <w:ind w:left="10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0.250</w:t>
            </w:r>
          </w:p>
        </w:tc>
        <w:tc>
          <w:tcPr>
            <w:tcW w:w="2100" w:type="dxa"/>
            <w:vAlign w:val="bottom"/>
          </w:tcPr>
          <w:p>
            <w:pPr>
              <w:ind w:left="320"/>
              <w:spacing w:after="0"/>
              <w:rPr>
                <w:sz w:val="20"/>
                <w:szCs w:val="20"/>
                <w:color w:val="auto"/>
              </w:rPr>
            </w:pPr>
            <w:r>
              <w:rPr>
                <w:rFonts w:ascii="Arial" w:cs="Arial" w:eastAsia="Arial" w:hAnsi="Arial"/>
                <w:sz w:val="18"/>
                <w:szCs w:val="18"/>
                <w:color w:val="auto"/>
              </w:rPr>
              <w:t>June 29, 2018</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35,363</w:t>
            </w:r>
          </w:p>
        </w:tc>
        <w:tc>
          <w:tcPr>
            <w:tcW w:w="1640" w:type="dxa"/>
            <w:vAlign w:val="bottom"/>
          </w:tcPr>
          <w:p>
            <w:pPr>
              <w:ind w:left="320"/>
              <w:spacing w:after="0"/>
              <w:rPr>
                <w:sz w:val="20"/>
                <w:szCs w:val="20"/>
                <w:color w:val="auto"/>
              </w:rPr>
            </w:pPr>
            <w:r>
              <w:rPr>
                <w:rFonts w:ascii="Arial" w:cs="Arial" w:eastAsia="Arial" w:hAnsi="Arial"/>
                <w:sz w:val="18"/>
                <w:szCs w:val="18"/>
                <w:color w:val="auto"/>
              </w:rPr>
              <w:t>July 20,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January 30, 2018</w:t>
            </w: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0.250</w:t>
            </w:r>
          </w:p>
        </w:tc>
        <w:tc>
          <w:tcPr>
            <w:tcW w:w="2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30, 2018</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35,637</w:t>
            </w:r>
          </w:p>
        </w:tc>
        <w:tc>
          <w:tcPr>
            <w:tcW w:w="1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20,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2017</w:t>
            </w: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0.220</w:t>
            </w:r>
          </w:p>
        </w:tc>
        <w:tc>
          <w:tcPr>
            <w:tcW w:w="21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29, 2017</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31,556</w:t>
            </w:r>
          </w:p>
        </w:tc>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3"/>
              </w:rPr>
              <w:t>January 19,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0.220</w:t>
            </w:r>
          </w:p>
        </w:tc>
        <w:tc>
          <w:tcPr>
            <w:tcW w:w="2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29, 2017</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31,736</w:t>
            </w:r>
          </w:p>
        </w:tc>
        <w:tc>
          <w:tcPr>
            <w:tcW w:w="16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October 23,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May 9, 2017</w:t>
            </w:r>
          </w:p>
        </w:tc>
        <w:tc>
          <w:tcPr>
            <w:tcW w:w="1440" w:type="dxa"/>
            <w:vAlign w:val="bottom"/>
          </w:tcPr>
          <w:p>
            <w:pPr>
              <w:ind w:left="10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0.220</w:t>
            </w:r>
          </w:p>
        </w:tc>
        <w:tc>
          <w:tcPr>
            <w:tcW w:w="2100" w:type="dxa"/>
            <w:vAlign w:val="bottom"/>
          </w:tcPr>
          <w:p>
            <w:pPr>
              <w:ind w:left="320"/>
              <w:spacing w:after="0"/>
              <w:rPr>
                <w:sz w:val="20"/>
                <w:szCs w:val="20"/>
                <w:color w:val="auto"/>
              </w:rPr>
            </w:pPr>
            <w:r>
              <w:rPr>
                <w:rFonts w:ascii="Arial" w:cs="Arial" w:eastAsia="Arial" w:hAnsi="Arial"/>
                <w:sz w:val="18"/>
                <w:szCs w:val="18"/>
                <w:color w:val="auto"/>
              </w:rPr>
              <w:t>June 30, 2017</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31,981</w:t>
            </w:r>
          </w:p>
        </w:tc>
        <w:tc>
          <w:tcPr>
            <w:tcW w:w="1640" w:type="dxa"/>
            <w:vAlign w:val="bottom"/>
          </w:tcPr>
          <w:p>
            <w:pPr>
              <w:ind w:left="320"/>
              <w:spacing w:after="0"/>
              <w:rPr>
                <w:sz w:val="20"/>
                <w:szCs w:val="20"/>
                <w:color w:val="auto"/>
              </w:rPr>
            </w:pPr>
            <w:r>
              <w:rPr>
                <w:rFonts w:ascii="Arial" w:cs="Arial" w:eastAsia="Arial" w:hAnsi="Arial"/>
                <w:sz w:val="18"/>
                <w:szCs w:val="18"/>
                <w:color w:val="auto"/>
              </w:rPr>
              <w:t>July 14,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2017</w:t>
            </w:r>
          </w:p>
        </w:tc>
        <w:tc>
          <w:tcPr>
            <w:tcW w:w="1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0.220</w:t>
            </w:r>
          </w:p>
        </w:tc>
        <w:tc>
          <w:tcPr>
            <w:tcW w:w="2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March 31, 2017</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32,223</w:t>
            </w:r>
          </w:p>
        </w:tc>
        <w:tc>
          <w:tcPr>
            <w:tcW w:w="1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2016</w:t>
            </w:r>
          </w:p>
        </w:tc>
        <w:tc>
          <w:tcPr>
            <w:tcW w:w="14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0.195</w:t>
            </w:r>
          </w:p>
        </w:tc>
        <w:tc>
          <w:tcPr>
            <w:tcW w:w="21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30, 2016</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28,606</w:t>
            </w:r>
          </w:p>
        </w:tc>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3"/>
              </w:rPr>
              <w:t>January 13, 2017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amounts payable as a result of the August 7, 2019, July 31, 2018 and August 2, 2017 declarations were included in accrued expenses and other current liabilities as of September 30, 2019, 2018 and 2017, respectively.</w:t>
      </w:r>
    </w:p>
    <w:p>
      <w:pPr>
        <w:spacing w:after="0" w:line="17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On November 12, 2019, the Company’s Board of Directors approved quarterly dividend payment of $0.285 per share, and set December 31, 2019 as the record date for determining the shareholders entitled to receive the dividend, which is payable on January 24, 2020.</w:t>
      </w:r>
    </w:p>
    <w:p>
      <w:pPr>
        <w:spacing w:after="0" w:line="147"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On November 12, 2019, the Company’s Board of Directors also approved, subject to shareholder approval at the January 2020 annual general meeting of shareholders, an increase in the quarterly cash dividend to $0.3275 per share, anticipated to be paid in April 2020.</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60"/>
          </w:cols>
          <w:pgMar w:left="24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20 — Earnings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September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479,446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354,396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436,826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476,151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351,746</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433,309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Undistributed income allocated to participating restricted shares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Undistributed income reallocated to participating restricted shares</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(2,240)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476,163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351,760</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433,333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137,418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142,422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146,017</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Weighted average number of participating restricted shares</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136,474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141,357</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137,165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142,639</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For the fiscal years ended September 30, 2019, 2018 and 2017, 3,547, 1,357 and 1,281 shares, respectively, on a weighted average basis, were attributable to antidilutive outstanding stock options and therefore were not included in the calculation of diluted earnings per share.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21 — Segment Information and Sales to Significant Customers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entertainment and media industry service providers.</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0880"/>
          </w:cols>
          <w:pgMar w:left="240" w:top="459" w:right="7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10"/>
          </w:tcPr>
          <w:p>
            <w:pPr>
              <w:ind w:left="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74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1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North America (mainly United States)</w:t>
            </w:r>
          </w:p>
        </w:tc>
        <w:tc>
          <w:tcPr>
            <w:tcW w:w="2320" w:type="dxa"/>
            <w:vAlign w:val="bottom"/>
            <w:gridSpan w:val="3"/>
          </w:tcPr>
          <w:p>
            <w:pPr>
              <w:jc w:val="right"/>
              <w:ind w:right="60"/>
              <w:spacing w:after="0"/>
              <w:rPr>
                <w:sz w:val="20"/>
                <w:szCs w:val="20"/>
                <w:color w:val="auto"/>
              </w:rPr>
            </w:pPr>
            <w:r>
              <w:rPr>
                <w:rFonts w:ascii="Arial" w:cs="Arial" w:eastAsia="Arial" w:hAnsi="Arial"/>
                <w:sz w:val="18"/>
                <w:szCs w:val="18"/>
                <w:color w:val="auto"/>
              </w:rPr>
              <w:t>$ 2,582,719</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$ 2,550,234</w:t>
            </w: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$ 2,546,290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Europe</w:t>
            </w:r>
          </w:p>
        </w:tc>
        <w:tc>
          <w:tcPr>
            <w:tcW w:w="2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598,731</w:t>
            </w:r>
          </w:p>
        </w:tc>
        <w:tc>
          <w:tcPr>
            <w:tcW w:w="144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572,196</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488,932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Rest of the world</w:t>
            </w:r>
          </w:p>
        </w:tc>
        <w:tc>
          <w:tcPr>
            <w:tcW w:w="1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905,219</w:t>
            </w:r>
          </w:p>
        </w:tc>
        <w:tc>
          <w:tcPr>
            <w:tcW w:w="1440" w:type="dxa"/>
            <w:vAlign w:val="bottom"/>
            <w:gridSpan w:val="5"/>
          </w:tcPr>
          <w:p>
            <w:pPr>
              <w:ind w:left="720"/>
              <w:spacing w:after="0"/>
              <w:rPr>
                <w:sz w:val="20"/>
                <w:szCs w:val="20"/>
                <w:color w:val="auto"/>
              </w:rPr>
            </w:pPr>
            <w:r>
              <w:rPr>
                <w:rFonts w:ascii="Arial" w:cs="Arial" w:eastAsia="Arial" w:hAnsi="Arial"/>
                <w:sz w:val="18"/>
                <w:szCs w:val="18"/>
                <w:color w:val="auto"/>
              </w:rPr>
              <w:t>852,407</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831,933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$ 4,086,669</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$ 3,974,837</w:t>
            </w: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$ 3,867,155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8"/>
          </w:tcPr>
          <w:p>
            <w:pPr>
              <w:ind w:left="28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Long-lived Assets(1)</w:t>
            </w:r>
          </w:p>
        </w:tc>
        <w:tc>
          <w:tcPr>
            <w:tcW w:w="1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Europe</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$206,086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$ 187,884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95,876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88,251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 of the world:</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Israel</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168,493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161,726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ind w:left="340"/>
              <w:spacing w:after="0"/>
              <w:rPr>
                <w:sz w:val="20"/>
                <w:szCs w:val="20"/>
                <w:color w:val="auto"/>
              </w:rPr>
            </w:pPr>
            <w:r>
              <w:rPr>
                <w:rFonts w:ascii="Arial" w:cs="Arial" w:eastAsia="Arial" w:hAnsi="Arial"/>
                <w:sz w:val="18"/>
                <w:szCs w:val="18"/>
                <w:color w:val="auto"/>
              </w:rPr>
              <w:t>India</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36,546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37,239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21,485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525,314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$ 496,585</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3820" w:type="dxa"/>
            <w:vAlign w:val="bottom"/>
            <w:gridSpan w:val="2"/>
          </w:tcPr>
          <w:p>
            <w:pPr>
              <w:spacing w:after="0"/>
              <w:rPr>
                <w:sz w:val="11"/>
                <w:szCs w:val="11"/>
                <w:color w:val="auto"/>
              </w:rPr>
            </w:pPr>
          </w:p>
        </w:tc>
        <w:tc>
          <w:tcPr>
            <w:tcW w:w="1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040" w:type="dxa"/>
            <w:vAlign w:val="bottom"/>
            <w:gridSpan w:val="5"/>
          </w:tcPr>
          <w:p>
            <w:pPr>
              <w:spacing w:after="0"/>
              <w:rPr>
                <w:sz w:val="20"/>
                <w:szCs w:val="20"/>
                <w:color w:val="auto"/>
              </w:rPr>
            </w:pPr>
            <w:r>
              <w:rPr>
                <w:rFonts w:ascii="Arial" w:cs="Arial" w:eastAsia="Arial" w:hAnsi="Arial"/>
                <w:sz w:val="18"/>
                <w:szCs w:val="18"/>
                <w:color w:val="auto"/>
              </w:rPr>
              <w:t>(1)   Property and equipment, net.</w:t>
            </w:r>
          </w:p>
        </w:tc>
        <w:tc>
          <w:tcPr>
            <w:tcW w:w="1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020" w:type="dxa"/>
            <w:vAlign w:val="bottom"/>
            <w:gridSpan w:val="4"/>
          </w:tcPr>
          <w:p>
            <w:pPr>
              <w:ind w:left="200"/>
              <w:spacing w:after="0"/>
              <w:rPr>
                <w:sz w:val="20"/>
                <w:szCs w:val="20"/>
                <w:color w:val="auto"/>
              </w:rPr>
            </w:pPr>
            <w:r>
              <w:rPr>
                <w:rFonts w:ascii="Arial" w:cs="Arial" w:eastAsia="Arial" w:hAnsi="Arial"/>
                <w:sz w:val="18"/>
                <w:szCs w:val="18"/>
                <w:b w:val="1"/>
                <w:bCs w:val="1"/>
                <w:i w:val="1"/>
                <w:iCs w:val="1"/>
                <w:color w:val="auto"/>
              </w:rPr>
              <w:t>Revenue by nature of activities</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10"/>
          </w:tcPr>
          <w:p>
            <w:pPr>
              <w:ind w:left="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74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Managed services arrangements</w:t>
            </w:r>
          </w:p>
        </w:tc>
        <w:tc>
          <w:tcPr>
            <w:tcW w:w="1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$ 2,246,279</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$ 2,051,589</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$ 2,005,382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Others</w:t>
            </w:r>
          </w:p>
        </w:tc>
        <w:tc>
          <w:tcPr>
            <w:tcW w:w="13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1,840,390</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1,923,248</w:t>
            </w: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1,861,773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$ 4,086,669</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$ 3,974,837</w:t>
            </w: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$ 3,867,155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had one customer, AT&amp;T, which accounted for at least ten percent of its total revenue in each of fiscal years 2019, 2018 and 2017.</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percentage of revenue from this customer out of total revenue during fiscal years 2019, 2018 and 2017 was 23%, 27% and 33%, respectively.</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22 — Selected Quarterly Results of Operations (Unaudited)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17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Revenue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$ 1,030,253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$ 1,024,704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1,019,657</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1,012,055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144,154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150,175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122,027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131,448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124,279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Revenue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$ 1,002,588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$ 1,002,198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992,340</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977,711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44,266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91,530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101,727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116,873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 per share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0.70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0.80</w:t>
            </w:r>
          </w:p>
        </w:tc>
        <w:tc>
          <w:tcPr>
            <w:tcW w:w="6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00" w:type="dxa"/>
            <w:vAlign w:val="bottom"/>
            <w:gridSpan w:val="2"/>
          </w:tcPr>
          <w:p>
            <w:pPr>
              <w:jc w:val="right"/>
              <w:ind w:right="868"/>
              <w:spacing w:after="0"/>
              <w:rPr>
                <w:sz w:val="20"/>
                <w:szCs w:val="20"/>
                <w:color w:val="auto"/>
              </w:rPr>
            </w:pPr>
            <w:r>
              <w:rPr>
                <w:rFonts w:ascii="Arial" w:cs="Arial" w:eastAsia="Arial" w:hAnsi="Arial"/>
                <w:sz w:val="18"/>
                <w:szCs w:val="18"/>
                <w:color w:val="auto"/>
              </w:rPr>
              <w:t>F-46</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80"/>
          </w:cols>
          <w:pgMar w:left="240" w:top="459" w:right="8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Accounts Receivable</w:t>
            </w:r>
          </w:p>
        </w:tc>
        <w:tc>
          <w:tcPr>
            <w:tcW w:w="22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Valuation Allowances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Allowances</w:t>
            </w:r>
          </w:p>
        </w:tc>
        <w:tc>
          <w:tcPr>
            <w:tcW w:w="420" w:type="dxa"/>
            <w:vAlign w:val="bottom"/>
          </w:tcPr>
          <w:p>
            <w:pPr>
              <w:spacing w:after="0"/>
              <w:rPr>
                <w:sz w:val="14"/>
                <w:szCs w:val="14"/>
                <w:color w:val="auto"/>
              </w:rPr>
            </w:pPr>
          </w:p>
        </w:tc>
        <w:tc>
          <w:tcPr>
            <w:tcW w:w="1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Net Deferred Tax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2016</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39,512</w:t>
            </w:r>
          </w:p>
        </w:tc>
        <w:tc>
          <w:tcPr>
            <w:tcW w:w="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96,870</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Charged to costs and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17,282</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16,425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(30,053)(3)</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(23,722)(2)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2017</w:t>
            </w:r>
          </w:p>
        </w:tc>
        <w:tc>
          <w:tcPr>
            <w:tcW w:w="2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Charged to costs and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6,134</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18,173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(14,875)(4)</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2018</w:t>
            </w:r>
          </w:p>
        </w:tc>
        <w:tc>
          <w:tcPr>
            <w:tcW w:w="2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Charged to costs and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22,260</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(9,756)(6)</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(34,211)(5)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2019</w:t>
            </w:r>
          </w:p>
        </w:tc>
        <w:tc>
          <w:tcPr>
            <w:tcW w:w="2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36,121</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an acquisition.</w:t>
      </w:r>
    </w:p>
    <w:p>
      <w:pPr>
        <w:spacing w:after="0" w:line="130" w:lineRule="exact"/>
        <w:rPr>
          <w:rFonts w:ascii="Arial" w:cs="Arial" w:eastAsia="Arial" w:hAnsi="Arial"/>
          <w:sz w:val="18"/>
          <w:szCs w:val="18"/>
          <w:color w:val="auto"/>
        </w:rPr>
      </w:pPr>
    </w:p>
    <w:p>
      <w:pPr>
        <w:ind w:left="640" w:right="160" w:hanging="436"/>
        <w:spacing w:after="0" w:line="277"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$2,416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640" w:right="40" w:hanging="436"/>
        <w:spacing w:after="0" w:line="342" w:lineRule="auto"/>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$3,008 of accounts receivable allowances were written off against the related accounts receivables, $5,291 of accounts receivable allowances were netted against deferred revenue, and the remaining deductions in the accounts receivable allowances were released to earnings.</w:t>
      </w:r>
    </w:p>
    <w:p>
      <w:pPr>
        <w:spacing w:after="0" w:line="29" w:lineRule="exact"/>
        <w:rPr>
          <w:rFonts w:ascii="Arial" w:cs="Arial" w:eastAsia="Arial" w:hAnsi="Arial"/>
          <w:sz w:val="16"/>
          <w:szCs w:val="16"/>
          <w:color w:val="auto"/>
        </w:rPr>
      </w:pPr>
    </w:p>
    <w:p>
      <w:pPr>
        <w:ind w:left="640" w:right="180" w:hanging="436"/>
        <w:spacing w:after="0" w:line="277"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$6,659 of accounts receivable allowances were written off against the related accounts receivables, and the remaining deductions in the accounts receivable allowances were released to earnings.</w:t>
      </w:r>
    </w:p>
    <w:p>
      <w:pPr>
        <w:spacing w:after="0" w:line="75" w:lineRule="exact"/>
        <w:rPr>
          <w:rFonts w:ascii="Arial" w:cs="Arial" w:eastAsia="Arial" w:hAnsi="Arial"/>
          <w:sz w:val="18"/>
          <w:szCs w:val="18"/>
          <w:color w:val="auto"/>
        </w:rPr>
      </w:pPr>
    </w:p>
    <w:p>
      <w:pPr>
        <w:ind w:left="640" w:right="160" w:hanging="436"/>
        <w:spacing w:after="0" w:line="277"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$7,588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640" w:right="180" w:hanging="436"/>
        <w:spacing w:after="0" w:line="277"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$3,539 of accounts receivable allowances were written off against the related accounts receivables, and the remaining deductions in the accounts receivable allowances were released to earnings.</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59" w:right="4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rights of each applicable class of securities registered under Section 12 of the Securities Exchange Act of 1934</w:t>
      </w:r>
    </w:p>
    <w:p>
      <w:pPr>
        <w:spacing w:after="0" w:line="121"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The following is a summary of the rights of ordinary shares of Amdocs Limited. All references to all references to “Amdocs,” “we,” “our,” “us” and the “Company” refer to Amdocs Limited. Our Ordinary shares have a nominal value of £0.01. As of September 30, 2019, our ordinary shares are the only class of securities of the company that are registered under Section 12 of the Securities Exchange Act of 1934 (the “Exchange Act”), as amended. Our ordinary shares are listed on the NASDAQ Global Select Market under the symbol “DPX.” We are incorporated as a public company with limited liability under the laws of the Island of Guernsey.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and Class of Securities (Item 9.A.5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10. Additional information – Memorandum and Articles of Incorporation.” of the Form 20-F.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 (Item 9.A.3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or Qualifications (Item 9.A.6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(Item 9.A.7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the Shares (Item 10.B.3 of Form 20-F)</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See “Item 10. Additional information – Memorandum and Articles of Incorporation – Ordinary Shares and Non-Voting Ordinary Shares” of the Form 20-F.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Amendments (Item 10.B.4 of Form 20-F)</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See “Item 10. Additional information – Memorandum and Articles of Incorporation – Ordinary Shares and Non-Voting Ordinary Shares” of the Form 20-F.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Rights to Own Shares (Item 10.B.6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Affecting Any Change of Control (Item 10.B.7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Threshold (Item 10.B.8 of Form 20-F)</w:t>
      </w:r>
    </w:p>
    <w:p>
      <w:pPr>
        <w:spacing w:after="0" w:line="121"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Exchange Act, as amended (other than a foreign private issuer, such as Amdocs Limited), disclose such ownership. In addition, holders of more than 5% of a registered equity security of a company (including a foreign private issuer) must disclose such ownership.</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Between the Law of Different Jurisdictions (Item 10.B.9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10. Additional information – Memorandum and Articles of Incorporation” of the Form 20-F.</w:t>
      </w:r>
    </w:p>
    <w:p>
      <w:pPr>
        <w:sectPr>
          <w:pgSz w:w="11900" w:h="16838" w:orient="portrait"/>
          <w:cols w:equalWidth="0" w:num="1">
            <w:col w:w="11020"/>
          </w:cols>
          <w:pgMar w:left="440" w:top="121"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Capital (Item 10.B.10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“Item 10. Additional information – Memorandum and Articles of Incorporation” of the Form 20-F.</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(Item 12.A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and Rights (Item 12.B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 (Item 12.C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 (Items 12.D.1 and 12.D.2 of Form 20-F)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19"/>
          </w:cols>
          <w:pgMar w:left="440" w:top="27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4.a.3</w:t>
      </w:r>
    </w:p>
    <w:p>
      <w:pPr>
        <w:spacing w:after="0" w:line="225" w:lineRule="exact"/>
        <w:rPr>
          <w:sz w:val="20"/>
          <w:szCs w:val="20"/>
          <w:color w:val="auto"/>
        </w:rPr>
      </w:pPr>
    </w:p>
    <w:p>
      <w:pPr>
        <w:ind w:left="600" w:right="1600" w:firstLine="21"/>
        <w:spacing w:after="0" w:line="261" w:lineRule="auto"/>
        <w:rPr>
          <w:sz w:val="20"/>
          <w:szCs w:val="20"/>
          <w:color w:val="auto"/>
        </w:rPr>
      </w:pPr>
      <w:r>
        <w:rPr>
          <w:rFonts w:ascii="Arial" w:cs="Arial" w:eastAsia="Arial" w:hAnsi="Arial"/>
          <w:sz w:val="18"/>
          <w:szCs w:val="18"/>
          <w:b w:val="1"/>
          <w:bCs w:val="1"/>
          <w:color w:val="auto"/>
        </w:rPr>
        <w:t>THE SYMBOL “[*]” INDICATES MATERIAL WHERE CERTAIN IDENTIFIED INFORMATION HAS BEEN EXCLUDED FROM THE EXHIBIT BECAUSE IT IS BOTH (i) NOT MATERIAL AND</w:t>
      </w:r>
    </w:p>
    <w:p>
      <w:pPr>
        <w:jc w:val="center"/>
        <w:ind w:left="3980" w:right="1920" w:hanging="3060"/>
        <w:spacing w:after="0" w:line="261" w:lineRule="auto"/>
        <w:tabs>
          <w:tab w:leader="none" w:pos="1191"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WOULD LIKELY CAUSE COMPETITIVE HARM TO THE COMPANY IF PUBLICLY DISCLOSED.</w:t>
      </w:r>
    </w:p>
    <w:p>
      <w:pPr>
        <w:spacing w:after="0" w:line="18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Amendment 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No. 53258.C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AT&amp;T Services,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Amdocs Development Limited</w:t>
      </w:r>
    </w:p>
    <w:p>
      <w:pPr>
        <w:sectPr>
          <w:pgSz w:w="11900" w:h="16838" w:orient="portrait"/>
          <w:cols w:equalWidth="0" w:num="1">
            <w:col w:w="10020"/>
          </w:cols>
          <w:pgMar w:left="1440" w:top="121" w:right="4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53258.C</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After all Parties have signed, this Amendment is made effective as of the last date signed by a Party (“Effective Date”) and is between Amdocs Development Limited, a Cyprus corporation (“Supplier” or “Amdocs”), as successor-in-interest to Amdocs, Inc.,(hereinafter referred to as “Supplier”), and AT&amp;T Services, Inc., a Delaware corporation (hereinafter referred to as “AT&amp;T”), each of which may be referred to in the singular as a “Party” or in the plural as the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entered into Agreement No.53258.C on February 28, 2017 (the “Agreement”);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desire to amend the Agreement as hereinafter set forth.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31" w:lineRule="exact"/>
        <w:rPr>
          <w:sz w:val="20"/>
          <w:szCs w:val="20"/>
          <w:color w:val="auto"/>
        </w:rPr>
      </w:pPr>
    </w:p>
    <w:p>
      <w:pPr>
        <w:ind w:left="440" w:hanging="436"/>
        <w:spacing w:after="0"/>
        <w:tabs>
          <w:tab w:leader="none" w:pos="44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Section 3.5 Compliance with Laws is modified by renumbering subsection e. as subsection f. and by adding the following as subsection e:</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b w:val="1"/>
          <w:bCs w:val="1"/>
          <w:u w:val="single" w:color="auto"/>
          <w:color w:val="auto"/>
        </w:rPr>
        <w:t>General Data Protection Regulation (GDPR)</w:t>
      </w:r>
    </w:p>
    <w:p>
      <w:pPr>
        <w:spacing w:after="0" w:line="121" w:lineRule="exact"/>
        <w:rPr>
          <w:sz w:val="20"/>
          <w:szCs w:val="20"/>
          <w:color w:val="auto"/>
        </w:rPr>
      </w:pPr>
    </w:p>
    <w:p>
      <w:pPr>
        <w:ind w:left="780" w:right="320"/>
        <w:spacing w:after="0" w:line="277" w:lineRule="auto"/>
        <w:rPr>
          <w:sz w:val="20"/>
          <w:szCs w:val="20"/>
          <w:color w:val="auto"/>
        </w:rPr>
      </w:pPr>
      <w:r>
        <w:rPr>
          <w:rFonts w:ascii="Arial" w:cs="Arial" w:eastAsia="Arial" w:hAnsi="Arial"/>
          <w:sz w:val="18"/>
          <w:szCs w:val="18"/>
          <w:color w:val="auto"/>
        </w:rPr>
        <w:t>Supplier shall comply with the requirements set forth in Appendix K – EU Data Privacy and GDPR Data Processing Obligations attached hereto.</w:t>
      </w:r>
    </w:p>
    <w:p>
      <w:pPr>
        <w:spacing w:after="0" w:line="72" w:lineRule="exact"/>
        <w:rPr>
          <w:sz w:val="20"/>
          <w:szCs w:val="20"/>
          <w:color w:val="auto"/>
        </w:rPr>
      </w:pPr>
    </w:p>
    <w:p>
      <w:pPr>
        <w:ind w:left="440" w:right="180" w:hanging="436"/>
        <w:spacing w:after="0" w:line="282" w:lineRule="auto"/>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 new Appendix K – EU Data Privacy and GDPR Data Processing Obligations, a copy of which is attached hereto, is made a part of the Agreement by this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Agreement in all other respects remain unmodified and in full force and effect.</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460" w:right="440"/>
        <w:spacing w:after="0" w:line="261" w:lineRule="auto"/>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 representatives, and Amdocs, Inc. except under written agreement by the contracting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37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Amendment may be executed in multiple counterparts, each of which shall be deemed to constitute an original but all of which together shall constitute only one document.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the Agreement to be executed,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Amdocs Development Limited</w:t>
            </w:r>
          </w:p>
        </w:tc>
        <w:tc>
          <w:tcPr>
            <w:tcW w:w="4700" w:type="dxa"/>
            <w:vAlign w:val="bottom"/>
            <w:gridSpan w:val="4"/>
          </w:tcPr>
          <w:p>
            <w:pPr>
              <w:ind w:left="1100"/>
              <w:spacing w:after="0"/>
              <w:rPr>
                <w:sz w:val="20"/>
                <w:szCs w:val="20"/>
                <w:color w:val="auto"/>
              </w:rPr>
            </w:pPr>
            <w:r>
              <w:rPr>
                <w:rFonts w:ascii="Arial" w:cs="Arial" w:eastAsia="Arial" w:hAnsi="Arial"/>
                <w:sz w:val="18"/>
                <w:szCs w:val="18"/>
                <w:b w:val="1"/>
                <w:bCs w:val="1"/>
                <w:color w:val="auto"/>
              </w:rPr>
              <w:t>AT&amp;T Services, Inc.</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gridSpan w:val="3"/>
          </w:tcPr>
          <w:p>
            <w:pPr>
              <w:spacing w:after="0"/>
              <w:rPr>
                <w:sz w:val="24"/>
                <w:szCs w:val="24"/>
                <w:color w:val="auto"/>
              </w:rPr>
            </w:pPr>
          </w:p>
        </w:tc>
        <w:tc>
          <w:tcPr>
            <w:tcW w:w="1420" w:type="dxa"/>
            <w:vAlign w:val="bottom"/>
          </w:tcPr>
          <w:p>
            <w:pPr>
              <w:ind w:left="1100"/>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gridSpan w:val="3"/>
          </w:tcPr>
          <w:p>
            <w:pPr>
              <w:spacing w:after="0"/>
              <w:rPr>
                <w:sz w:val="24"/>
                <w:szCs w:val="24"/>
                <w:color w:val="auto"/>
              </w:rPr>
            </w:pPr>
          </w:p>
        </w:tc>
      </w:tr>
      <w:tr>
        <w:trPr>
          <w:trHeight w:val="345"/>
        </w:trPr>
        <w:tc>
          <w:tcPr>
            <w:tcW w:w="3420" w:type="dxa"/>
            <w:vAlign w:val="bottom"/>
            <w:gridSpan w:val="4"/>
          </w:tcPr>
          <w:p>
            <w:pPr>
              <w:spacing w:after="0"/>
              <w:rPr>
                <w:sz w:val="20"/>
                <w:szCs w:val="20"/>
                <w:color w:val="auto"/>
              </w:rPr>
            </w:pPr>
            <w:r>
              <w:rPr>
                <w:rFonts w:ascii="Arial" w:cs="Arial" w:eastAsia="Arial" w:hAnsi="Arial"/>
                <w:sz w:val="18"/>
                <w:szCs w:val="18"/>
                <w:color w:val="auto"/>
                <w:w w:val="91"/>
              </w:rPr>
              <w:t>Printed Name: _________________________</w:t>
            </w:r>
          </w:p>
        </w:tc>
        <w:tc>
          <w:tcPr>
            <w:tcW w:w="4700" w:type="dxa"/>
            <w:vAlign w:val="bottom"/>
            <w:gridSpan w:val="4"/>
          </w:tcPr>
          <w:p>
            <w:pPr>
              <w:ind w:left="1100"/>
              <w:spacing w:after="0"/>
              <w:rPr>
                <w:sz w:val="20"/>
                <w:szCs w:val="20"/>
                <w:color w:val="auto"/>
              </w:rPr>
            </w:pPr>
            <w:r>
              <w:rPr>
                <w:rFonts w:ascii="Arial" w:cs="Arial" w:eastAsia="Arial" w:hAnsi="Arial"/>
                <w:sz w:val="18"/>
                <w:szCs w:val="18"/>
                <w:color w:val="auto"/>
              </w:rPr>
              <w:t>Printed Name: Donna McCluskey</w:t>
            </w:r>
          </w:p>
        </w:tc>
      </w:tr>
      <w:tr>
        <w:trPr>
          <w:trHeight w:val="324"/>
        </w:trPr>
        <w:tc>
          <w:tcPr>
            <w:tcW w:w="3420" w:type="dxa"/>
            <w:vAlign w:val="bottom"/>
            <w:gridSpan w:val="4"/>
          </w:tcPr>
          <w:p>
            <w:pPr>
              <w:spacing w:after="0"/>
              <w:rPr>
                <w:sz w:val="20"/>
                <w:szCs w:val="20"/>
                <w:color w:val="auto"/>
              </w:rPr>
            </w:pPr>
            <w:r>
              <w:rPr>
                <w:rFonts w:ascii="Arial" w:cs="Arial" w:eastAsia="Arial" w:hAnsi="Arial"/>
                <w:sz w:val="18"/>
                <w:szCs w:val="18"/>
                <w:color w:val="auto"/>
                <w:w w:val="93"/>
              </w:rPr>
              <w:t>Title: ________________________________</w:t>
            </w:r>
          </w:p>
        </w:tc>
        <w:tc>
          <w:tcPr>
            <w:tcW w:w="4700" w:type="dxa"/>
            <w:vAlign w:val="bottom"/>
            <w:gridSpan w:val="4"/>
          </w:tcPr>
          <w:p>
            <w:pPr>
              <w:ind w:left="1100"/>
              <w:spacing w:after="0"/>
              <w:rPr>
                <w:sz w:val="20"/>
                <w:szCs w:val="20"/>
                <w:color w:val="auto"/>
              </w:rPr>
            </w:pPr>
            <w:r>
              <w:rPr>
                <w:rFonts w:ascii="Arial" w:cs="Arial" w:eastAsia="Arial" w:hAnsi="Arial"/>
                <w:sz w:val="18"/>
                <w:szCs w:val="18"/>
                <w:color w:val="auto"/>
              </w:rPr>
              <w:t>Title: Sr. Sourcing Manager</w:t>
            </w:r>
          </w:p>
        </w:tc>
      </w:tr>
      <w:tr>
        <w:trPr>
          <w:trHeight w:val="284"/>
        </w:trPr>
        <w:tc>
          <w:tcPr>
            <w:tcW w:w="440" w:type="dxa"/>
            <w:vAlign w:val="bottom"/>
            <w:gridSpan w:val="2"/>
          </w:tcPr>
          <w:p>
            <w:pPr>
              <w:spacing w:after="0"/>
              <w:rPr>
                <w:sz w:val="20"/>
                <w:szCs w:val="20"/>
                <w:color w:val="auto"/>
              </w:rPr>
            </w:pPr>
            <w:r>
              <w:rPr>
                <w:rFonts w:ascii="Arial" w:cs="Arial" w:eastAsia="Arial" w:hAnsi="Arial"/>
                <w:sz w:val="18"/>
                <w:szCs w:val="18"/>
                <w:color w:val="auto"/>
                <w:w w:val="97"/>
              </w:rPr>
              <w:t>Date:</w:t>
            </w:r>
          </w:p>
        </w:tc>
        <w:tc>
          <w:tcPr>
            <w:tcW w:w="2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w w:val="97"/>
              </w:rPr>
              <w:t>Date:</w:t>
            </w:r>
          </w:p>
        </w:tc>
        <w:tc>
          <w:tcPr>
            <w:tcW w:w="3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PPENDIX</w:t>
      </w:r>
      <w:r>
        <w:rPr>
          <w:rFonts w:ascii="Arial" w:cs="Arial" w:eastAsia="Arial" w:hAnsi="Arial"/>
          <w:sz w:val="18"/>
          <w:szCs w:val="18"/>
          <w:b w:val="1"/>
          <w:bCs w:val="1"/>
          <w:color w:val="auto"/>
        </w:rPr>
        <w:t xml:space="preserve"> 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 D</w:t>
      </w:r>
      <w:r>
        <w:rPr>
          <w:rFonts w:ascii="Arial" w:cs="Arial" w:eastAsia="Arial" w:hAnsi="Arial"/>
          <w:sz w:val="15"/>
          <w:szCs w:val="15"/>
          <w:b w:val="1"/>
          <w:bCs w:val="1"/>
          <w:color w:val="auto"/>
        </w:rPr>
        <w:t>ATA PRIVACY AND</w:t>
      </w:r>
      <w:r>
        <w:rPr>
          <w:rFonts w:ascii="Arial" w:cs="Arial" w:eastAsia="Arial" w:hAnsi="Arial"/>
          <w:sz w:val="18"/>
          <w:szCs w:val="18"/>
          <w:b w:val="1"/>
          <w:bCs w:val="1"/>
          <w:color w:val="auto"/>
        </w:rPr>
        <w:t xml:space="preserve"> GDPR D</w:t>
      </w:r>
      <w:r>
        <w:rPr>
          <w:rFonts w:ascii="Arial" w:cs="Arial" w:eastAsia="Arial" w:hAnsi="Arial"/>
          <w:sz w:val="15"/>
          <w:szCs w:val="15"/>
          <w:b w:val="1"/>
          <w:bCs w:val="1"/>
          <w:color w:val="auto"/>
        </w:rPr>
        <w:t>ATA</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ROCESSING OBLIGATIONS</w:t>
      </w:r>
    </w:p>
    <w:p>
      <w:pPr>
        <w:spacing w:after="0" w:line="229"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The provisions in this Appendix shall be applicable to the Processing of Personal Data that is subject to Data Privacy Laws. To the extent that there is a conflict between the terms and conditions elsewhere in this Agreement and those in this Appendix, the latter shall control to the extent of such conflict.</w:t>
      </w:r>
    </w:p>
    <w:p>
      <w:pPr>
        <w:spacing w:after="0" w:line="147" w:lineRule="exact"/>
        <w:rPr>
          <w:sz w:val="20"/>
          <w:szCs w:val="20"/>
          <w:color w:val="auto"/>
        </w:rPr>
      </w:pPr>
    </w:p>
    <w:p>
      <w:pPr>
        <w:ind w:left="440" w:hanging="436"/>
        <w:spacing w:after="0"/>
        <w:tabs>
          <w:tab w:leader="none" w:pos="4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shall apply to this Appendix: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Controller</w:t>
      </w:r>
      <w:r>
        <w:rPr>
          <w:rFonts w:ascii="Arial" w:cs="Arial" w:eastAsia="Arial" w:hAnsi="Arial"/>
          <w:sz w:val="18"/>
          <w:szCs w:val="18"/>
          <w:color w:val="auto"/>
        </w:rPr>
        <w:t>: a natural or legal person who is considered to be a “controller” in relation to the Personal Data under the GDPR.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Processor</w:t>
      </w:r>
      <w:r>
        <w:rPr>
          <w:rFonts w:ascii="Arial" w:cs="Arial" w:eastAsia="Arial" w:hAnsi="Arial"/>
          <w:sz w:val="18"/>
          <w:szCs w:val="18"/>
          <w:color w:val="auto"/>
        </w:rPr>
        <w:t>: a natural or legal person who is considered to be a “processor” of the Data Controller under the GDPR.</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Data Privacy Laws</w:t>
      </w:r>
      <w:r>
        <w:rPr>
          <w:rFonts w:ascii="Arial" w:cs="Arial" w:eastAsia="Arial" w:hAnsi="Arial"/>
          <w:sz w:val="18"/>
          <w:szCs w:val="18"/>
          <w:color w:val="auto"/>
        </w:rPr>
        <w:t>: applicable laws or regulations of the European Union (including those applicable in the European Economic Area) and member</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the European Economic Area in relation to Personal Data.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Subject</w:t>
      </w:r>
      <w:r>
        <w:rPr>
          <w:rFonts w:ascii="Arial" w:cs="Arial" w:eastAsia="Arial" w:hAnsi="Arial"/>
          <w:sz w:val="18"/>
          <w:szCs w:val="18"/>
          <w:color w:val="auto"/>
        </w:rPr>
        <w:t>: has the meaning ascribed to “data subject” under the GDPR.</w:t>
      </w:r>
    </w:p>
    <w:p>
      <w:pPr>
        <w:spacing w:after="0" w:line="117"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GDPR</w:t>
      </w:r>
      <w:r>
        <w:rPr>
          <w:rFonts w:ascii="Arial" w:cs="Arial" w:eastAsia="Arial" w:hAnsi="Arial"/>
          <w:sz w:val="16"/>
          <w:szCs w:val="16"/>
          <w:color w:val="auto"/>
        </w:rPr>
        <w:t>: Regulation (EU) 2016/679 of the European Parliament and of the Council of 27 April 2016 on the protection of natural persons with regard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processing of personal data and on the free movement of such data, and repealing Directive 95/46/EC (General Data Protection Regulation).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Data</w:t>
      </w:r>
      <w:r>
        <w:rPr>
          <w:rFonts w:ascii="Arial" w:cs="Arial" w:eastAsia="Arial" w:hAnsi="Arial"/>
          <w:sz w:val="18"/>
          <w:szCs w:val="18"/>
          <w:color w:val="auto"/>
        </w:rPr>
        <w:t>: any information that is considered under the GDPR to be “personal data” that Supplier Processes under this Agreement.</w:t>
      </w:r>
    </w:p>
    <w:p>
      <w:pPr>
        <w:spacing w:after="0" w:line="11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Personal Data Breach</w:t>
      </w:r>
      <w:r>
        <w:rPr>
          <w:rFonts w:ascii="Arial" w:cs="Arial" w:eastAsia="Arial" w:hAnsi="Arial"/>
          <w:sz w:val="18"/>
          <w:szCs w:val="18"/>
          <w:color w:val="auto"/>
        </w:rPr>
        <w:t>: has the meaning ascribed to “personal data breach” under the GDPR, to the extent that such breach occurs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Data.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Process </w:t>
      </w:r>
      <w:r>
        <w:rPr>
          <w:rFonts w:ascii="Arial" w:cs="Arial" w:eastAsia="Arial" w:hAnsi="Arial"/>
          <w:sz w:val="18"/>
          <w:szCs w:val="18"/>
          <w:color w:val="auto"/>
        </w:rPr>
        <w:t>and</w:t>
      </w:r>
      <w:r>
        <w:rPr>
          <w:rFonts w:ascii="Arial" w:cs="Arial" w:eastAsia="Arial" w:hAnsi="Arial"/>
          <w:sz w:val="18"/>
          <w:szCs w:val="18"/>
          <w:b w:val="1"/>
          <w:bCs w:val="1"/>
          <w:color w:val="auto"/>
        </w:rPr>
        <w:t xml:space="preserve"> Processing</w:t>
      </w:r>
      <w:r>
        <w:rPr>
          <w:rFonts w:ascii="Arial" w:cs="Arial" w:eastAsia="Arial" w:hAnsi="Arial"/>
          <w:sz w:val="18"/>
          <w:szCs w:val="18"/>
          <w:color w:val="auto"/>
        </w:rPr>
        <w:t>: have the meaning ascribed to “process” or “processing” under the GDPR.</w:t>
      </w:r>
    </w:p>
    <w:p>
      <w:pPr>
        <w:spacing w:after="0" w:line="117"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 xml:space="preserve">Restricted Jurisdiction: </w:t>
      </w:r>
      <w:r>
        <w:rPr>
          <w:rFonts w:ascii="Arial" w:cs="Arial" w:eastAsia="Arial" w:hAnsi="Arial"/>
          <w:sz w:val="17"/>
          <w:szCs w:val="17"/>
          <w:color w:val="auto"/>
        </w:rPr>
        <w:t>a country outside the European Union or, if applicable, a specific territory or sector within such a country, or an international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in each case, which the European Commission has not decided ensures an adequate level of data protection.</w:t>
      </w:r>
    </w:p>
    <w:p>
      <w:pPr>
        <w:spacing w:after="0" w:line="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Sub-Data Processor</w:t>
      </w:r>
      <w:r>
        <w:rPr>
          <w:rFonts w:ascii="Arial" w:cs="Arial" w:eastAsia="Arial" w:hAnsi="Arial"/>
          <w:sz w:val="18"/>
          <w:szCs w:val="18"/>
          <w:color w:val="auto"/>
        </w:rPr>
        <w:t>: a natural or legal person who is engaged (directly or indirectly) by the Data Processor to carry out specific Processing activities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Data Controller.</w:t>
      </w:r>
    </w:p>
    <w:p>
      <w:pPr>
        <w:spacing w:after="0" w:line="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Supervisory Authority: </w:t>
      </w:r>
      <w:r>
        <w:rPr>
          <w:rFonts w:ascii="Arial" w:cs="Arial" w:eastAsia="Arial" w:hAnsi="Arial"/>
          <w:sz w:val="18"/>
          <w:szCs w:val="18"/>
          <w:color w:val="auto"/>
        </w:rPr>
        <w:t>any governmental authority, agency or regulator in relation to Personal Data, including “supervisory authorities” as understood</w:t>
      </w:r>
      <w:r>
        <w:rPr>
          <w:rFonts w:ascii="Arial" w:cs="Arial" w:eastAsia="Arial" w:hAnsi="Arial"/>
          <w:sz w:val="18"/>
          <w:szCs w:val="18"/>
          <w:b w:val="1"/>
          <w:bCs w:val="1"/>
          <w:color w:val="auto"/>
        </w:rPr>
        <w:t xml:space="preserve"> </w:t>
      </w:r>
      <w:r>
        <w:rPr>
          <w:rFonts w:ascii="Arial" w:cs="Arial" w:eastAsia="Arial" w:hAnsi="Arial"/>
          <w:sz w:val="18"/>
          <w:szCs w:val="18"/>
          <w:color w:val="auto"/>
        </w:rPr>
        <w:t>under Data Privacy Laws.</w:t>
      </w:r>
    </w:p>
    <w:p>
      <w:pPr>
        <w:spacing w:after="0" w:line="189" w:lineRule="exact"/>
        <w:rPr>
          <w:sz w:val="20"/>
          <w:szCs w:val="20"/>
          <w:color w:val="auto"/>
        </w:rPr>
      </w:pPr>
    </w:p>
    <w:p>
      <w:pPr>
        <w:ind w:left="440" w:hanging="436"/>
        <w:spacing w:after="0"/>
        <w:tabs>
          <w:tab w:leader="none" w:pos="4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Supplier as Data Processor or Sub-Data Processor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Section 2 applies to the extent that in relation to particular Personal Data:</w:t>
      </w:r>
    </w:p>
    <w:p>
      <w:pPr>
        <w:spacing w:after="0" w:line="131" w:lineRule="exact"/>
        <w:rPr>
          <w:sz w:val="20"/>
          <w:szCs w:val="20"/>
          <w:color w:val="auto"/>
        </w:rPr>
      </w:pPr>
    </w:p>
    <w:p>
      <w:pPr>
        <w:ind w:left="980" w:hanging="436"/>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AT&amp;T is a Data Controller and Supplier is its Data Processor; or</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AT&amp;T is a Data Processor and Supplier is its Sub-Data Processor.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53258.A.001</w:t>
      </w:r>
    </w:p>
    <w:p>
      <w:pPr>
        <w:spacing w:after="0" w:line="15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Supplier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Without limiting its obligations under Section 2, Supplier shall:</w:t>
      </w:r>
    </w:p>
    <w:p>
      <w:pPr>
        <w:spacing w:after="0" w:line="131" w:lineRule="exact"/>
        <w:rPr>
          <w:sz w:val="20"/>
          <w:szCs w:val="20"/>
          <w:color w:val="auto"/>
        </w:rPr>
      </w:pPr>
    </w:p>
    <w:p>
      <w:pPr>
        <w:ind w:left="980" w:hanging="544"/>
        <w:spacing w:after="0" w:line="264"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Process such Personal Data only in accordance with the instructions that are set forth in this Agreement and Exhibit 1 to this Appendix or are otherwise agreed to by the Parties in writing including as to the subject-matter and duration of the Processing, the nature and purpose of the Processing, the type of Personal Data and categories of Data Subjects;</w:t>
      </w:r>
    </w:p>
    <w:p>
      <w:pPr>
        <w:spacing w:after="0" w:line="86" w:lineRule="exact"/>
        <w:rPr>
          <w:rFonts w:ascii="Arial" w:cs="Arial" w:eastAsia="Arial" w:hAnsi="Arial"/>
          <w:sz w:val="18"/>
          <w:szCs w:val="18"/>
          <w:color w:val="auto"/>
        </w:rPr>
      </w:pPr>
    </w:p>
    <w:p>
      <w:pPr>
        <w:ind w:left="980" w:right="980" w:hanging="54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ensure that Supplier’s employees, agents and contractors who Process such Personal Data are subject to written obligations of confidentiality;</w:t>
      </w:r>
    </w:p>
    <w:p>
      <w:pPr>
        <w:spacing w:after="0" w:line="75" w:lineRule="exact"/>
        <w:rPr>
          <w:rFonts w:ascii="Arial" w:cs="Arial" w:eastAsia="Arial" w:hAnsi="Arial"/>
          <w:sz w:val="18"/>
          <w:szCs w:val="18"/>
          <w:color w:val="auto"/>
        </w:rPr>
      </w:pPr>
    </w:p>
    <w:p>
      <w:pPr>
        <w:ind w:left="980" w:right="80" w:hanging="544"/>
        <w:spacing w:after="0" w:line="279"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implement the technical and organizational security measures that are set forth in this Agreement and Exhibit 1 to this Appendix to ensure a level of security appropriate to the risk, taking into account: (i) the state of the art, costs of implementation, nature, scope, context and purposes of the Processing; and (ii) the risks of accidental or unlawful destruction, loss, alteration, unauthorized disclosure of, or access to such Personal Data that is Processed with respect to all Processing of Personal Data;</w:t>
      </w:r>
    </w:p>
    <w:p>
      <w:pPr>
        <w:spacing w:after="0" w:line="76" w:lineRule="exact"/>
        <w:rPr>
          <w:rFonts w:ascii="Arial" w:cs="Arial" w:eastAsia="Arial" w:hAnsi="Arial"/>
          <w:sz w:val="17"/>
          <w:szCs w:val="17"/>
          <w:color w:val="auto"/>
        </w:rPr>
      </w:pPr>
    </w:p>
    <w:p>
      <w:pPr>
        <w:ind w:left="980" w:hanging="54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have such Personal Data Processed by another natural or legal person except to the extent that Supplier has: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received the prior specific or general written authorization of AT&amp;T for such Processing;</w:t>
      </w:r>
    </w:p>
    <w:p>
      <w:pPr>
        <w:spacing w:after="0" w:line="130" w:lineRule="exact"/>
        <w:rPr>
          <w:rFonts w:ascii="Arial" w:cs="Arial" w:eastAsia="Arial" w:hAnsi="Arial"/>
          <w:sz w:val="18"/>
          <w:szCs w:val="18"/>
          <w:color w:val="auto"/>
        </w:rPr>
      </w:pPr>
    </w:p>
    <w:p>
      <w:pPr>
        <w:ind w:left="1420" w:right="160" w:hanging="322"/>
        <w:spacing w:after="0" w:line="277"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imposed on such other natural or legal person data protection obligations that are the same in all material respects as those set forth in this Appendix, to the extent required pursuant to Data Privacy Laws;</w:t>
      </w:r>
    </w:p>
    <w:p>
      <w:pPr>
        <w:spacing w:after="0" w:line="75" w:lineRule="exact"/>
        <w:rPr>
          <w:rFonts w:ascii="Arial" w:cs="Arial" w:eastAsia="Arial" w:hAnsi="Arial"/>
          <w:sz w:val="18"/>
          <w:szCs w:val="18"/>
          <w:color w:val="auto"/>
        </w:rPr>
      </w:pPr>
    </w:p>
    <w:p>
      <w:pPr>
        <w:jc w:val="both"/>
        <w:ind w:left="1420" w:right="20" w:hanging="322"/>
        <w:spacing w:after="0" w:line="264"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with respect to Sub-Data Processors for which Supplier has received general written authorization, informed AT&amp;T in writing of any changes concerning the addition or replacement of such Sub-Data Processors and obtained AT&amp;T’s written consent prior to allowing Processing by such Sub-Data Processor;</w:t>
      </w:r>
    </w:p>
    <w:p>
      <w:pPr>
        <w:spacing w:after="0" w:line="86" w:lineRule="exact"/>
        <w:rPr>
          <w:rFonts w:ascii="Arial" w:cs="Arial" w:eastAsia="Arial" w:hAnsi="Arial"/>
          <w:sz w:val="18"/>
          <w:szCs w:val="18"/>
          <w:color w:val="auto"/>
        </w:rPr>
      </w:pPr>
    </w:p>
    <w:p>
      <w:pPr>
        <w:ind w:left="980" w:right="300" w:hanging="544"/>
        <w:spacing w:after="0" w:line="259"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notify AT&amp;T in writing through its business contact of any communications or requests in relation to Personal Data received from Data Subjects, Supervisory Authorities or other third parties without undue delay following receipt of such communications or requests. Supplier shall provide such notices via e-mail to its business contact with a copy to privacypolicy@att.com with the subject line stating “URGENT—Personal Data Related.”</w:t>
      </w:r>
    </w:p>
    <w:p>
      <w:pPr>
        <w:spacing w:after="0" w:line="92" w:lineRule="exact"/>
        <w:rPr>
          <w:rFonts w:ascii="Arial" w:cs="Arial" w:eastAsia="Arial" w:hAnsi="Arial"/>
          <w:sz w:val="18"/>
          <w:szCs w:val="18"/>
          <w:color w:val="auto"/>
        </w:rPr>
      </w:pPr>
    </w:p>
    <w:p>
      <w:pPr>
        <w:ind w:left="980" w:right="60" w:hanging="544"/>
        <w:spacing w:after="0" w:line="312"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taking into account the nature of Supplier’s Processing activities, assist AT&amp;T at AT&amp;T’s reasonable request to enable the (i) Data Controller to fulfill its obligations to respond to requests by Data Subjects in relation to their rights under Data Privacy Laws, and (ii) Data Controller (and if different, AT&amp;T) to fulfill its obligations to respond to requests by Supervisory Authorities and other third parties;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8" w:lineRule="exact"/>
        <w:rPr>
          <w:sz w:val="20"/>
          <w:szCs w:val="20"/>
          <w:color w:val="auto"/>
        </w:rPr>
      </w:pPr>
    </w:p>
    <w:p>
      <w:pPr>
        <w:ind w:left="544" w:hanging="544"/>
        <w:spacing w:after="0"/>
        <w:tabs>
          <w:tab w:leader="none" w:pos="5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taking into account the nature of Supplier’s Processing of such Personal Data and information available to Supplier:</w:t>
      </w:r>
    </w:p>
    <w:p>
      <w:pPr>
        <w:spacing w:after="0" w:line="130" w:lineRule="exact"/>
        <w:rPr>
          <w:rFonts w:ascii="Arial" w:cs="Arial" w:eastAsia="Arial" w:hAnsi="Arial"/>
          <w:sz w:val="18"/>
          <w:szCs w:val="18"/>
          <w:color w:val="auto"/>
        </w:rPr>
      </w:pPr>
    </w:p>
    <w:p>
      <w:pPr>
        <w:ind w:left="984" w:right="460" w:hanging="322"/>
        <w:spacing w:after="0" w:line="277" w:lineRule="auto"/>
        <w:tabs>
          <w:tab w:leader="none" w:pos="984"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notify AT&amp;T by calling AT&amp;T Asset Protection (at 800-807-4205 within the U.S. or +1 908-658-0380 outside the U.S.) of any Personal Data Breach without undue delay after becoming aware of such breach; and</w:t>
      </w:r>
    </w:p>
    <w:p>
      <w:pPr>
        <w:spacing w:after="0" w:line="75" w:lineRule="exact"/>
        <w:rPr>
          <w:rFonts w:ascii="Arial" w:cs="Arial" w:eastAsia="Arial" w:hAnsi="Arial"/>
          <w:sz w:val="18"/>
          <w:szCs w:val="18"/>
          <w:color w:val="auto"/>
        </w:rPr>
      </w:pPr>
    </w:p>
    <w:p>
      <w:pPr>
        <w:ind w:left="984" w:right="280" w:hanging="322"/>
        <w:spacing w:after="0" w:line="277" w:lineRule="auto"/>
        <w:tabs>
          <w:tab w:leader="none" w:pos="984"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without undue delay provide reasonable assistance to AT&amp;T in relation to any obligations of the Data Controller (including under Data Privacy Laws) in relation to:</w:t>
      </w:r>
    </w:p>
    <w:p>
      <w:pPr>
        <w:spacing w:after="0" w:line="75" w:lineRule="exact"/>
        <w:rPr>
          <w:rFonts w:ascii="Arial" w:cs="Arial" w:eastAsia="Arial" w:hAnsi="Arial"/>
          <w:sz w:val="18"/>
          <w:szCs w:val="18"/>
          <w:color w:val="auto"/>
        </w:rPr>
      </w:pPr>
    </w:p>
    <w:p>
      <w:pPr>
        <w:ind w:left="1644" w:hanging="537"/>
        <w:spacing w:after="0"/>
        <w:tabs>
          <w:tab w:leader="none" w:pos="1644" w:val="left"/>
        </w:tabs>
        <w:numPr>
          <w:ilvl w:val="2"/>
          <w:numId w:val="65"/>
        </w:numPr>
        <w:rPr>
          <w:rFonts w:ascii="Arial" w:cs="Arial" w:eastAsia="Arial" w:hAnsi="Arial"/>
          <w:sz w:val="18"/>
          <w:szCs w:val="18"/>
          <w:color w:val="auto"/>
        </w:rPr>
      </w:pPr>
      <w:r>
        <w:rPr>
          <w:rFonts w:ascii="Arial" w:cs="Arial" w:eastAsia="Arial" w:hAnsi="Arial"/>
          <w:sz w:val="18"/>
          <w:szCs w:val="18"/>
          <w:color w:val="auto"/>
        </w:rPr>
        <w:t>a Personal Data Breach; and</w:t>
      </w:r>
    </w:p>
    <w:p>
      <w:pPr>
        <w:spacing w:after="0" w:line="130" w:lineRule="exact"/>
        <w:rPr>
          <w:rFonts w:ascii="Arial" w:cs="Arial" w:eastAsia="Arial" w:hAnsi="Arial"/>
          <w:sz w:val="18"/>
          <w:szCs w:val="18"/>
          <w:color w:val="auto"/>
        </w:rPr>
      </w:pPr>
    </w:p>
    <w:p>
      <w:pPr>
        <w:ind w:left="1644" w:hanging="537"/>
        <w:spacing w:after="0"/>
        <w:tabs>
          <w:tab w:leader="none" w:pos="1644"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performance of data protection impact assessments by the Data Controller.</w:t>
      </w:r>
    </w:p>
    <w:p>
      <w:pPr>
        <w:spacing w:after="0" w:line="117" w:lineRule="exact"/>
        <w:rPr>
          <w:sz w:val="20"/>
          <w:szCs w:val="20"/>
          <w:color w:val="auto"/>
        </w:rPr>
      </w:pPr>
    </w:p>
    <w:p>
      <w:pPr>
        <w:ind w:left="564" w:right="220"/>
        <w:spacing w:after="0" w:line="264" w:lineRule="auto"/>
        <w:rPr>
          <w:sz w:val="20"/>
          <w:szCs w:val="20"/>
          <w:color w:val="auto"/>
        </w:rPr>
      </w:pPr>
      <w:r>
        <w:rPr>
          <w:rFonts w:ascii="Arial" w:cs="Arial" w:eastAsia="Arial" w:hAnsi="Arial"/>
          <w:sz w:val="18"/>
          <w:szCs w:val="18"/>
          <w:color w:val="auto"/>
        </w:rPr>
        <w:t>To the extent that the assistance required of Supplier under subsections (f) and (g) above may require Supplier to incur substantial costs, Supplier will notify AT&amp;T in advance of incurring such costs and the Parties will negotiate in good faith the fees, if any, to be paid to Supplier for such assistance.</w:t>
      </w:r>
    </w:p>
    <w:p>
      <w:pPr>
        <w:spacing w:after="0" w:line="87" w:lineRule="exact"/>
        <w:rPr>
          <w:sz w:val="20"/>
          <w:szCs w:val="20"/>
          <w:color w:val="auto"/>
        </w:rPr>
      </w:pPr>
    </w:p>
    <w:p>
      <w:pPr>
        <w:ind w:left="544" w:right="20" w:hanging="544"/>
        <w:spacing w:after="0" w:line="297" w:lineRule="auto"/>
        <w:tabs>
          <w:tab w:leader="none" w:pos="544"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securely delete all such Personal Data, including all existing copies (or, to the extent AT&amp;T reasonably requests, securely return the Personal Data and copies to AT&amp;T in a commonly used data format (to be agreed by the Parties acting reasonably), when no longer needed for the purposes for which it was collected, which shall be within 30 days of the end of the term of this Agreement at the latest unless otherwise reasonably requested by AT&amp;T, provided, however, that no such deletion will be required to the extent that </w:t>
      </w:r>
      <w:r>
        <w:rPr>
          <w:rFonts w:ascii="Arial" w:cs="Arial" w:eastAsia="Arial" w:hAnsi="Arial"/>
          <w:sz w:val="16"/>
          <w:szCs w:val="16"/>
          <w:b w:val="1"/>
          <w:bCs w:val="1"/>
          <w:color w:val="auto"/>
        </w:rPr>
        <w:t>(a)</w:t>
      </w:r>
      <w:r>
        <w:rPr>
          <w:rFonts w:ascii="Arial" w:cs="Arial" w:eastAsia="Arial" w:hAnsi="Arial"/>
          <w:sz w:val="16"/>
          <w:szCs w:val="16"/>
          <w:color w:val="auto"/>
        </w:rPr>
        <w:t xml:space="preserve"> applicable law requires storage of such data beyond such period; or </w:t>
      </w:r>
      <w:r>
        <w:rPr>
          <w:rFonts w:ascii="Arial" w:cs="Arial" w:eastAsia="Arial" w:hAnsi="Arial"/>
          <w:sz w:val="16"/>
          <w:szCs w:val="16"/>
          <w:b w:val="1"/>
          <w:bCs w:val="1"/>
          <w:color w:val="auto"/>
        </w:rPr>
        <w:t>(b)</w:t>
      </w:r>
      <w:r>
        <w:rPr>
          <w:rFonts w:ascii="Arial" w:cs="Arial" w:eastAsia="Arial" w:hAnsi="Arial"/>
          <w:sz w:val="16"/>
          <w:szCs w:val="16"/>
          <w:color w:val="auto"/>
        </w:rPr>
        <w:t xml:space="preserve"> AT&amp;T instructs Supplier in writing to retain such data beyond such period; and</w:t>
      </w:r>
    </w:p>
    <w:p>
      <w:pPr>
        <w:spacing w:after="0" w:line="63" w:lineRule="exact"/>
        <w:rPr>
          <w:rFonts w:ascii="Arial" w:cs="Arial" w:eastAsia="Arial" w:hAnsi="Arial"/>
          <w:sz w:val="16"/>
          <w:szCs w:val="16"/>
          <w:color w:val="auto"/>
        </w:rPr>
      </w:pPr>
    </w:p>
    <w:p>
      <w:pPr>
        <w:ind w:left="544" w:right="160" w:hanging="544"/>
        <w:spacing w:after="0" w:line="272" w:lineRule="auto"/>
        <w:tabs>
          <w:tab w:leader="none" w:pos="544"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 AT&amp;T’s request, make available to AT&amp;T all information necessary to demonstrate compliance with Supplier’s obligations under this Appendix concerning the Supplier’s data security and privacy procedures relating to the processing of Personal Data for the purpose of demonstrating compliance with the obligations laid down in Article 28 of the GDPR and allow for and contribute to audits, including inspections, conducted by the Data Controller or another auditor mandated by the Data Controller in accordance with Section 3.31 of this Agreement, provided that Supplier shall notify AT&amp;T in writing if it believes in good faith that the exercise of rights under this Section 3.1(i) would infringe Data Privacy Laws. Supplier agrees that AT&amp;T has the right under the GDPR to disclose some or all of the information contained in, or obtained in connection with, this Appendix to:</w:t>
      </w:r>
    </w:p>
    <w:p>
      <w:pPr>
        <w:spacing w:after="0" w:line="83" w:lineRule="exact"/>
        <w:rPr>
          <w:rFonts w:ascii="Arial" w:cs="Arial" w:eastAsia="Arial" w:hAnsi="Arial"/>
          <w:sz w:val="17"/>
          <w:szCs w:val="17"/>
          <w:color w:val="auto"/>
        </w:rPr>
      </w:pPr>
    </w:p>
    <w:p>
      <w:pPr>
        <w:ind w:left="1644" w:hanging="537"/>
        <w:spacing w:after="0"/>
        <w:tabs>
          <w:tab w:leader="none" w:pos="16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Data Controllers, Supervisory Authorities, Data Subjects; and</w:t>
      </w:r>
    </w:p>
    <w:p>
      <w:pPr>
        <w:spacing w:after="0" w:line="130" w:lineRule="exact"/>
        <w:rPr>
          <w:rFonts w:ascii="Arial" w:cs="Arial" w:eastAsia="Arial" w:hAnsi="Arial"/>
          <w:sz w:val="18"/>
          <w:szCs w:val="18"/>
          <w:color w:val="auto"/>
        </w:rPr>
      </w:pPr>
    </w:p>
    <w:p>
      <w:pPr>
        <w:ind w:left="1644" w:hanging="537"/>
        <w:spacing w:after="0"/>
        <w:tabs>
          <w:tab w:leader="none" w:pos="1644" w:val="left"/>
        </w:tabs>
        <w:numPr>
          <w:ilvl w:val="1"/>
          <w:numId w:val="66"/>
        </w:numPr>
        <w:rPr>
          <w:rFonts w:ascii="Arial" w:cs="Arial" w:eastAsia="Arial" w:hAnsi="Arial"/>
          <w:sz w:val="18"/>
          <w:szCs w:val="18"/>
          <w:color w:val="auto"/>
        </w:rPr>
      </w:pPr>
      <w:r>
        <w:rPr>
          <w:rFonts w:ascii="Arial" w:cs="Arial" w:eastAsia="Arial" w:hAnsi="Arial"/>
          <w:sz w:val="18"/>
          <w:szCs w:val="18"/>
          <w:color w:val="auto"/>
        </w:rPr>
        <w:t>other third parties to the extent required under Data Privacy Laws; and</w:t>
      </w:r>
    </w:p>
    <w:p>
      <w:pPr>
        <w:spacing w:after="0" w:line="154" w:lineRule="exact"/>
        <w:rPr>
          <w:sz w:val="20"/>
          <w:szCs w:val="20"/>
          <w:color w:val="auto"/>
        </w:rPr>
      </w:pPr>
    </w:p>
    <w:p>
      <w:pPr>
        <w:jc w:val="center"/>
        <w:ind w:right="416"/>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416"/>
        <w:spacing w:after="0"/>
        <w:rPr>
          <w:sz w:val="20"/>
          <w:szCs w:val="20"/>
          <w:color w:val="auto"/>
        </w:rPr>
      </w:pPr>
      <w:r>
        <w:rPr>
          <w:rFonts w:ascii="Arial" w:cs="Arial" w:eastAsia="Arial" w:hAnsi="Arial"/>
          <w:sz w:val="16"/>
          <w:szCs w:val="16"/>
          <w:color w:val="auto"/>
        </w:rPr>
        <w:t>This Amendment and information contained therein is not for use or disclosure outside of AT&amp;T Services, Inc., its Affiliates, and third-party</w:t>
      </w:r>
    </w:p>
    <w:p>
      <w:pPr>
        <w:spacing w:after="0" w:line="3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4"/>
          </w:cols>
          <w:pgMar w:left="876" w:top="274" w:right="4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53258.A.001</w:t>
      </w:r>
    </w:p>
    <w:p>
      <w:pPr>
        <w:spacing w:after="0" w:line="158" w:lineRule="exact"/>
        <w:rPr>
          <w:sz w:val="20"/>
          <w:szCs w:val="20"/>
          <w:color w:val="auto"/>
        </w:rPr>
      </w:pPr>
    </w:p>
    <w:p>
      <w:pPr>
        <w:ind w:left="980" w:right="380" w:hanging="54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and keep current its processing-related information, Data Protection Officer information, and point of contact information in a medium and form acceptable to AT&amp;T.</w:t>
      </w:r>
    </w:p>
    <w:p>
      <w:pPr>
        <w:spacing w:after="0" w:line="72" w:lineRule="exact"/>
        <w:rPr>
          <w:sz w:val="20"/>
          <w:szCs w:val="20"/>
          <w:color w:val="auto"/>
        </w:rPr>
      </w:pPr>
    </w:p>
    <w:p>
      <w:pPr>
        <w:ind w:left="440" w:right="160" w:hanging="431"/>
        <w:spacing w:after="0" w:line="289" w:lineRule="auto"/>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b w:val="1"/>
          <w:bCs w:val="1"/>
          <w:color w:val="auto"/>
        </w:rPr>
        <w:t xml:space="preserve">Cross-Border Transfers to Restricted Jurisdictions. </w:t>
      </w:r>
      <w:r>
        <w:rPr>
          <w:rFonts w:ascii="Arial" w:cs="Arial" w:eastAsia="Arial" w:hAnsi="Arial"/>
          <w:sz w:val="17"/>
          <w:szCs w:val="17"/>
          <w:color w:val="auto"/>
        </w:rPr>
        <w:t>With respect to Personal Data originating in a country identified in Table 1, below, and</w:t>
      </w:r>
      <w:r>
        <w:rPr>
          <w:rFonts w:ascii="Arial" w:cs="Arial" w:eastAsia="Arial" w:hAnsi="Arial"/>
          <w:sz w:val="17"/>
          <w:szCs w:val="17"/>
          <w:b w:val="1"/>
          <w:bCs w:val="1"/>
          <w:color w:val="auto"/>
        </w:rPr>
        <w:t xml:space="preserve"> </w:t>
      </w:r>
      <w:r>
        <w:rPr>
          <w:rFonts w:ascii="Arial" w:cs="Arial" w:eastAsia="Arial" w:hAnsi="Arial"/>
          <w:sz w:val="17"/>
          <w:szCs w:val="17"/>
          <w:color w:val="auto"/>
        </w:rPr>
        <w:t>processed by Supplier in a Restricted Jurisdiction, Supplier shall process (including making any transfers of) such data in accordance with (i) the terms and conditions set out in this Appendix, (ii) Appendix L, Standard Contractual Clauses and (iii) Data Privacy Laws.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TABLE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AUSTRIA</w:t>
            </w:r>
          </w:p>
        </w:tc>
        <w:tc>
          <w:tcPr>
            <w:tcW w:w="2760" w:type="dxa"/>
            <w:vAlign w:val="bottom"/>
          </w:tcPr>
          <w:p>
            <w:pPr>
              <w:ind w:left="860"/>
              <w:spacing w:after="0"/>
              <w:rPr>
                <w:sz w:val="20"/>
                <w:szCs w:val="20"/>
                <w:color w:val="auto"/>
              </w:rPr>
            </w:pPr>
            <w:r>
              <w:rPr>
                <w:rFonts w:ascii="Arial" w:cs="Arial" w:eastAsia="Arial" w:hAnsi="Arial"/>
                <w:sz w:val="18"/>
                <w:szCs w:val="18"/>
                <w:color w:val="auto"/>
              </w:rPr>
              <w:t>FINLAND</w:t>
            </w:r>
          </w:p>
        </w:tc>
        <w:tc>
          <w:tcPr>
            <w:tcW w:w="3080" w:type="dxa"/>
            <w:vAlign w:val="bottom"/>
          </w:tcPr>
          <w:p>
            <w:pPr>
              <w:ind w:left="1000"/>
              <w:spacing w:after="0"/>
              <w:rPr>
                <w:sz w:val="20"/>
                <w:szCs w:val="20"/>
                <w:color w:val="auto"/>
              </w:rPr>
            </w:pPr>
            <w:r>
              <w:rPr>
                <w:rFonts w:ascii="Arial" w:cs="Arial" w:eastAsia="Arial" w:hAnsi="Arial"/>
                <w:sz w:val="18"/>
                <w:szCs w:val="18"/>
                <w:color w:val="auto"/>
              </w:rPr>
              <w:t>LATVIA</w:t>
            </w:r>
          </w:p>
        </w:tc>
        <w:tc>
          <w:tcPr>
            <w:tcW w:w="2280" w:type="dxa"/>
            <w:vAlign w:val="bottom"/>
          </w:tcPr>
          <w:p>
            <w:pPr>
              <w:ind w:left="700"/>
              <w:spacing w:after="0"/>
              <w:rPr>
                <w:sz w:val="20"/>
                <w:szCs w:val="20"/>
                <w:color w:val="auto"/>
              </w:rPr>
            </w:pPr>
            <w:r>
              <w:rPr>
                <w:rFonts w:ascii="Arial" w:cs="Arial" w:eastAsia="Arial" w:hAnsi="Arial"/>
                <w:sz w:val="18"/>
                <w:szCs w:val="18"/>
                <w:color w:val="auto"/>
              </w:rPr>
              <w:t>PORTUGAL</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BELGIUM</w:t>
            </w:r>
          </w:p>
        </w:tc>
        <w:tc>
          <w:tcPr>
            <w:tcW w:w="2760" w:type="dxa"/>
            <w:vAlign w:val="bottom"/>
          </w:tcPr>
          <w:p>
            <w:pPr>
              <w:ind w:left="860"/>
              <w:spacing w:after="0"/>
              <w:rPr>
                <w:sz w:val="20"/>
                <w:szCs w:val="20"/>
                <w:color w:val="auto"/>
              </w:rPr>
            </w:pPr>
            <w:r>
              <w:rPr>
                <w:rFonts w:ascii="Arial" w:cs="Arial" w:eastAsia="Arial" w:hAnsi="Arial"/>
                <w:sz w:val="18"/>
                <w:szCs w:val="18"/>
                <w:color w:val="auto"/>
              </w:rPr>
              <w:t>FRANCE</w:t>
            </w:r>
          </w:p>
        </w:tc>
        <w:tc>
          <w:tcPr>
            <w:tcW w:w="3080" w:type="dxa"/>
            <w:vAlign w:val="bottom"/>
          </w:tcPr>
          <w:p>
            <w:pPr>
              <w:ind w:left="1000"/>
              <w:spacing w:after="0"/>
              <w:rPr>
                <w:sz w:val="20"/>
                <w:szCs w:val="20"/>
                <w:color w:val="auto"/>
              </w:rPr>
            </w:pPr>
            <w:r>
              <w:rPr>
                <w:rFonts w:ascii="Arial" w:cs="Arial" w:eastAsia="Arial" w:hAnsi="Arial"/>
                <w:sz w:val="18"/>
                <w:szCs w:val="18"/>
                <w:color w:val="auto"/>
              </w:rPr>
              <w:t>LIECHTENSTEIN</w:t>
            </w:r>
          </w:p>
        </w:tc>
        <w:tc>
          <w:tcPr>
            <w:tcW w:w="2280" w:type="dxa"/>
            <w:vAlign w:val="bottom"/>
          </w:tcPr>
          <w:p>
            <w:pPr>
              <w:ind w:left="700"/>
              <w:spacing w:after="0"/>
              <w:rPr>
                <w:sz w:val="20"/>
                <w:szCs w:val="20"/>
                <w:color w:val="auto"/>
              </w:rPr>
            </w:pPr>
            <w:r>
              <w:rPr>
                <w:rFonts w:ascii="Arial" w:cs="Arial" w:eastAsia="Arial" w:hAnsi="Arial"/>
                <w:sz w:val="18"/>
                <w:szCs w:val="18"/>
                <w:color w:val="auto"/>
              </w:rPr>
              <w:t>ROMANIA</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BULGARIA</w:t>
            </w:r>
          </w:p>
        </w:tc>
        <w:tc>
          <w:tcPr>
            <w:tcW w:w="2760" w:type="dxa"/>
            <w:vAlign w:val="bottom"/>
          </w:tcPr>
          <w:p>
            <w:pPr>
              <w:ind w:left="860"/>
              <w:spacing w:after="0"/>
              <w:rPr>
                <w:sz w:val="20"/>
                <w:szCs w:val="20"/>
                <w:color w:val="auto"/>
              </w:rPr>
            </w:pPr>
            <w:r>
              <w:rPr>
                <w:rFonts w:ascii="Arial" w:cs="Arial" w:eastAsia="Arial" w:hAnsi="Arial"/>
                <w:sz w:val="18"/>
                <w:szCs w:val="18"/>
                <w:color w:val="auto"/>
              </w:rPr>
              <w:t>GERMANY</w:t>
            </w:r>
          </w:p>
        </w:tc>
        <w:tc>
          <w:tcPr>
            <w:tcW w:w="3080" w:type="dxa"/>
            <w:vAlign w:val="bottom"/>
          </w:tcPr>
          <w:p>
            <w:pPr>
              <w:ind w:left="1000"/>
              <w:spacing w:after="0"/>
              <w:rPr>
                <w:sz w:val="20"/>
                <w:szCs w:val="20"/>
                <w:color w:val="auto"/>
              </w:rPr>
            </w:pPr>
            <w:r>
              <w:rPr>
                <w:rFonts w:ascii="Arial" w:cs="Arial" w:eastAsia="Arial" w:hAnsi="Arial"/>
                <w:sz w:val="18"/>
                <w:szCs w:val="18"/>
                <w:color w:val="auto"/>
              </w:rPr>
              <w:t>LITHUANIA</w:t>
            </w:r>
          </w:p>
        </w:tc>
        <w:tc>
          <w:tcPr>
            <w:tcW w:w="2280" w:type="dxa"/>
            <w:vAlign w:val="bottom"/>
          </w:tcPr>
          <w:p>
            <w:pPr>
              <w:ind w:left="700"/>
              <w:spacing w:after="0"/>
              <w:rPr>
                <w:sz w:val="20"/>
                <w:szCs w:val="20"/>
                <w:color w:val="auto"/>
              </w:rPr>
            </w:pPr>
            <w:r>
              <w:rPr>
                <w:rFonts w:ascii="Arial" w:cs="Arial" w:eastAsia="Arial" w:hAnsi="Arial"/>
                <w:sz w:val="18"/>
                <w:szCs w:val="18"/>
                <w:color w:val="auto"/>
              </w:rPr>
              <w:t>SLOVAKIA</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CROATIA</w:t>
            </w:r>
          </w:p>
        </w:tc>
        <w:tc>
          <w:tcPr>
            <w:tcW w:w="2760" w:type="dxa"/>
            <w:vAlign w:val="bottom"/>
          </w:tcPr>
          <w:p>
            <w:pPr>
              <w:ind w:left="860"/>
              <w:spacing w:after="0"/>
              <w:rPr>
                <w:sz w:val="20"/>
                <w:szCs w:val="20"/>
                <w:color w:val="auto"/>
              </w:rPr>
            </w:pPr>
            <w:r>
              <w:rPr>
                <w:rFonts w:ascii="Arial" w:cs="Arial" w:eastAsia="Arial" w:hAnsi="Arial"/>
                <w:sz w:val="18"/>
                <w:szCs w:val="18"/>
                <w:color w:val="auto"/>
              </w:rPr>
              <w:t>GREECE</w:t>
            </w:r>
          </w:p>
        </w:tc>
        <w:tc>
          <w:tcPr>
            <w:tcW w:w="3080" w:type="dxa"/>
            <w:vAlign w:val="bottom"/>
          </w:tcPr>
          <w:p>
            <w:pPr>
              <w:ind w:left="1000"/>
              <w:spacing w:after="0"/>
              <w:rPr>
                <w:sz w:val="20"/>
                <w:szCs w:val="20"/>
                <w:color w:val="auto"/>
              </w:rPr>
            </w:pPr>
            <w:r>
              <w:rPr>
                <w:rFonts w:ascii="Arial" w:cs="Arial" w:eastAsia="Arial" w:hAnsi="Arial"/>
                <w:sz w:val="18"/>
                <w:szCs w:val="18"/>
                <w:color w:val="auto"/>
              </w:rPr>
              <w:t>LUXEMBOURG</w:t>
            </w:r>
          </w:p>
        </w:tc>
        <w:tc>
          <w:tcPr>
            <w:tcW w:w="2280" w:type="dxa"/>
            <w:vAlign w:val="bottom"/>
          </w:tcPr>
          <w:p>
            <w:pPr>
              <w:ind w:left="700"/>
              <w:spacing w:after="0"/>
              <w:rPr>
                <w:sz w:val="20"/>
                <w:szCs w:val="20"/>
                <w:color w:val="auto"/>
              </w:rPr>
            </w:pPr>
            <w:r>
              <w:rPr>
                <w:rFonts w:ascii="Arial" w:cs="Arial" w:eastAsia="Arial" w:hAnsi="Arial"/>
                <w:sz w:val="18"/>
                <w:szCs w:val="18"/>
                <w:color w:val="auto"/>
              </w:rPr>
              <w:t>SLOVENIA</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CYPRUS</w:t>
            </w:r>
          </w:p>
        </w:tc>
        <w:tc>
          <w:tcPr>
            <w:tcW w:w="2760" w:type="dxa"/>
            <w:vAlign w:val="bottom"/>
          </w:tcPr>
          <w:p>
            <w:pPr>
              <w:ind w:left="860"/>
              <w:spacing w:after="0"/>
              <w:rPr>
                <w:sz w:val="20"/>
                <w:szCs w:val="20"/>
                <w:color w:val="auto"/>
              </w:rPr>
            </w:pPr>
            <w:r>
              <w:rPr>
                <w:rFonts w:ascii="Arial" w:cs="Arial" w:eastAsia="Arial" w:hAnsi="Arial"/>
                <w:sz w:val="18"/>
                <w:szCs w:val="18"/>
                <w:color w:val="auto"/>
              </w:rPr>
              <w:t>HUNGARY</w:t>
            </w:r>
          </w:p>
        </w:tc>
        <w:tc>
          <w:tcPr>
            <w:tcW w:w="3080" w:type="dxa"/>
            <w:vAlign w:val="bottom"/>
          </w:tcPr>
          <w:p>
            <w:pPr>
              <w:ind w:left="1000"/>
              <w:spacing w:after="0"/>
              <w:rPr>
                <w:sz w:val="20"/>
                <w:szCs w:val="20"/>
                <w:color w:val="auto"/>
              </w:rPr>
            </w:pPr>
            <w:r>
              <w:rPr>
                <w:rFonts w:ascii="Arial" w:cs="Arial" w:eastAsia="Arial" w:hAnsi="Arial"/>
                <w:sz w:val="18"/>
                <w:szCs w:val="18"/>
                <w:color w:val="auto"/>
              </w:rPr>
              <w:t>MALTA</w:t>
            </w:r>
          </w:p>
        </w:tc>
        <w:tc>
          <w:tcPr>
            <w:tcW w:w="2280" w:type="dxa"/>
            <w:vAlign w:val="bottom"/>
          </w:tcPr>
          <w:p>
            <w:pPr>
              <w:ind w:left="700"/>
              <w:spacing w:after="0"/>
              <w:rPr>
                <w:sz w:val="20"/>
                <w:szCs w:val="20"/>
                <w:color w:val="auto"/>
              </w:rPr>
            </w:pPr>
            <w:r>
              <w:rPr>
                <w:rFonts w:ascii="Arial" w:cs="Arial" w:eastAsia="Arial" w:hAnsi="Arial"/>
                <w:sz w:val="18"/>
                <w:szCs w:val="18"/>
                <w:color w:val="auto"/>
              </w:rPr>
              <w:t>SPAIN</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CZECH REPUBLIC</w:t>
            </w:r>
          </w:p>
        </w:tc>
        <w:tc>
          <w:tcPr>
            <w:tcW w:w="2760" w:type="dxa"/>
            <w:vAlign w:val="bottom"/>
          </w:tcPr>
          <w:p>
            <w:pPr>
              <w:ind w:left="860"/>
              <w:spacing w:after="0"/>
              <w:rPr>
                <w:sz w:val="20"/>
                <w:szCs w:val="20"/>
                <w:color w:val="auto"/>
              </w:rPr>
            </w:pPr>
            <w:r>
              <w:rPr>
                <w:rFonts w:ascii="Arial" w:cs="Arial" w:eastAsia="Arial" w:hAnsi="Arial"/>
                <w:sz w:val="18"/>
                <w:szCs w:val="18"/>
                <w:color w:val="auto"/>
              </w:rPr>
              <w:t>ICELAND</w:t>
            </w:r>
          </w:p>
        </w:tc>
        <w:tc>
          <w:tcPr>
            <w:tcW w:w="3080" w:type="dxa"/>
            <w:vAlign w:val="bottom"/>
          </w:tcPr>
          <w:p>
            <w:pPr>
              <w:ind w:left="1000"/>
              <w:spacing w:after="0"/>
              <w:rPr>
                <w:sz w:val="20"/>
                <w:szCs w:val="20"/>
                <w:color w:val="auto"/>
              </w:rPr>
            </w:pPr>
            <w:r>
              <w:rPr>
                <w:rFonts w:ascii="Arial" w:cs="Arial" w:eastAsia="Arial" w:hAnsi="Arial"/>
                <w:sz w:val="18"/>
                <w:szCs w:val="18"/>
                <w:color w:val="auto"/>
              </w:rPr>
              <w:t>NETHERLANDS</w:t>
            </w:r>
          </w:p>
        </w:tc>
        <w:tc>
          <w:tcPr>
            <w:tcW w:w="2280" w:type="dxa"/>
            <w:vAlign w:val="bottom"/>
          </w:tcPr>
          <w:p>
            <w:pPr>
              <w:ind w:left="700"/>
              <w:spacing w:after="0"/>
              <w:rPr>
                <w:sz w:val="20"/>
                <w:szCs w:val="20"/>
                <w:color w:val="auto"/>
              </w:rPr>
            </w:pPr>
            <w:r>
              <w:rPr>
                <w:rFonts w:ascii="Arial" w:cs="Arial" w:eastAsia="Arial" w:hAnsi="Arial"/>
                <w:sz w:val="18"/>
                <w:szCs w:val="18"/>
                <w:color w:val="auto"/>
              </w:rPr>
              <w:t>SWEDEN</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DENMARK</w:t>
            </w:r>
          </w:p>
        </w:tc>
        <w:tc>
          <w:tcPr>
            <w:tcW w:w="2760" w:type="dxa"/>
            <w:vAlign w:val="bottom"/>
          </w:tcPr>
          <w:p>
            <w:pPr>
              <w:ind w:left="860"/>
              <w:spacing w:after="0"/>
              <w:rPr>
                <w:sz w:val="20"/>
                <w:szCs w:val="20"/>
                <w:color w:val="auto"/>
              </w:rPr>
            </w:pPr>
            <w:r>
              <w:rPr>
                <w:rFonts w:ascii="Arial" w:cs="Arial" w:eastAsia="Arial" w:hAnsi="Arial"/>
                <w:sz w:val="18"/>
                <w:szCs w:val="18"/>
                <w:color w:val="auto"/>
              </w:rPr>
              <w:t>IRELAND</w:t>
            </w:r>
          </w:p>
        </w:tc>
        <w:tc>
          <w:tcPr>
            <w:tcW w:w="3080" w:type="dxa"/>
            <w:vAlign w:val="bottom"/>
          </w:tcPr>
          <w:p>
            <w:pPr>
              <w:ind w:left="1000"/>
              <w:spacing w:after="0"/>
              <w:rPr>
                <w:sz w:val="20"/>
                <w:szCs w:val="20"/>
                <w:color w:val="auto"/>
              </w:rPr>
            </w:pPr>
            <w:r>
              <w:rPr>
                <w:rFonts w:ascii="Arial" w:cs="Arial" w:eastAsia="Arial" w:hAnsi="Arial"/>
                <w:sz w:val="18"/>
                <w:szCs w:val="18"/>
                <w:color w:val="auto"/>
              </w:rPr>
              <w:t>NORWAY</w:t>
            </w:r>
          </w:p>
        </w:tc>
        <w:tc>
          <w:tcPr>
            <w:tcW w:w="2280" w:type="dxa"/>
            <w:vAlign w:val="bottom"/>
          </w:tcPr>
          <w:p>
            <w:pPr>
              <w:ind w:left="700"/>
              <w:spacing w:after="0"/>
              <w:rPr>
                <w:sz w:val="20"/>
                <w:szCs w:val="20"/>
                <w:color w:val="auto"/>
              </w:rPr>
            </w:pPr>
            <w:r>
              <w:rPr>
                <w:rFonts w:ascii="Arial" w:cs="Arial" w:eastAsia="Arial" w:hAnsi="Arial"/>
                <w:sz w:val="18"/>
                <w:szCs w:val="18"/>
                <w:color w:val="auto"/>
              </w:rPr>
              <w:t>SWITZERLAND</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ESTONIA</w:t>
            </w:r>
          </w:p>
        </w:tc>
        <w:tc>
          <w:tcPr>
            <w:tcW w:w="2760" w:type="dxa"/>
            <w:vAlign w:val="bottom"/>
          </w:tcPr>
          <w:p>
            <w:pPr>
              <w:ind w:left="860"/>
              <w:spacing w:after="0"/>
              <w:rPr>
                <w:sz w:val="20"/>
                <w:szCs w:val="20"/>
                <w:color w:val="auto"/>
              </w:rPr>
            </w:pPr>
            <w:r>
              <w:rPr>
                <w:rFonts w:ascii="Arial" w:cs="Arial" w:eastAsia="Arial" w:hAnsi="Arial"/>
                <w:sz w:val="18"/>
                <w:szCs w:val="18"/>
                <w:color w:val="auto"/>
              </w:rPr>
              <w:t>ITALY</w:t>
            </w:r>
          </w:p>
        </w:tc>
        <w:tc>
          <w:tcPr>
            <w:tcW w:w="3080" w:type="dxa"/>
            <w:vAlign w:val="bottom"/>
          </w:tcPr>
          <w:p>
            <w:pPr>
              <w:ind w:left="1000"/>
              <w:spacing w:after="0"/>
              <w:rPr>
                <w:sz w:val="20"/>
                <w:szCs w:val="20"/>
                <w:color w:val="auto"/>
              </w:rPr>
            </w:pPr>
            <w:r>
              <w:rPr>
                <w:rFonts w:ascii="Arial" w:cs="Arial" w:eastAsia="Arial" w:hAnsi="Arial"/>
                <w:sz w:val="18"/>
                <w:szCs w:val="18"/>
                <w:color w:val="auto"/>
              </w:rPr>
              <w:t>POLAND</w:t>
            </w:r>
          </w:p>
        </w:tc>
        <w:tc>
          <w:tcPr>
            <w:tcW w:w="2280" w:type="dxa"/>
            <w:vAlign w:val="bottom"/>
          </w:tcPr>
          <w:p>
            <w:pPr>
              <w:ind w:left="700"/>
              <w:spacing w:after="0"/>
              <w:rPr>
                <w:sz w:val="20"/>
                <w:szCs w:val="20"/>
                <w:color w:val="auto"/>
              </w:rPr>
            </w:pPr>
            <w:r>
              <w:rPr>
                <w:rFonts w:ascii="Arial" w:cs="Arial" w:eastAsia="Arial" w:hAnsi="Arial"/>
                <w:sz w:val="18"/>
                <w:szCs w:val="18"/>
                <w:color w:val="auto"/>
                <w:w w:val="98"/>
              </w:rPr>
              <w:t>UNITED KINGDOM</w:t>
            </w:r>
          </w:p>
        </w:tc>
      </w:tr>
    </w:tbl>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Permitted Sub-Data Processors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AT&amp;T acknowledges that it has authorized Supplier to engage the natural or legal persons identified by Supplier as of the date of this Appendix in Exhibit 2 to this Appendix to process Personal Data on behalf of the Data Controller. In respect of any permitted Sub-Data Processors, AT&amp;T hereby authorizes Supplier to enter into the Standard Contractual Clauses for and on behalf of AT&amp;T to the extent necessary to secure compliance with the Data Privacy Laws.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DESCRIPTION OF PROCESSING OF PERSONAL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below describes the Processing of Personal Data under this Agreement.</w:t>
      </w:r>
    </w:p>
    <w:p>
      <w:pPr>
        <w:spacing w:after="0" w:line="22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Additional details with breakdown of applications currently identified as impacted by European data is provided in </w:t>
      </w:r>
      <w:r>
        <w:rPr>
          <w:rFonts w:ascii="Arial" w:cs="Arial" w:eastAsia="Arial" w:hAnsi="Arial"/>
          <w:sz w:val="18"/>
          <w:szCs w:val="18"/>
          <w:b w:val="1"/>
          <w:bCs w:val="1"/>
          <w:color w:val="auto"/>
        </w:rPr>
        <w:t>Attachment 1 – Impact By</w:t>
      </w:r>
      <w:r>
        <w:rPr>
          <w:rFonts w:ascii="Arial" w:cs="Arial" w:eastAsia="Arial" w:hAnsi="Arial"/>
          <w:sz w:val="18"/>
          <w:szCs w:val="18"/>
          <w:color w:val="auto"/>
        </w:rPr>
        <w:t xml:space="preserve"> </w:t>
      </w:r>
      <w:r>
        <w:rPr>
          <w:rFonts w:ascii="Arial" w:cs="Arial" w:eastAsia="Arial" w:hAnsi="Arial"/>
          <w:sz w:val="18"/>
          <w:szCs w:val="18"/>
          <w:b w:val="1"/>
          <w:bCs w:val="1"/>
          <w:color w:val="auto"/>
        </w:rPr>
        <w:t>Application</w:t>
      </w:r>
      <w:r>
        <w:rPr>
          <w:rFonts w:ascii="Arial" w:cs="Arial" w:eastAsia="Arial" w:hAnsi="Arial"/>
          <w:sz w:val="18"/>
          <w:szCs w:val="18"/>
          <w:color w:val="auto"/>
        </w:rPr>
        <w:t>. The Parties will maintain the details of</w:t>
      </w:r>
      <w:r>
        <w:rPr>
          <w:rFonts w:ascii="Arial" w:cs="Arial" w:eastAsia="Arial" w:hAnsi="Arial"/>
          <w:sz w:val="18"/>
          <w:szCs w:val="18"/>
          <w:b w:val="1"/>
          <w:bCs w:val="1"/>
          <w:color w:val="auto"/>
        </w:rPr>
        <w:t xml:space="preserve"> Attachment 1 – Impact By Application </w:t>
      </w:r>
      <w:r>
        <w:rPr>
          <w:rFonts w:ascii="Arial" w:cs="Arial" w:eastAsia="Arial" w:hAnsi="Arial"/>
          <w:sz w:val="18"/>
          <w:szCs w:val="18"/>
          <w:color w:val="auto"/>
        </w:rPr>
        <w:t>and the list of Subcontractors for Exhibit 2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amend this Agreement to include the updates.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Subject Matter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Supplier Processes Personal Data in relation to provision of the Services under this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Processing</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Personal Data will be subject to the following Processing operations: </w:t>
      </w:r>
      <w:r>
        <w:rPr>
          <w:rFonts w:ascii="Arial" w:cs="Arial" w:eastAsia="Arial" w:hAnsi="Arial"/>
          <w:sz w:val="18"/>
          <w:szCs w:val="18"/>
          <w:b w:val="1"/>
          <w:bCs w:val="1"/>
          <w:color w:val="auto"/>
        </w:rPr>
        <w:t>[Note: Insert “Y” to indicate those that apply and “N” to indicate those that</w:t>
      </w:r>
      <w:r>
        <w:rPr>
          <w:rFonts w:ascii="Arial" w:cs="Arial" w:eastAsia="Arial" w:hAnsi="Arial"/>
          <w:sz w:val="18"/>
          <w:szCs w:val="18"/>
          <w:color w:val="auto"/>
        </w:rPr>
        <w:t xml:space="preserve"> </w:t>
      </w:r>
      <w:r>
        <w:rPr>
          <w:rFonts w:ascii="Arial" w:cs="Arial" w:eastAsia="Arial" w:hAnsi="Arial"/>
          <w:sz w:val="18"/>
          <w:szCs w:val="18"/>
          <w:b w:val="1"/>
          <w:bCs w:val="1"/>
          <w:color w:val="auto"/>
        </w:rPr>
        <w:t>don’t]</w:t>
      </w:r>
    </w:p>
    <w:p>
      <w:pPr>
        <w:spacing w:after="0" w:line="71" w:lineRule="exact"/>
        <w:rPr>
          <w:sz w:val="20"/>
          <w:szCs w:val="20"/>
          <w:color w:val="auto"/>
        </w:rPr>
      </w:pPr>
    </w:p>
    <w:p>
      <w:pPr>
        <w:ind w:left="540" w:hanging="53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Provisioning, testing, delivering, monitoring, maintaining, managing and de-provisioning/winding down the Services</w:t>
      </w:r>
    </w:p>
    <w:p>
      <w:pPr>
        <w:spacing w:after="0" w:line="131" w:lineRule="exact"/>
        <w:rPr>
          <w:sz w:val="20"/>
          <w:szCs w:val="20"/>
          <w:color w:val="auto"/>
        </w:rPr>
      </w:pPr>
    </w:p>
    <w:p>
      <w:pPr>
        <w:ind w:left="540" w:hanging="53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Managing network devices</w:t>
      </w:r>
    </w:p>
    <w:p>
      <w:pPr>
        <w:spacing w:after="0" w:line="131" w:lineRule="exact"/>
        <w:rPr>
          <w:sz w:val="20"/>
          <w:szCs w:val="20"/>
          <w:color w:val="auto"/>
        </w:rPr>
      </w:pPr>
    </w:p>
    <w:p>
      <w:pPr>
        <w:ind w:left="540" w:hanging="536"/>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Monitoring and analyzing network utilization/network management information</w:t>
      </w:r>
    </w:p>
    <w:p>
      <w:pPr>
        <w:spacing w:after="0" w:line="131" w:lineRule="exact"/>
        <w:rPr>
          <w:sz w:val="20"/>
          <w:szCs w:val="20"/>
          <w:color w:val="auto"/>
        </w:rPr>
      </w:pPr>
    </w:p>
    <w:p>
      <w:pPr>
        <w:ind w:left="540" w:hanging="536"/>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Identifying and resolving service performance issues</w:t>
      </w:r>
    </w:p>
    <w:p>
      <w:pPr>
        <w:spacing w:after="0" w:line="131" w:lineRule="exact"/>
        <w:rPr>
          <w:sz w:val="20"/>
          <w:szCs w:val="20"/>
          <w:color w:val="auto"/>
        </w:rPr>
      </w:pPr>
    </w:p>
    <w:p>
      <w:pPr>
        <w:ind w:left="540" w:hanging="536"/>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Creating, storing, utilizing, and delivering reports and related data</w:t>
      </w:r>
    </w:p>
    <w:p>
      <w:pPr>
        <w:spacing w:after="0" w:line="131" w:lineRule="exact"/>
        <w:rPr>
          <w:sz w:val="20"/>
          <w:szCs w:val="20"/>
          <w:color w:val="auto"/>
        </w:rPr>
      </w:pPr>
    </w:p>
    <w:p>
      <w:pPr>
        <w:ind w:left="540" w:hanging="536"/>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Enabling access to AT&amp;T facilities and systems</w:t>
      </w:r>
    </w:p>
    <w:p>
      <w:pPr>
        <w:spacing w:after="0" w:line="131" w:lineRule="exact"/>
        <w:rPr>
          <w:sz w:val="20"/>
          <w:szCs w:val="20"/>
          <w:color w:val="auto"/>
        </w:rPr>
      </w:pPr>
    </w:p>
    <w:p>
      <w:pPr>
        <w:ind w:left="540" w:hanging="536"/>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Transmitting and storing electronic communications</w:t>
      </w:r>
    </w:p>
    <w:p>
      <w:pPr>
        <w:spacing w:after="0" w:line="131" w:lineRule="exact"/>
        <w:rPr>
          <w:sz w:val="20"/>
          <w:szCs w:val="20"/>
          <w:color w:val="auto"/>
        </w:rPr>
      </w:pPr>
    </w:p>
    <w:p>
      <w:pPr>
        <w:ind w:left="540" w:hanging="536"/>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Creating, storing and delivering bills; and receiving, storing, investigating and responding to billing inquiries</w:t>
      </w:r>
    </w:p>
    <w:p>
      <w:pPr>
        <w:spacing w:after="0" w:line="131" w:lineRule="exact"/>
        <w:rPr>
          <w:sz w:val="20"/>
          <w:szCs w:val="20"/>
          <w:color w:val="auto"/>
        </w:rPr>
      </w:pPr>
    </w:p>
    <w:p>
      <w:pPr>
        <w:ind w:left="540" w:hanging="536"/>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Storing, utilizing, and maintaining contract documents and related materials</w:t>
      </w:r>
    </w:p>
    <w:p>
      <w:pPr>
        <w:spacing w:after="0" w:line="131" w:lineRule="exact"/>
        <w:rPr>
          <w:sz w:val="20"/>
          <w:szCs w:val="20"/>
          <w:color w:val="auto"/>
        </w:rPr>
      </w:pPr>
    </w:p>
    <w:p>
      <w:pPr>
        <w:ind w:left="540" w:hanging="536"/>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Storing, utilizing, and maintaining other documents and records containing Personal Data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8" w:lineRule="exact"/>
        <w:rPr>
          <w:sz w:val="20"/>
          <w:szCs w:val="20"/>
          <w:color w:val="auto"/>
        </w:rPr>
      </w:pPr>
    </w:p>
    <w:p>
      <w:pPr>
        <w:ind w:left="540" w:right="140" w:hanging="536"/>
        <w:spacing w:after="0" w:line="342"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Communicating with AT&amp;T employees/representatives, AT&amp;T’s customer’s employees/representatives, other suppliers’ (other than Supplier’s) employees/representatives and/or the employees/representatives of such suppliers’ subcontractors of any tier regarding the Services</w:t>
      </w:r>
    </w:p>
    <w:p>
      <w:pPr>
        <w:spacing w:after="0" w:line="29" w:lineRule="exact"/>
        <w:rPr>
          <w:sz w:val="20"/>
          <w:szCs w:val="20"/>
          <w:color w:val="auto"/>
        </w:rPr>
      </w:pPr>
    </w:p>
    <w:p>
      <w:pPr>
        <w:ind w:left="540" w:hanging="53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Performing other functions in support of the Services (please specify): Please see Exhibit Attachment 1 – Impact by Application.</w:t>
      </w:r>
    </w:p>
    <w:p>
      <w:pPr>
        <w:spacing w:after="0" w:line="131" w:lineRule="exact"/>
        <w:rPr>
          <w:sz w:val="20"/>
          <w:szCs w:val="20"/>
          <w:color w:val="auto"/>
        </w:rPr>
      </w:pPr>
    </w:p>
    <w:p>
      <w:pPr>
        <w:ind w:left="540" w:hanging="536"/>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Transferring Personal Data to Restricted Jurisdictions in connection with any processing operation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Processing</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Supplier Processes Personal Data to provide the Services, perform its obligations and exercise its rights under this Agreement, and comply with its legal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Categories of Personal Data</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The Personal Data processed for AT&amp;T concerns the following categories of Personal Data: </w:t>
      </w:r>
      <w:r>
        <w:rPr>
          <w:rFonts w:ascii="Arial" w:cs="Arial" w:eastAsia="Arial" w:hAnsi="Arial"/>
          <w:sz w:val="18"/>
          <w:szCs w:val="18"/>
          <w:b w:val="1"/>
          <w:bCs w:val="1"/>
          <w:color w:val="auto"/>
        </w:rPr>
        <w:t>[ Note: Insert “Y” to indicate those that apply and “N”</w:t>
      </w:r>
      <w:r>
        <w:rPr>
          <w:rFonts w:ascii="Arial" w:cs="Arial" w:eastAsia="Arial" w:hAnsi="Arial"/>
          <w:sz w:val="18"/>
          <w:szCs w:val="18"/>
          <w:color w:val="auto"/>
        </w:rPr>
        <w:t xml:space="preserve"> </w:t>
      </w:r>
      <w:r>
        <w:rPr>
          <w:rFonts w:ascii="Arial" w:cs="Arial" w:eastAsia="Arial" w:hAnsi="Arial"/>
          <w:sz w:val="18"/>
          <w:szCs w:val="18"/>
          <w:b w:val="1"/>
          <w:bCs w:val="1"/>
          <w:color w:val="auto"/>
        </w:rPr>
        <w:t>to indicate those that don’t]</w:t>
      </w:r>
    </w:p>
    <w:p>
      <w:pPr>
        <w:spacing w:after="0" w:line="71" w:lineRule="exact"/>
        <w:rPr>
          <w:sz w:val="20"/>
          <w:szCs w:val="20"/>
          <w:color w:val="auto"/>
        </w:rPr>
      </w:pPr>
    </w:p>
    <w:p>
      <w:pPr>
        <w:ind w:left="540" w:hanging="536"/>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Business contact data</w:t>
      </w:r>
    </w:p>
    <w:p>
      <w:pPr>
        <w:spacing w:after="0" w:line="131" w:lineRule="exact"/>
        <w:rPr>
          <w:sz w:val="20"/>
          <w:szCs w:val="20"/>
          <w:color w:val="auto"/>
        </w:rPr>
      </w:pPr>
    </w:p>
    <w:p>
      <w:pPr>
        <w:ind w:left="540" w:hanging="536"/>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Electronic communications metadata</w:t>
      </w:r>
    </w:p>
    <w:p>
      <w:pPr>
        <w:spacing w:after="0" w:line="131" w:lineRule="exact"/>
        <w:rPr>
          <w:sz w:val="20"/>
          <w:szCs w:val="20"/>
          <w:color w:val="auto"/>
        </w:rPr>
      </w:pPr>
    </w:p>
    <w:p>
      <w:pPr>
        <w:ind w:left="540" w:hanging="536"/>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Device identification data</w:t>
      </w:r>
    </w:p>
    <w:p>
      <w:pPr>
        <w:spacing w:after="0" w:line="131" w:lineRule="exact"/>
        <w:rPr>
          <w:sz w:val="20"/>
          <w:szCs w:val="20"/>
          <w:color w:val="auto"/>
        </w:rPr>
      </w:pPr>
    </w:p>
    <w:p>
      <w:pPr>
        <w:ind w:left="540" w:hanging="536"/>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Geolocation data</w:t>
      </w:r>
    </w:p>
    <w:p>
      <w:pPr>
        <w:spacing w:after="0" w:line="131" w:lineRule="exact"/>
        <w:rPr>
          <w:sz w:val="20"/>
          <w:szCs w:val="20"/>
          <w:color w:val="auto"/>
        </w:rPr>
      </w:pPr>
    </w:p>
    <w:p>
      <w:pPr>
        <w:ind w:left="540" w:hanging="536"/>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Authentication credentials</w:t>
      </w:r>
    </w:p>
    <w:p>
      <w:pPr>
        <w:spacing w:after="0" w:line="131" w:lineRule="exact"/>
        <w:rPr>
          <w:sz w:val="20"/>
          <w:szCs w:val="20"/>
          <w:color w:val="auto"/>
        </w:rPr>
      </w:pPr>
    </w:p>
    <w:p>
      <w:pPr>
        <w:ind w:left="540" w:hanging="536"/>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Recorded content of electronic communications</w:t>
      </w:r>
    </w:p>
    <w:p>
      <w:pPr>
        <w:spacing w:after="0" w:line="131" w:lineRule="exact"/>
        <w:rPr>
          <w:sz w:val="20"/>
          <w:szCs w:val="20"/>
          <w:color w:val="auto"/>
        </w:rPr>
      </w:pPr>
    </w:p>
    <w:p>
      <w:pPr>
        <w:ind w:left="540" w:hanging="536"/>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Application content (e.g., managing content in a database)</w:t>
      </w:r>
    </w:p>
    <w:p>
      <w:pPr>
        <w:spacing w:after="0" w:line="131" w:lineRule="exact"/>
        <w:rPr>
          <w:sz w:val="20"/>
          <w:szCs w:val="20"/>
          <w:color w:val="auto"/>
        </w:rPr>
      </w:pPr>
    </w:p>
    <w:p>
      <w:pPr>
        <w:ind w:left="540" w:hanging="53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Payment card and similar payment data/other financial data</w:t>
      </w:r>
    </w:p>
    <w:p>
      <w:pPr>
        <w:spacing w:after="0" w:line="131" w:lineRule="exact"/>
        <w:rPr>
          <w:sz w:val="20"/>
          <w:szCs w:val="20"/>
          <w:color w:val="auto"/>
        </w:rPr>
      </w:pPr>
    </w:p>
    <w:p>
      <w:pPr>
        <w:ind w:left="540" w:hanging="53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Government issued identification numbers</w:t>
      </w:r>
    </w:p>
    <w:p>
      <w:pPr>
        <w:spacing w:after="0" w:line="131" w:lineRule="exact"/>
        <w:rPr>
          <w:sz w:val="20"/>
          <w:szCs w:val="20"/>
          <w:color w:val="auto"/>
        </w:rPr>
      </w:pPr>
    </w:p>
    <w:p>
      <w:pPr>
        <w:ind w:left="540" w:hanging="536"/>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Personal (e.g., date of birth, family-related, education-related, personal history-related)</w:t>
      </w:r>
    </w:p>
    <w:p>
      <w:pPr>
        <w:spacing w:after="0" w:line="131" w:lineRule="exact"/>
        <w:rPr>
          <w:sz w:val="20"/>
          <w:szCs w:val="20"/>
          <w:color w:val="auto"/>
        </w:rPr>
      </w:pPr>
    </w:p>
    <w:p>
      <w:pPr>
        <w:ind w:left="540" w:hanging="536"/>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(please specify): AT&amp;T Webphone data stored in Datalake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Categories of Sensitive Personal Data (if applicable)</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The Personal Data processed for AT&amp;T concerns the following special categories of Personal Data </w:t>
      </w:r>
      <w:r>
        <w:rPr>
          <w:rFonts w:ascii="Arial" w:cs="Arial" w:eastAsia="Arial" w:hAnsi="Arial"/>
          <w:sz w:val="18"/>
          <w:szCs w:val="18"/>
          <w:b w:val="1"/>
          <w:bCs w:val="1"/>
          <w:color w:val="auto"/>
        </w:rPr>
        <w:t>[Note: Insert “Y” to indicate those that apply and</w:t>
      </w:r>
      <w:r>
        <w:rPr>
          <w:rFonts w:ascii="Arial" w:cs="Arial" w:eastAsia="Arial" w:hAnsi="Arial"/>
          <w:sz w:val="18"/>
          <w:szCs w:val="18"/>
          <w:color w:val="auto"/>
        </w:rPr>
        <w:t xml:space="preserve"> </w:t>
      </w:r>
      <w:r>
        <w:rPr>
          <w:rFonts w:ascii="Arial" w:cs="Arial" w:eastAsia="Arial" w:hAnsi="Arial"/>
          <w:sz w:val="18"/>
          <w:szCs w:val="18"/>
          <w:b w:val="1"/>
          <w:bCs w:val="1"/>
          <w:color w:val="auto"/>
        </w:rPr>
        <w:t>“N” to indicate those that don’t]</w:t>
      </w:r>
    </w:p>
    <w:p>
      <w:pPr>
        <w:spacing w:after="0" w:line="71" w:lineRule="exact"/>
        <w:rPr>
          <w:sz w:val="20"/>
          <w:szCs w:val="20"/>
          <w:color w:val="auto"/>
        </w:rPr>
      </w:pPr>
    </w:p>
    <w:p>
      <w:pPr>
        <w:ind w:left="540" w:hanging="536"/>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Racial or ethnic origin</w:t>
      </w:r>
    </w:p>
    <w:p>
      <w:pPr>
        <w:spacing w:after="0" w:line="131" w:lineRule="exact"/>
        <w:rPr>
          <w:sz w:val="20"/>
          <w:szCs w:val="20"/>
          <w:color w:val="auto"/>
        </w:rPr>
      </w:pPr>
    </w:p>
    <w:p>
      <w:pPr>
        <w:ind w:left="540" w:hanging="536"/>
        <w:spacing w:after="0"/>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Political affiliation</w:t>
      </w:r>
    </w:p>
    <w:p>
      <w:pPr>
        <w:spacing w:after="0" w:line="131" w:lineRule="exact"/>
        <w:rPr>
          <w:sz w:val="20"/>
          <w:szCs w:val="20"/>
          <w:color w:val="auto"/>
        </w:rPr>
      </w:pPr>
    </w:p>
    <w:p>
      <w:pPr>
        <w:ind w:left="540" w:hanging="536"/>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Religious beliefs</w:t>
      </w:r>
    </w:p>
    <w:p>
      <w:pPr>
        <w:spacing w:after="0" w:line="131" w:lineRule="exact"/>
        <w:rPr>
          <w:sz w:val="20"/>
          <w:szCs w:val="20"/>
          <w:color w:val="auto"/>
        </w:rPr>
      </w:pPr>
    </w:p>
    <w:p>
      <w:pPr>
        <w:ind w:left="540" w:hanging="536"/>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Sexual orientation</w:t>
      </w:r>
    </w:p>
    <w:p>
      <w:pPr>
        <w:spacing w:after="0" w:line="131" w:lineRule="exact"/>
        <w:rPr>
          <w:sz w:val="20"/>
          <w:szCs w:val="20"/>
          <w:color w:val="auto"/>
        </w:rPr>
      </w:pPr>
    </w:p>
    <w:p>
      <w:pPr>
        <w:ind w:left="540" w:hanging="536"/>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Trade union membership</w:t>
      </w:r>
    </w:p>
    <w:p>
      <w:pPr>
        <w:spacing w:after="0" w:line="131" w:lineRule="exact"/>
        <w:rPr>
          <w:sz w:val="20"/>
          <w:szCs w:val="20"/>
          <w:color w:val="auto"/>
        </w:rPr>
      </w:pPr>
    </w:p>
    <w:p>
      <w:pPr>
        <w:ind w:left="540" w:hanging="536"/>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Genetic data</w:t>
      </w:r>
    </w:p>
    <w:p>
      <w:pPr>
        <w:spacing w:after="0" w:line="131" w:lineRule="exact"/>
        <w:rPr>
          <w:sz w:val="20"/>
          <w:szCs w:val="20"/>
          <w:color w:val="auto"/>
        </w:rPr>
      </w:pPr>
    </w:p>
    <w:p>
      <w:pPr>
        <w:ind w:left="540" w:hanging="536"/>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Biometric data</w:t>
      </w:r>
    </w:p>
    <w:p>
      <w:pPr>
        <w:spacing w:after="0" w:line="131" w:lineRule="exact"/>
        <w:rPr>
          <w:sz w:val="20"/>
          <w:szCs w:val="20"/>
          <w:color w:val="auto"/>
        </w:rPr>
      </w:pPr>
    </w:p>
    <w:p>
      <w:pPr>
        <w:ind w:left="540" w:hanging="536"/>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Health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Categories of Data Subjects</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The Personal Data processed by Supplier concern the following categories of Data Subjects: </w:t>
      </w:r>
      <w:r>
        <w:rPr>
          <w:rFonts w:ascii="Arial" w:cs="Arial" w:eastAsia="Arial" w:hAnsi="Arial"/>
          <w:sz w:val="18"/>
          <w:szCs w:val="18"/>
          <w:b w:val="1"/>
          <w:bCs w:val="1"/>
          <w:color w:val="auto"/>
        </w:rPr>
        <w:t>[ Note: Insert “Y” to indicate those that apply and “N”</w:t>
      </w:r>
      <w:r>
        <w:rPr>
          <w:rFonts w:ascii="Arial" w:cs="Arial" w:eastAsia="Arial" w:hAnsi="Arial"/>
          <w:sz w:val="18"/>
          <w:szCs w:val="18"/>
          <w:color w:val="auto"/>
        </w:rPr>
        <w:t xml:space="preserve"> </w:t>
      </w:r>
      <w:r>
        <w:rPr>
          <w:rFonts w:ascii="Arial" w:cs="Arial" w:eastAsia="Arial" w:hAnsi="Arial"/>
          <w:sz w:val="18"/>
          <w:szCs w:val="18"/>
          <w:b w:val="1"/>
          <w:bCs w:val="1"/>
          <w:color w:val="auto"/>
        </w:rPr>
        <w:t>to indicate those that don’t]</w:t>
      </w:r>
    </w:p>
    <w:p>
      <w:pPr>
        <w:spacing w:after="0" w:line="71" w:lineRule="exact"/>
        <w:rPr>
          <w:sz w:val="20"/>
          <w:szCs w:val="20"/>
          <w:color w:val="auto"/>
        </w:rPr>
      </w:pPr>
    </w:p>
    <w:p>
      <w:pPr>
        <w:ind w:left="540" w:hanging="536"/>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Employees/representatives of AT&amp;T and/or its affiliates (i.e., the AT&amp;T group of companies)</w:t>
      </w:r>
    </w:p>
    <w:p>
      <w:pPr>
        <w:spacing w:after="0" w:line="131" w:lineRule="exact"/>
        <w:rPr>
          <w:sz w:val="20"/>
          <w:szCs w:val="20"/>
          <w:color w:val="auto"/>
        </w:rPr>
      </w:pPr>
    </w:p>
    <w:p>
      <w:pPr>
        <w:ind w:left="540" w:hanging="536"/>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Employees/representatives of AT&amp;T’s customers and/or their affiliates</w:t>
      </w:r>
    </w:p>
    <w:p>
      <w:pPr>
        <w:spacing w:after="0" w:line="131" w:lineRule="exact"/>
        <w:rPr>
          <w:sz w:val="20"/>
          <w:szCs w:val="20"/>
          <w:color w:val="auto"/>
        </w:rPr>
      </w:pPr>
    </w:p>
    <w:p>
      <w:pPr>
        <w:ind w:left="540" w:hanging="536"/>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Employees/representatives of AT&amp;T’s suppliers (other than Supplier) and/or their subcontractors of any tier</w:t>
      </w:r>
    </w:p>
    <w:p>
      <w:pPr>
        <w:spacing w:after="0" w:line="131" w:lineRule="exact"/>
        <w:rPr>
          <w:sz w:val="20"/>
          <w:szCs w:val="20"/>
          <w:color w:val="auto"/>
        </w:rPr>
      </w:pPr>
    </w:p>
    <w:p>
      <w:pPr>
        <w:ind w:left="540" w:hanging="536"/>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 (please specify): AT&amp;T Webphone data stored in Datalake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Processing</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Until the Personal Data is no longer needed for the purposes for which it was collected, which shall be at the end of the term of this Agreement at the latest unless otherwise requested by AT&amp;T.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 of Processing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Approved locations under Appendix C – Offshore Locations of the Agreement and/or locations listed in an Order for Services with respect to which the GDPR would be applicable.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33" w:name="page134"/>
    <w:bookmarkEnd w:id="133"/>
    <w:p>
      <w:pPr>
        <w:ind w:left="91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Details of Supplier Data Protection Officer(s) and point(s) of contact for all notices (if different than Supplier Data Protection Officer(s))*</w:t>
      </w:r>
    </w:p>
    <w:p>
      <w:pPr>
        <w:sectPr>
          <w:pgSz w:w="11900" w:h="16838" w:orient="portrait"/>
          <w:cols w:equalWidth="0" w:num="1">
            <w:col w:w="11020"/>
          </w:cols>
          <w:pgMar w:left="440" w:top="274" w:right="4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Yaron Moore</w:t>
      </w:r>
    </w:p>
    <w:p>
      <w:pPr>
        <w:spacing w:after="0" w:line="139" w:lineRule="exact"/>
        <w:rPr>
          <w:sz w:val="20"/>
          <w:szCs w:val="20"/>
          <w:color w:val="auto"/>
        </w:rPr>
      </w:pPr>
    </w:p>
    <w:p>
      <w:pPr>
        <w:sectPr>
          <w:pgSz w:w="11900" w:h="16838" w:orient="portrait"/>
          <w:cols w:equalWidth="0" w:num="2">
            <w:col w:w="1160" w:space="720"/>
            <w:col w:w="914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Commercial Contract Partner</w:t>
      </w:r>
    </w:p>
    <w:p>
      <w:pPr>
        <w:spacing w:after="0" w:line="139" w:lineRule="exact"/>
        <w:rPr>
          <w:sz w:val="20"/>
          <w:szCs w:val="20"/>
          <w:color w:val="auto"/>
        </w:rPr>
      </w:pPr>
    </w:p>
    <w:p>
      <w:pPr>
        <w:sectPr>
          <w:pgSz w:w="11900" w:h="16838" w:orient="portrait"/>
          <w:cols w:equalWidth="0" w:num="2">
            <w:col w:w="1160" w:space="720"/>
            <w:col w:w="91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Timberlake, MO</w:t>
      </w:r>
    </w:p>
    <w:p>
      <w:pPr>
        <w:spacing w:after="0" w:line="140" w:lineRule="exact"/>
        <w:rPr>
          <w:sz w:val="20"/>
          <w:szCs w:val="20"/>
          <w:color w:val="auto"/>
        </w:rPr>
      </w:pPr>
    </w:p>
    <w:p>
      <w:pPr>
        <w:sectPr>
          <w:pgSz w:w="11900" w:h="16838" w:orient="portrait"/>
          <w:cols w:equalWidth="0" w:num="2">
            <w:col w:w="1160" w:space="720"/>
            <w:col w:w="914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Yaron.moore@amdocs.com</w:t>
      </w:r>
    </w:p>
    <w:p>
      <w:pPr>
        <w:spacing w:after="0" w:line="139" w:lineRule="exact"/>
        <w:rPr>
          <w:sz w:val="20"/>
          <w:szCs w:val="20"/>
          <w:color w:val="auto"/>
        </w:rPr>
      </w:pPr>
    </w:p>
    <w:p>
      <w:pPr>
        <w:sectPr>
          <w:pgSz w:w="11900" w:h="16838" w:orient="portrait"/>
          <w:cols w:equalWidth="0" w:num="2">
            <w:col w:w="1160" w:space="720"/>
            <w:col w:w="91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TELEPHONE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314-212-7225</w:t>
      </w:r>
    </w:p>
    <w:p>
      <w:pPr>
        <w:spacing w:after="0" w:line="140" w:lineRule="exact"/>
        <w:rPr>
          <w:sz w:val="20"/>
          <w:szCs w:val="20"/>
          <w:color w:val="auto"/>
        </w:rPr>
      </w:pPr>
    </w:p>
    <w:p>
      <w:pPr>
        <w:sectPr>
          <w:pgSz w:w="11900" w:h="16838" w:orient="portrait"/>
          <w:cols w:equalWidth="0" w:num="2">
            <w:col w:w="1180" w:space="700"/>
            <w:col w:w="914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TELEPHONE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303-210-7354</w:t>
      </w:r>
    </w:p>
    <w:p>
      <w:pPr>
        <w:spacing w:after="0" w:line="153" w:lineRule="exact"/>
        <w:rPr>
          <w:sz w:val="20"/>
          <w:szCs w:val="20"/>
          <w:color w:val="auto"/>
        </w:rPr>
      </w:pPr>
    </w:p>
    <w:p>
      <w:pPr>
        <w:sectPr>
          <w:pgSz w:w="11900" w:h="16838" w:orient="portrait"/>
          <w:cols w:equalWidth="0" w:num="2">
            <w:col w:w="1180" w:space="700"/>
            <w:col w:w="9140"/>
          </w:cols>
          <w:pgMar w:left="440" w:top="274" w:right="439" w:bottom="1440" w:gutter="0" w:footer="0" w:header="0"/>
          <w:type w:val="continuous"/>
        </w:sectPr>
      </w:pPr>
    </w:p>
    <w:p>
      <w:pPr>
        <w:ind w:left="440" w:right="120" w:hanging="436"/>
        <w:spacing w:after="0" w:line="308" w:lineRule="auto"/>
        <w:tabs>
          <w:tab w:leader="none" w:pos="440" w:val="left"/>
        </w:tabs>
        <w:numPr>
          <w:ilvl w:val="0"/>
          <w:numId w:val="104"/>
        </w:numPr>
        <w:rPr>
          <w:rFonts w:ascii="Arial" w:cs="Arial" w:eastAsia="Arial" w:hAnsi="Arial"/>
          <w:sz w:val="17"/>
          <w:szCs w:val="17"/>
          <w:b w:val="1"/>
          <w:bCs w:val="1"/>
          <w:color w:val="auto"/>
        </w:rPr>
      </w:pPr>
      <w:r>
        <w:rPr>
          <w:rFonts w:ascii="Arial" w:cs="Arial" w:eastAsia="Arial" w:hAnsi="Arial"/>
          <w:sz w:val="17"/>
          <w:szCs w:val="17"/>
          <w:color w:val="auto"/>
        </w:rPr>
        <w:t>Supplier shall keep current its contact information for its Data Protection Officer(s) and other point(s) of contact listed above, without the need to amend this Agreement, by informing Supplier’s AT&amp;T business contact of all changes in a medium and form acceptable to AT&amp;T.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Amendment and information contained therein is not for use or disclosure outside of AT&amp;T Services, Inc., its Affiliates, and third-party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SUBCONTRACTORS AUTHORIZED BY AT&amp;T TO PROCESS PERSONAL DATA*</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 &amp; REGISTERED ADDRESS</w:t>
            </w:r>
          </w:p>
        </w:tc>
        <w:tc>
          <w:tcPr>
            <w:tcW w:w="3060" w:type="dxa"/>
            <w:vAlign w:val="bottom"/>
            <w:gridSpan w:val="2"/>
          </w:tcPr>
          <w:p>
            <w:pPr>
              <w:ind w:left="1620"/>
              <w:spacing w:after="0"/>
              <w:rPr>
                <w:sz w:val="20"/>
                <w:szCs w:val="20"/>
                <w:color w:val="auto"/>
              </w:rPr>
            </w:pPr>
            <w:r>
              <w:rPr>
                <w:rFonts w:ascii="Arial" w:cs="Arial" w:eastAsia="Arial" w:hAnsi="Arial"/>
                <w:sz w:val="14"/>
                <w:szCs w:val="14"/>
                <w:b w:val="1"/>
                <w:bCs w:val="1"/>
                <w:color w:val="auto"/>
              </w:rPr>
              <w:t>POINT OF CONTACT</w:t>
            </w: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POINT OF CONTACT</w:t>
            </w:r>
          </w:p>
        </w:tc>
        <w:tc>
          <w:tcPr>
            <w:tcW w:w="0" w:type="dxa"/>
            <w:vAlign w:val="bottom"/>
          </w:tcPr>
          <w:p>
            <w:pPr>
              <w:spacing w:after="0"/>
              <w:rPr>
                <w:sz w:val="1"/>
                <w:szCs w:val="1"/>
                <w:color w:val="auto"/>
              </w:rPr>
            </w:pPr>
          </w:p>
        </w:tc>
      </w:tr>
      <w:tr>
        <w:trPr>
          <w:trHeight w:val="178"/>
        </w:trPr>
        <w:tc>
          <w:tcPr>
            <w:tcW w:w="308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142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NAME &amp; TITLE</w:t>
            </w:r>
          </w:p>
        </w:tc>
        <w:tc>
          <w:tcPr>
            <w:tcW w:w="820" w:type="dxa"/>
            <w:vAlign w:val="bottom"/>
          </w:tcPr>
          <w:p>
            <w:pPr>
              <w:spacing w:after="0"/>
              <w:rPr>
                <w:sz w:val="15"/>
                <w:szCs w:val="15"/>
                <w:color w:val="auto"/>
              </w:rPr>
            </w:pPr>
          </w:p>
        </w:tc>
        <w:tc>
          <w:tcPr>
            <w:tcW w:w="142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PHONE &amp; EMAIL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16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ind w:right="939"/>
              <w:spacing w:after="0" w:line="203" w:lineRule="exact"/>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line="198" w:lineRule="exact"/>
              <w:rPr>
                <w:sz w:val="20"/>
                <w:szCs w:val="20"/>
                <w:color w:val="auto"/>
              </w:rPr>
            </w:pPr>
            <w:r>
              <w:rPr>
                <w:rFonts w:ascii="Arial" w:cs="Arial" w:eastAsia="Arial" w:hAnsi="Arial"/>
                <w:sz w:val="18"/>
                <w:szCs w:val="18"/>
                <w:b w:val="1"/>
                <w:bCs w:val="1"/>
                <w:color w:val="auto"/>
              </w:rPr>
              <w:t>[*]</w:t>
            </w:r>
          </w:p>
        </w:tc>
        <w:tc>
          <w:tcPr>
            <w:tcW w:w="3060" w:type="dxa"/>
            <w:vAlign w:val="bottom"/>
            <w:gridSpan w:val="2"/>
          </w:tcPr>
          <w:p>
            <w:pPr>
              <w:ind w:left="1620"/>
              <w:spacing w:after="0" w:line="198" w:lineRule="exact"/>
              <w:rPr>
                <w:sz w:val="20"/>
                <w:szCs w:val="20"/>
                <w:color w:val="auto"/>
              </w:rPr>
            </w:pPr>
            <w:r>
              <w:rPr>
                <w:rFonts w:ascii="Arial" w:cs="Arial" w:eastAsia="Arial" w:hAnsi="Arial"/>
                <w:sz w:val="18"/>
                <w:szCs w:val="18"/>
                <w:b w:val="1"/>
                <w:bCs w:val="1"/>
                <w:color w:val="auto"/>
              </w:rPr>
              <w:t>[*]</w:t>
            </w:r>
          </w:p>
        </w:tc>
        <w:tc>
          <w:tcPr>
            <w:tcW w:w="2240" w:type="dxa"/>
            <w:vAlign w:val="bottom"/>
            <w:gridSpan w:val="2"/>
          </w:tcPr>
          <w:p>
            <w:pPr>
              <w:jc w:val="right"/>
              <w:ind w:right="939"/>
              <w:spacing w:after="0" w:line="198"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060" w:type="dxa"/>
            <w:vAlign w:val="bottom"/>
            <w:gridSpan w:val="2"/>
          </w:tcPr>
          <w:p>
            <w:pPr>
              <w:ind w:left="16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40" w:right="80" w:hanging="436"/>
        <w:spacing w:after="0" w:line="277" w:lineRule="auto"/>
        <w:tabs>
          <w:tab w:leader="none" w:pos="44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Supplier shall keep current its subcontractor contact information listed above, without the need to amend this Agreement, by informing Supplier’s AT&amp;T business contact of all changes in a medium and form acceptable to AT&amp;T.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53258.A.001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Contractual Clauses (processors)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purposes of Article 26(2) of Directive 95/46/EC for the transfer of personal data to processors established in third countries which do not ensure an adequate level of data protection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the data exporting organisation: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1904365</wp:posOffset>
            </wp:positionH>
            <wp:positionV relativeFrom="paragraph">
              <wp:posOffset>-10160</wp:posOffset>
            </wp:positionV>
            <wp:extent cx="26860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-10160</wp:posOffset>
            </wp:positionV>
            <wp:extent cx="42005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w w:val="92"/>
              </w:rPr>
              <w:t>; fax:</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gridSpan w:val="5"/>
          </w:tcPr>
          <w:p>
            <w:pPr>
              <w:spacing w:after="0"/>
              <w:rPr>
                <w:sz w:val="20"/>
                <w:szCs w:val="20"/>
                <w:color w:val="auto"/>
              </w:rPr>
            </w:pPr>
            <w:r>
              <w:rPr>
                <w:rFonts w:ascii="Arial" w:cs="Arial" w:eastAsia="Arial" w:hAnsi="Arial"/>
                <w:sz w:val="18"/>
                <w:szCs w:val="18"/>
                <w:color w:val="auto"/>
              </w:rPr>
              <w:t>; e-mail:</w:t>
            </w:r>
          </w:p>
        </w:tc>
      </w:tr>
      <w:tr>
        <w:trPr>
          <w:trHeight w:val="20"/>
        </w:trPr>
        <w:tc>
          <w:tcPr>
            <w:tcW w:w="380" w:type="dxa"/>
            <w:vAlign w:val="bottom"/>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453"/>
        </w:trPr>
        <w:tc>
          <w:tcPr>
            <w:tcW w:w="4400" w:type="dxa"/>
            <w:vAlign w:val="bottom"/>
            <w:gridSpan w:val="8"/>
          </w:tcPr>
          <w:p>
            <w:pPr>
              <w:spacing w:after="0"/>
              <w:rPr>
                <w:sz w:val="20"/>
                <w:szCs w:val="20"/>
                <w:color w:val="auto"/>
              </w:rPr>
            </w:pPr>
            <w:r>
              <w:rPr>
                <w:rFonts w:ascii="Arial" w:cs="Arial" w:eastAsia="Arial" w:hAnsi="Arial"/>
                <w:sz w:val="18"/>
                <w:szCs w:val="18"/>
                <w:color w:val="auto"/>
              </w:rPr>
              <w:t>Other information needed to identify the organisation</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57"/>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40" w:type="dxa"/>
            <w:vAlign w:val="bottom"/>
            <w:gridSpan w:val="9"/>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34"/>
        </w:trPr>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40" w:type="dxa"/>
            <w:vAlign w:val="bottom"/>
            <w:gridSpan w:val="7"/>
          </w:tcPr>
          <w:p>
            <w:pPr>
              <w:jc w:val="center"/>
              <w:ind w:right="1220"/>
              <w:spacing w:after="0"/>
              <w:rPr>
                <w:sz w:val="20"/>
                <w:szCs w:val="20"/>
                <w:color w:val="auto"/>
              </w:rPr>
            </w:pPr>
            <w:r>
              <w:rPr>
                <w:rFonts w:ascii="Arial" w:cs="Arial" w:eastAsia="Arial" w:hAnsi="Arial"/>
                <w:sz w:val="18"/>
                <w:szCs w:val="18"/>
                <w:color w:val="auto"/>
                <w:w w:val="89"/>
              </w:rPr>
              <w:t xml:space="preserve">(the data </w:t>
            </w:r>
            <w:r>
              <w:rPr>
                <w:rFonts w:ascii="Arial" w:cs="Arial" w:eastAsia="Arial" w:hAnsi="Arial"/>
                <w:sz w:val="18"/>
                <w:szCs w:val="18"/>
                <w:b w:val="1"/>
                <w:bCs w:val="1"/>
                <w:color w:val="auto"/>
                <w:w w:val="89"/>
              </w:rPr>
              <w:t>exporter</w:t>
            </w:r>
            <w:r>
              <w:rPr>
                <w:rFonts w:ascii="Arial" w:cs="Arial" w:eastAsia="Arial" w:hAnsi="Arial"/>
                <w:sz w:val="18"/>
                <w:szCs w:val="18"/>
                <w:color w:val="auto"/>
                <w:w w:val="89"/>
              </w:rPr>
              <w:t>)</w:t>
            </w:r>
          </w:p>
        </w:tc>
      </w:tr>
      <w:tr>
        <w:trPr>
          <w:trHeight w:val="418"/>
        </w:trPr>
        <w:tc>
          <w:tcPr>
            <w:tcW w:w="680" w:type="dxa"/>
            <w:vAlign w:val="bottom"/>
            <w:gridSpan w:val="2"/>
          </w:tcPr>
          <w:p>
            <w:pPr>
              <w:spacing w:after="0"/>
              <w:rPr>
                <w:sz w:val="20"/>
                <w:szCs w:val="20"/>
                <w:color w:val="auto"/>
              </w:rPr>
            </w:pPr>
            <w:r>
              <w:rPr>
                <w:rFonts w:ascii="Arial" w:cs="Arial" w:eastAsia="Arial" w:hAnsi="Arial"/>
                <w:sz w:val="18"/>
                <w:szCs w:val="18"/>
                <w:color w:val="auto"/>
              </w:rPr>
              <w:t>And</w:t>
            </w: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0"/>
        </w:trPr>
        <w:tc>
          <w:tcPr>
            <w:tcW w:w="4400" w:type="dxa"/>
            <w:vAlign w:val="bottom"/>
            <w:gridSpan w:val="8"/>
          </w:tcPr>
          <w:p>
            <w:pPr>
              <w:spacing w:after="0" w:line="190" w:lineRule="exact"/>
              <w:rPr>
                <w:sz w:val="20"/>
                <w:szCs w:val="20"/>
                <w:color w:val="auto"/>
              </w:rPr>
            </w:pPr>
            <w:r>
              <w:rPr>
                <w:rFonts w:ascii="Arial" w:cs="Arial" w:eastAsia="Arial" w:hAnsi="Arial"/>
                <w:sz w:val="18"/>
                <w:szCs w:val="18"/>
                <w:color w:val="auto"/>
              </w:rPr>
              <w:t>Name of the data importing organisation:</w:t>
            </w: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680" w:type="dxa"/>
            <w:vAlign w:val="bottom"/>
            <w:gridSpan w:val="2"/>
          </w:tcPr>
          <w:p>
            <w:pPr>
              <w:spacing w:after="0" w:line="196" w:lineRule="exact"/>
              <w:rPr>
                <w:sz w:val="20"/>
                <w:szCs w:val="20"/>
                <w:color w:val="auto"/>
              </w:rPr>
            </w:pPr>
            <w:r>
              <w:rPr>
                <w:rFonts w:ascii="Arial" w:cs="Arial" w:eastAsia="Arial" w:hAnsi="Arial"/>
                <w:sz w:val="18"/>
                <w:szCs w:val="18"/>
                <w:color w:val="auto"/>
                <w:w w:val="92"/>
              </w:rPr>
              <w:t>Address:</w:t>
            </w:r>
          </w:p>
        </w:tc>
        <w:tc>
          <w:tcPr>
            <w:tcW w:w="1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380" w:type="dxa"/>
            <w:vAlign w:val="bottom"/>
          </w:tcPr>
          <w:p>
            <w:pPr>
              <w:spacing w:after="0"/>
              <w:rPr>
                <w:sz w:val="20"/>
                <w:szCs w:val="20"/>
                <w:color w:val="auto"/>
              </w:rPr>
            </w:pPr>
            <w:r>
              <w:rPr>
                <w:rFonts w:ascii="Arial" w:cs="Arial" w:eastAsia="Arial" w:hAnsi="Arial"/>
                <w:sz w:val="18"/>
                <w:szCs w:val="18"/>
                <w:color w:val="auto"/>
              </w:rPr>
              <w:t>Tel.:</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92"/>
              </w:rPr>
              <w:t>; fax:</w:t>
            </w:r>
          </w:p>
        </w:tc>
        <w:tc>
          <w:tcPr>
            <w:tcW w:w="1620" w:type="dxa"/>
            <w:vAlign w:val="bottom"/>
            <w:gridSpan w:val="4"/>
          </w:tcPr>
          <w:p>
            <w:pPr>
              <w:spacing w:after="0"/>
              <w:rPr>
                <w:sz w:val="24"/>
                <w:szCs w:val="24"/>
                <w:color w:val="auto"/>
              </w:rPr>
            </w:pPr>
          </w:p>
        </w:tc>
        <w:tc>
          <w:tcPr>
            <w:tcW w:w="3440" w:type="dxa"/>
            <w:vAlign w:val="bottom"/>
            <w:gridSpan w:val="7"/>
          </w:tcPr>
          <w:p>
            <w:pPr>
              <w:ind w:left="40"/>
              <w:spacing w:after="0"/>
              <w:rPr>
                <w:sz w:val="20"/>
                <w:szCs w:val="20"/>
                <w:color w:val="auto"/>
              </w:rPr>
            </w:pPr>
            <w:r>
              <w:rPr>
                <w:rFonts w:ascii="Arial" w:cs="Arial" w:eastAsia="Arial" w:hAnsi="Arial"/>
                <w:sz w:val="18"/>
                <w:szCs w:val="18"/>
                <w:color w:val="auto"/>
              </w:rPr>
              <w:t>; e-mail:</w:t>
            </w:r>
          </w:p>
        </w:tc>
      </w:tr>
      <w:tr>
        <w:trPr>
          <w:trHeight w:val="20"/>
        </w:trPr>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needed to identify the organisation: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417830</wp:posOffset>
            </wp:positionV>
            <wp:extent cx="36290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362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data </w:t>
      </w:r>
      <w:r>
        <w:rPr>
          <w:rFonts w:ascii="Arial" w:cs="Arial" w:eastAsia="Arial" w:hAnsi="Arial"/>
          <w:sz w:val="18"/>
          <w:szCs w:val="18"/>
          <w:b w:val="1"/>
          <w:bCs w:val="1"/>
          <w:color w:val="auto"/>
        </w:rPr>
        <w:t>importer</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a “party”; together “the parties”,</w:t>
      </w:r>
    </w:p>
    <w:p>
      <w:pPr>
        <w:spacing w:after="0" w:line="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HAVE AGREED on the following Contractual Clauses (the Clauses) in order to adduce adequate safeguards with respect to the protection of privacy and fundamental rights and freedoms of individuals for the transfer by the data exporter to the data importer of the personal data specified in Appendix 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53258.A.001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Clauses:</w:t>
      </w:r>
    </w:p>
    <w:p>
      <w:pPr>
        <w:spacing w:after="0" w:line="131" w:lineRule="exact"/>
        <w:rPr>
          <w:sz w:val="20"/>
          <w:szCs w:val="20"/>
          <w:color w:val="auto"/>
        </w:rPr>
      </w:pPr>
    </w:p>
    <w:p>
      <w:pPr>
        <w:ind w:left="440" w:right="100" w:hanging="436"/>
        <w:spacing w:after="0" w:line="264" w:lineRule="auto"/>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‘personal data’, ‘special categories of data’, ‘process/processing’, ‘controller’, ‘processor’, ‘data subject’ </w:t>
      </w:r>
      <w:r>
        <w:rPr>
          <w:rFonts w:ascii="Arial" w:cs="Arial" w:eastAsia="Arial" w:hAnsi="Arial"/>
          <w:sz w:val="18"/>
          <w:szCs w:val="18"/>
          <w:color w:val="auto"/>
        </w:rPr>
        <w:t>and</w:t>
      </w:r>
      <w:r>
        <w:rPr>
          <w:rFonts w:ascii="Arial" w:cs="Arial" w:eastAsia="Arial" w:hAnsi="Arial"/>
          <w:sz w:val="18"/>
          <w:szCs w:val="18"/>
          <w:i w:val="1"/>
          <w:iCs w:val="1"/>
          <w:color w:val="auto"/>
        </w:rPr>
        <w:t xml:space="preserve"> ‘supervisory authority’ </w:t>
      </w:r>
      <w:r>
        <w:rPr>
          <w:rFonts w:ascii="Arial" w:cs="Arial" w:eastAsia="Arial" w:hAnsi="Arial"/>
          <w:sz w:val="18"/>
          <w:szCs w:val="18"/>
          <w:color w:val="auto"/>
        </w:rPr>
        <w:t>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meaning as in Directive 95/46/EC of the European Parliament and of the Council of 24 October 1995 on the protection of individuals with regard to the processing of personal data and on the free movement of such data</w:t>
      </w:r>
      <w:r>
        <w:rPr>
          <w:rFonts w:ascii="Arial" w:cs="Arial" w:eastAsia="Arial" w:hAnsi="Arial"/>
          <w:sz w:val="15"/>
          <w:szCs w:val="15"/>
          <w:color w:val="auto"/>
        </w:rPr>
        <w:t>1</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data exporter’</w:t>
      </w:r>
      <w:r>
        <w:rPr>
          <w:rFonts w:ascii="Arial" w:cs="Arial" w:eastAsia="Arial" w:hAnsi="Arial"/>
          <w:sz w:val="18"/>
          <w:szCs w:val="18"/>
          <w:color w:val="auto"/>
        </w:rPr>
        <w:t xml:space="preserve"> means the controller who transfers the personal data;</w:t>
      </w:r>
    </w:p>
    <w:p>
      <w:pPr>
        <w:spacing w:after="0" w:line="130" w:lineRule="exact"/>
        <w:rPr>
          <w:rFonts w:ascii="Arial" w:cs="Arial" w:eastAsia="Arial" w:hAnsi="Arial"/>
          <w:sz w:val="18"/>
          <w:szCs w:val="18"/>
          <w:color w:val="auto"/>
        </w:rPr>
      </w:pPr>
    </w:p>
    <w:p>
      <w:pPr>
        <w:ind w:left="440" w:right="80" w:hanging="436"/>
        <w:spacing w:after="0" w:line="264" w:lineRule="auto"/>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‘the data importer’ </w:t>
      </w:r>
      <w:r>
        <w:rPr>
          <w:rFonts w:ascii="Arial" w:cs="Arial" w:eastAsia="Arial" w:hAnsi="Arial"/>
          <w:sz w:val="18"/>
          <w:szCs w:val="18"/>
          <w:color w:val="auto"/>
        </w:rPr>
        <w:t>means the processor who agrees to receive from the data exporter personal data intended for processing on his behalf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in accordance with his instructions and the terms of the Clauses and who is not subject to a third country’s system ensuring adequate protection within the meaning of Article 25(1) of Directive 95/46/EC;</w:t>
      </w:r>
    </w:p>
    <w:p>
      <w:pPr>
        <w:spacing w:after="0" w:line="86" w:lineRule="exact"/>
        <w:rPr>
          <w:rFonts w:ascii="Arial" w:cs="Arial" w:eastAsia="Arial" w:hAnsi="Arial"/>
          <w:sz w:val="18"/>
          <w:szCs w:val="18"/>
          <w:color w:val="auto"/>
        </w:rPr>
      </w:pPr>
    </w:p>
    <w:p>
      <w:pPr>
        <w:ind w:left="440" w:right="20" w:hanging="436"/>
        <w:spacing w:after="0" w:line="259" w:lineRule="auto"/>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‘the subprocessor’ </w:t>
      </w:r>
      <w:r>
        <w:rPr>
          <w:rFonts w:ascii="Arial" w:cs="Arial" w:eastAsia="Arial" w:hAnsi="Arial"/>
          <w:sz w:val="18"/>
          <w:szCs w:val="18"/>
          <w:color w:val="auto"/>
        </w:rPr>
        <w:t>means any processor engaged by the data importer or by any other subprocessor of the data importer who agrees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data importer or from any other subprocessor of the data importer personal data exclusively intended for processing activities to be carried out on behalf of the data exporter after the transfer in accordance with his instructions, the terms of the Clauses and the terms of the written subcontract;</w:t>
      </w:r>
    </w:p>
    <w:p>
      <w:pPr>
        <w:spacing w:after="0" w:line="92" w:lineRule="exact"/>
        <w:rPr>
          <w:rFonts w:ascii="Arial" w:cs="Arial" w:eastAsia="Arial" w:hAnsi="Arial"/>
          <w:sz w:val="18"/>
          <w:szCs w:val="18"/>
          <w:color w:val="auto"/>
        </w:rPr>
      </w:pPr>
    </w:p>
    <w:p>
      <w:pPr>
        <w:ind w:left="440" w:right="240" w:hanging="436"/>
        <w:spacing w:after="0" w:line="264" w:lineRule="auto"/>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applicable data protection law</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means the legislation protecting the fundamental rights and freedoms of individuals and, in particular, their right to privacy with respect to the processing of personal data applicable to a data controller in the Member State in which the data exporter is established;</w:t>
      </w:r>
    </w:p>
    <w:p>
      <w:pPr>
        <w:spacing w:after="0" w:line="86" w:lineRule="exact"/>
        <w:rPr>
          <w:rFonts w:ascii="Arial" w:cs="Arial" w:eastAsia="Arial" w:hAnsi="Arial"/>
          <w:sz w:val="18"/>
          <w:szCs w:val="18"/>
          <w:color w:val="auto"/>
        </w:rPr>
      </w:pPr>
    </w:p>
    <w:p>
      <w:pPr>
        <w:ind w:left="440" w:right="280" w:hanging="436"/>
        <w:spacing w:after="0" w:line="264" w:lineRule="auto"/>
        <w:tabs>
          <w:tab w:leader="none" w:pos="44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‘technical and organisational security measures’ </w:t>
      </w:r>
      <w:r>
        <w:rPr>
          <w:rFonts w:ascii="Arial" w:cs="Arial" w:eastAsia="Arial" w:hAnsi="Arial"/>
          <w:sz w:val="18"/>
          <w:szCs w:val="18"/>
          <w:color w:val="auto"/>
        </w:rPr>
        <w:t>means those measures aimed at protecting personal data against accidental or unlawful</w:t>
      </w:r>
      <w:r>
        <w:rPr>
          <w:rFonts w:ascii="Arial" w:cs="Arial" w:eastAsia="Arial" w:hAnsi="Arial"/>
          <w:sz w:val="18"/>
          <w:szCs w:val="18"/>
          <w:i w:val="1"/>
          <w:iCs w:val="1"/>
          <w:color w:val="auto"/>
        </w:rPr>
        <w:t xml:space="preserve"> </w:t>
      </w:r>
      <w:r>
        <w:rPr>
          <w:rFonts w:ascii="Arial" w:cs="Arial" w:eastAsia="Arial" w:hAnsi="Arial"/>
          <w:sz w:val="18"/>
          <w:szCs w:val="18"/>
          <w:color w:val="auto"/>
        </w:rPr>
        <w:t>destruction or accidental loss, alteration, unauthorised disclosure or access, in particular where the processing involves the transmission of data over a network, and against all other unlawful forms of processing.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Details of the transfer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details of the transfer and in particular the special categories of personal data where applicable are specified in Appendix 1 which forms an integral part of the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632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3" w:lineRule="exact"/>
        <w:rPr>
          <w:sz w:val="20"/>
          <w:szCs w:val="20"/>
          <w:color w:val="auto"/>
        </w:rPr>
      </w:pPr>
    </w:p>
    <w:p>
      <w:pPr>
        <w:ind w:left="440" w:right="140" w:hanging="436"/>
        <w:spacing w:after="0" w:line="277" w:lineRule="auto"/>
        <w:tabs>
          <w:tab w:leader="none" w:pos="440" w:val="left"/>
        </w:tabs>
        <w:numPr>
          <w:ilvl w:val="0"/>
          <w:numId w:val="107"/>
        </w:numPr>
        <w:rPr>
          <w:rFonts w:ascii="Arial" w:cs="Arial" w:eastAsia="Arial" w:hAnsi="Arial"/>
          <w:sz w:val="15"/>
          <w:szCs w:val="15"/>
          <w:color w:val="auto"/>
        </w:rPr>
      </w:pPr>
      <w:r>
        <w:rPr>
          <w:rFonts w:ascii="Arial" w:cs="Arial" w:eastAsia="Arial" w:hAnsi="Arial"/>
          <w:sz w:val="18"/>
          <w:szCs w:val="18"/>
          <w:color w:val="auto"/>
        </w:rPr>
        <w:t>Parties may reproduce definitions and meanings contained in Directive 95/46/EC within this Clause if they considered it better for the contract to stand alone.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Third-party beneficiary clause</w:t>
      </w:r>
    </w:p>
    <w:p>
      <w:pPr>
        <w:spacing w:after="0" w:line="252" w:lineRule="exact"/>
        <w:rPr>
          <w:sz w:val="20"/>
          <w:szCs w:val="20"/>
          <w:color w:val="auto"/>
        </w:rPr>
      </w:pPr>
    </w:p>
    <w:p>
      <w:pPr>
        <w:ind w:left="440" w:right="140" w:hanging="436"/>
        <w:spacing w:after="0" w:line="277" w:lineRule="auto"/>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data subject can enforce against the data exporter this Clause, Clause 4(b) to (i), Clause 5(a) to (e), and (g) to (j), Clause 6(1) and (2), Clause 7, Clause 8(2), and Clauses 9 to 12 as third-party beneficiary.</w:t>
      </w:r>
    </w:p>
    <w:p>
      <w:pPr>
        <w:spacing w:after="0" w:line="75" w:lineRule="exact"/>
        <w:rPr>
          <w:rFonts w:ascii="Arial" w:cs="Arial" w:eastAsia="Arial" w:hAnsi="Arial"/>
          <w:sz w:val="18"/>
          <w:szCs w:val="18"/>
          <w:color w:val="auto"/>
        </w:rPr>
      </w:pPr>
    </w:p>
    <w:p>
      <w:pPr>
        <w:ind w:left="440" w:right="40" w:hanging="436"/>
        <w:spacing w:after="0" w:line="259" w:lineRule="auto"/>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data subject can enforce against the data importer this Clause, Clause 5(a) to (e) and (g), Clause 6, Clause 7, Clause 8(2), and Clauses 9 to 12, in cases where the data exporter has factually disappeared or has ceased to exist in law unless any successor entity has assumed the entire legal obligations of the data exporter by contract or by operation of law, as a result of which it takes on the rights and obligations of the data exporter, in which case the data subject can enforce them against such entity.</w:t>
      </w:r>
    </w:p>
    <w:p>
      <w:pPr>
        <w:spacing w:after="0" w:line="92" w:lineRule="exact"/>
        <w:rPr>
          <w:rFonts w:ascii="Arial" w:cs="Arial" w:eastAsia="Arial" w:hAnsi="Arial"/>
          <w:sz w:val="18"/>
          <w:szCs w:val="18"/>
          <w:color w:val="auto"/>
        </w:rPr>
      </w:pPr>
    </w:p>
    <w:p>
      <w:pPr>
        <w:ind w:left="440" w:right="60" w:hanging="436"/>
        <w:spacing w:after="0" w:line="276" w:lineRule="auto"/>
        <w:tabs>
          <w:tab w:leader="none" w:pos="4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data subject can enforce against the subprocessor this Clause, Clause 5(a) to (e) and (g), Clause 6, Clause 7, Clause 8(2), and Clauses 9 to 12, in cases where both the data exporter and the data importer have factually disappeared or ceased to exist in law or have become insolvent, unless any successor entity has assumed the entire legal obligations of the data exporter by contract or by operation of law as a result of which it takes on the rights and obligations of the data exporter, in which case the data subject can enforce them against such entity. Such third-party liability of the subprocessor shall be limited to its own processing operations under the Clauses.</w:t>
      </w:r>
    </w:p>
    <w:p>
      <w:pPr>
        <w:spacing w:after="0" w:line="77" w:lineRule="exact"/>
        <w:rPr>
          <w:rFonts w:ascii="Arial" w:cs="Arial" w:eastAsia="Arial" w:hAnsi="Arial"/>
          <w:sz w:val="17"/>
          <w:szCs w:val="17"/>
          <w:color w:val="auto"/>
        </w:rPr>
      </w:pPr>
    </w:p>
    <w:p>
      <w:pPr>
        <w:ind w:left="440" w:right="720" w:hanging="436"/>
        <w:spacing w:after="0" w:line="277" w:lineRule="auto"/>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parties do not object to a data subject being represented by an association or other body if the data subject so expressly wishes and if permitted by national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Obligations of the data exporter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data exporter agrees and warrants:</w:t>
      </w:r>
    </w:p>
    <w:p>
      <w:pPr>
        <w:spacing w:after="0" w:line="131" w:lineRule="exact"/>
        <w:rPr>
          <w:sz w:val="20"/>
          <w:szCs w:val="20"/>
          <w:color w:val="auto"/>
        </w:rPr>
      </w:pPr>
    </w:p>
    <w:p>
      <w:pPr>
        <w:ind w:left="440" w:right="20" w:hanging="436"/>
        <w:spacing w:after="0" w:line="264"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that the processing, including the transfer itself, of the personal data has been and will continue to be carried out in accordance with the relevant provisions of the applicable data protection law (and, where applicable, has been notified to the relevant authorities of the Member State where the data exporter is established) and does not violate the relevant provisions of that State;</w:t>
      </w:r>
    </w:p>
    <w:p>
      <w:pPr>
        <w:spacing w:after="0" w:line="86" w:lineRule="exact"/>
        <w:rPr>
          <w:rFonts w:ascii="Arial" w:cs="Arial" w:eastAsia="Arial" w:hAnsi="Arial"/>
          <w:sz w:val="18"/>
          <w:szCs w:val="18"/>
          <w:color w:val="auto"/>
        </w:rPr>
      </w:pPr>
    </w:p>
    <w:p>
      <w:pPr>
        <w:ind w:left="440" w:right="300" w:hanging="436"/>
        <w:spacing w:after="0" w:line="308" w:lineRule="auto"/>
        <w:tabs>
          <w:tab w:leader="none" w:pos="4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that it has instructed and throughout the duration of the personal data processing services will instruct the data importer to process the personal data transferred only on the data exporter’s behalf and in accordance with the applicable data protection law and the Clauses;</w:t>
      </w:r>
    </w:p>
    <w:p>
      <w:pPr>
        <w:spacing w:after="0" w:line="51" w:lineRule="exact"/>
        <w:rPr>
          <w:rFonts w:ascii="Arial" w:cs="Arial" w:eastAsia="Arial" w:hAnsi="Arial"/>
          <w:sz w:val="17"/>
          <w:szCs w:val="17"/>
          <w:color w:val="auto"/>
        </w:rPr>
      </w:pPr>
    </w:p>
    <w:p>
      <w:pPr>
        <w:ind w:left="440" w:right="40" w:hanging="436"/>
        <w:spacing w:after="0" w:line="277"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that the data importer will provide sufficient guarantees in respect of the technical and organisational security measures specified in Appendix 2 to this contract;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8" w:lineRule="exact"/>
        <w:rPr>
          <w:sz w:val="20"/>
          <w:szCs w:val="20"/>
          <w:color w:val="auto"/>
        </w:rPr>
      </w:pPr>
    </w:p>
    <w:p>
      <w:pPr>
        <w:ind w:left="440" w:right="160" w:hanging="436"/>
        <w:spacing w:after="0" w:line="257" w:lineRule="auto"/>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that after assessment of the requirements of the applicable data protection law, the security measures are appropriate to protect personal data against accidental or unlawful destruction or accidental loss, alteration, unauthorised disclosure or access, in particular where the processing involves the transmission of data over a network, and against all other unlawful forms of processing, and that these measures ensure a level of security appropriate to the risks presented by the processing and the nature of the data to be protected having regard to the state of the art and the cost of their implementation;</w:t>
      </w:r>
    </w:p>
    <w:p>
      <w:pPr>
        <w:spacing w:after="0" w:line="93" w:lineRule="exact"/>
        <w:rPr>
          <w:rFonts w:ascii="Arial" w:cs="Arial" w:eastAsia="Arial" w:hAnsi="Arial"/>
          <w:sz w:val="18"/>
          <w:szCs w:val="18"/>
          <w:color w:val="auto"/>
        </w:rPr>
      </w:pPr>
    </w:p>
    <w:p>
      <w:pPr>
        <w:ind w:left="440" w:hanging="436"/>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that it will ensure compliance with the security measures;</w:t>
      </w:r>
    </w:p>
    <w:p>
      <w:pPr>
        <w:spacing w:after="0" w:line="130" w:lineRule="exact"/>
        <w:rPr>
          <w:rFonts w:ascii="Arial" w:cs="Arial" w:eastAsia="Arial" w:hAnsi="Arial"/>
          <w:sz w:val="18"/>
          <w:szCs w:val="18"/>
          <w:color w:val="auto"/>
        </w:rPr>
      </w:pPr>
    </w:p>
    <w:p>
      <w:pPr>
        <w:ind w:left="440" w:right="140" w:hanging="436"/>
        <w:spacing w:after="0" w:line="342" w:lineRule="auto"/>
        <w:tabs>
          <w:tab w:leader="none" w:pos="4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that, if the transfer involves special categories of data, the data subject has been informed or will be informed before, or as soon as possible after, the transfer that its data could be transmitted to a third country not providing adequate protection within the meaning of Directive 95/46/EC;</w:t>
      </w:r>
    </w:p>
    <w:p>
      <w:pPr>
        <w:spacing w:after="0" w:line="29" w:lineRule="exact"/>
        <w:rPr>
          <w:rFonts w:ascii="Arial" w:cs="Arial" w:eastAsia="Arial" w:hAnsi="Arial"/>
          <w:sz w:val="16"/>
          <w:szCs w:val="16"/>
          <w:color w:val="auto"/>
        </w:rPr>
      </w:pPr>
    </w:p>
    <w:p>
      <w:pPr>
        <w:ind w:left="440" w:right="360" w:hanging="436"/>
        <w:spacing w:after="0" w:line="277" w:lineRule="auto"/>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forward any notification received from the data importer or any subprocessor pursuant to Clause 5(b) and Clause 8(3) to the data protection supervisory authority if the data exporter decides to continue the transfer or to lift the suspension;</w:t>
      </w:r>
    </w:p>
    <w:p>
      <w:pPr>
        <w:spacing w:after="0" w:line="75" w:lineRule="exact"/>
        <w:rPr>
          <w:rFonts w:ascii="Arial" w:cs="Arial" w:eastAsia="Arial" w:hAnsi="Arial"/>
          <w:sz w:val="18"/>
          <w:szCs w:val="18"/>
          <w:color w:val="auto"/>
        </w:rPr>
      </w:pPr>
    </w:p>
    <w:p>
      <w:pPr>
        <w:ind w:left="440" w:right="240" w:hanging="436"/>
        <w:spacing w:after="0" w:line="286" w:lineRule="auto"/>
        <w:tabs>
          <w:tab w:leader="none" w:pos="4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make available to the data subjects upon request a copy of the Clauses, with the exception of Appendix 2, and a summary description of the security measures, as well as a copy of any contract for subprocessing services which has to be made in accordance with the Clauses, unless the Clauses or the contract contain commercial information, in which case it may remove such commercial information;</w:t>
      </w:r>
    </w:p>
    <w:p>
      <w:pPr>
        <w:spacing w:after="0" w:line="70" w:lineRule="exact"/>
        <w:rPr>
          <w:rFonts w:ascii="Arial" w:cs="Arial" w:eastAsia="Arial" w:hAnsi="Arial"/>
          <w:sz w:val="17"/>
          <w:szCs w:val="17"/>
          <w:color w:val="auto"/>
        </w:rPr>
      </w:pPr>
    </w:p>
    <w:p>
      <w:pPr>
        <w:ind w:left="440" w:right="380" w:hanging="436"/>
        <w:spacing w:after="0" w:line="308" w:lineRule="auto"/>
        <w:tabs>
          <w:tab w:leader="none" w:pos="4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that, in the event of subprocessing, the processing activity is carried out in accordance with Clause 11 by a subprocessor providing at least the same level of protection for the personal data and the rights of data subject as the data importer under the Clauses; and</w:t>
      </w:r>
    </w:p>
    <w:p>
      <w:pPr>
        <w:spacing w:after="0" w:line="51" w:lineRule="exact"/>
        <w:rPr>
          <w:rFonts w:ascii="Arial" w:cs="Arial" w:eastAsia="Arial" w:hAnsi="Arial"/>
          <w:sz w:val="17"/>
          <w:szCs w:val="17"/>
          <w:color w:val="auto"/>
        </w:rPr>
      </w:pPr>
    </w:p>
    <w:p>
      <w:pPr>
        <w:ind w:left="440" w:hanging="436"/>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that it will ensure compliance with Clause 4(a) to (i).</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53258.A.001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Obligations of the data importer</w:t>
      </w:r>
      <w:r>
        <w:rPr>
          <w:rFonts w:ascii="Arial" w:cs="Arial" w:eastAsia="Arial" w:hAnsi="Arial"/>
          <w:sz w:val="15"/>
          <w:szCs w:val="15"/>
          <w:b w:val="1"/>
          <w:bCs w:val="1"/>
          <w:i w:val="1"/>
          <w:iCs w:val="1"/>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data importer agrees and warrants:</w:t>
      </w:r>
    </w:p>
    <w:p>
      <w:pPr>
        <w:spacing w:after="0" w:line="131" w:lineRule="exact"/>
        <w:rPr>
          <w:sz w:val="20"/>
          <w:szCs w:val="20"/>
          <w:color w:val="auto"/>
        </w:rPr>
      </w:pPr>
    </w:p>
    <w:p>
      <w:pPr>
        <w:ind w:left="440" w:right="220" w:hanging="436"/>
        <w:spacing w:after="0" w:line="264" w:lineRule="auto"/>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process the personal data only on behalf of the data exporter and in compliance with its instructions and the Clauses; if it cannot provide such compliance for whatever reasons, it agrees to inform promptly the data exporter of its inability to comply, in which case the data exporter is entitled to suspend the transfer of data and/or terminate the contract;</w:t>
      </w:r>
    </w:p>
    <w:p>
      <w:pPr>
        <w:spacing w:after="0" w:line="86" w:lineRule="exact"/>
        <w:rPr>
          <w:rFonts w:ascii="Arial" w:cs="Arial" w:eastAsia="Arial" w:hAnsi="Arial"/>
          <w:sz w:val="18"/>
          <w:szCs w:val="18"/>
          <w:color w:val="auto"/>
        </w:rPr>
      </w:pPr>
    </w:p>
    <w:p>
      <w:pPr>
        <w:ind w:left="440" w:right="60" w:hanging="436"/>
        <w:spacing w:after="0" w:line="279" w:lineRule="auto"/>
        <w:tabs>
          <w:tab w:leader="none" w:pos="4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that it has no reason to believe that the legislation applicable to it prevents it from fulfilling the instructions received from the data exporter and its obligations under the contract and that in the event of a change in this legislation which is likely to have a substantial adverse effect on the warranties and obligations provided by the Clauses, it will promptly notify the change to the data exporter as soon as it is aware, in which case the data exporter is entitled to suspend the transfer of data and/or terminate the contract;</w:t>
      </w:r>
    </w:p>
    <w:p>
      <w:pPr>
        <w:spacing w:after="0" w:line="76" w:lineRule="exact"/>
        <w:rPr>
          <w:rFonts w:ascii="Arial" w:cs="Arial" w:eastAsia="Arial" w:hAnsi="Arial"/>
          <w:sz w:val="17"/>
          <w:szCs w:val="17"/>
          <w:color w:val="auto"/>
        </w:rPr>
      </w:pPr>
    </w:p>
    <w:p>
      <w:pPr>
        <w:ind w:left="440" w:hanging="436"/>
        <w:spacing w:after="0"/>
        <w:tabs>
          <w:tab w:leader="none" w:pos="4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that it has implemented the technical and organisational security measures specified in Appendix 2 before processing the personal data transferred;</w:t>
      </w:r>
    </w:p>
    <w:p>
      <w:pPr>
        <w:spacing w:after="0" w:line="153" w:lineRule="exact"/>
        <w:rPr>
          <w:rFonts w:ascii="Arial" w:cs="Arial" w:eastAsia="Arial" w:hAnsi="Arial"/>
          <w:sz w:val="16"/>
          <w:szCs w:val="16"/>
          <w:color w:val="auto"/>
        </w:rPr>
      </w:pPr>
    </w:p>
    <w:p>
      <w:pPr>
        <w:ind w:left="440" w:hanging="436"/>
        <w:spacing w:after="0"/>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it will promptly notify the data exporter about:</w:t>
      </w:r>
    </w:p>
    <w:p>
      <w:pPr>
        <w:spacing w:after="0" w:line="130" w:lineRule="exact"/>
        <w:rPr>
          <w:rFonts w:ascii="Arial" w:cs="Arial" w:eastAsia="Arial" w:hAnsi="Arial"/>
          <w:sz w:val="18"/>
          <w:szCs w:val="18"/>
          <w:color w:val="auto"/>
        </w:rPr>
      </w:pPr>
    </w:p>
    <w:p>
      <w:pPr>
        <w:ind w:left="980" w:right="540" w:hanging="544"/>
        <w:spacing w:after="0" w:line="277" w:lineRule="auto"/>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legally binding request for disclosure of the personal data by a law enforcement authority unless otherwise prohibited, such as a prohibition under criminal law to preserve the confidentiality of a law enforcement investigation,</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accidental or unauthorised access,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any request received directly from the data subjects without responding to that request, unless it has been otherwise authorised to do so;</w:t>
      </w:r>
    </w:p>
    <w:p>
      <w:pPr>
        <w:spacing w:after="0" w:line="153" w:lineRule="exact"/>
        <w:rPr>
          <w:rFonts w:ascii="Arial" w:cs="Arial" w:eastAsia="Arial" w:hAnsi="Arial"/>
          <w:sz w:val="16"/>
          <w:szCs w:val="16"/>
          <w:color w:val="auto"/>
        </w:rPr>
      </w:pPr>
    </w:p>
    <w:p>
      <w:pPr>
        <w:ind w:left="440" w:right="160" w:hanging="436"/>
        <w:spacing w:after="0" w:line="277" w:lineRule="auto"/>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deal promptly and properly with all inquiries from the data exporter relating to its processing of the personal data subject to the transfer and to abide by the advice of the supervisory authority with regard to the processing of the data transferred;</w:t>
      </w:r>
    </w:p>
    <w:p>
      <w:pPr>
        <w:spacing w:after="0" w:line="75" w:lineRule="exact"/>
        <w:rPr>
          <w:rFonts w:ascii="Arial" w:cs="Arial" w:eastAsia="Arial" w:hAnsi="Arial"/>
          <w:sz w:val="18"/>
          <w:szCs w:val="18"/>
          <w:color w:val="auto"/>
        </w:rPr>
      </w:pPr>
    </w:p>
    <w:p>
      <w:pPr>
        <w:ind w:left="440" w:right="200" w:hanging="436"/>
        <w:spacing w:after="0" w:line="312" w:lineRule="auto"/>
        <w:tabs>
          <w:tab w:leader="none" w:pos="4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at the request of the data exporter to submit its data processing facilities for audit of the processing activities covered by the Clauses which shall be carried out by the data exporter or an inspection body composed of independent members and in possession of the required professional qualifications bound by a duty of confidentiality, selected by the data exporter, where applicable, in agreement with the supervisory authority;</w:t>
      </w:r>
    </w:p>
    <w:p>
      <w:pPr>
        <w:spacing w:after="0" w:line="52" w:lineRule="exact"/>
        <w:rPr>
          <w:rFonts w:ascii="Arial" w:cs="Arial" w:eastAsia="Arial" w:hAnsi="Arial"/>
          <w:sz w:val="16"/>
          <w:szCs w:val="16"/>
          <w:color w:val="auto"/>
        </w:rPr>
      </w:pPr>
    </w:p>
    <w:p>
      <w:pPr>
        <w:ind w:left="440" w:hanging="436"/>
        <w:spacing w:after="0" w:line="312" w:lineRule="auto"/>
        <w:tabs>
          <w:tab w:leader="none" w:pos="4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make available to the data subject upon request a copy of the Clauses, or any existing contract for subprocessing, unless the Clauses or contract contain commercial information, in which case it may remove such commercial information, with the exception of Appendix 2 which shall be replaced by a summary description of the security measures in those cases where the data subject is unable to obtain a copy from the data exporter;</w:t>
      </w:r>
    </w:p>
    <w:p>
      <w:pPr>
        <w:spacing w:after="0" w:line="52" w:lineRule="exact"/>
        <w:rPr>
          <w:rFonts w:ascii="Arial" w:cs="Arial" w:eastAsia="Arial" w:hAnsi="Arial"/>
          <w:sz w:val="16"/>
          <w:szCs w:val="16"/>
          <w:color w:val="auto"/>
        </w:rPr>
      </w:pPr>
    </w:p>
    <w:p>
      <w:pPr>
        <w:ind w:left="440" w:hanging="436"/>
        <w:spacing w:after="0"/>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in the event of subprocessing, it has previously informed the data exporter and obtained its prior written consent;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that the processing services by the subprocessor will be carried out in accordance with Clause 11;</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send promptly a copy of any subprocessor agreement it concludes under the Clauses to the data exporter.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ind w:left="440" w:hanging="436"/>
        <w:spacing w:after="0" w:line="255" w:lineRule="auto"/>
        <w:tabs>
          <w:tab w:leader="none" w:pos="440" w:val="left"/>
        </w:tabs>
        <w:numPr>
          <w:ilvl w:val="0"/>
          <w:numId w:val="112"/>
        </w:numPr>
        <w:rPr>
          <w:rFonts w:ascii="Arial" w:cs="Arial" w:eastAsia="Arial" w:hAnsi="Arial"/>
          <w:sz w:val="15"/>
          <w:szCs w:val="15"/>
          <w:color w:val="auto"/>
        </w:rPr>
      </w:pPr>
      <w:r>
        <w:rPr>
          <w:rFonts w:ascii="Arial" w:cs="Arial" w:eastAsia="Arial" w:hAnsi="Arial"/>
          <w:sz w:val="18"/>
          <w:szCs w:val="18"/>
          <w:color w:val="auto"/>
        </w:rPr>
        <w:t xml:space="preserve">Mandatory requirements of the national legislation applicable to the data importer which do not go beyond what is necessary in a democratic society on the basis of one of the interests listed in Article 13(1) of Directive 95/46/EC, that is, if they constitute a necessary measure to safeguard national security, defence, public security, the prevention, investigation, detection and prosecution of criminal offences or of breaches of ethics for the regulated professions, an important economic or financial interest of the State or the protection of the data subject or the rights and freedoms of others, are not in contradiction with the standard contractual clauses. Some examples of such mandatory requirements which do not go beyond what is necessary in a democratic society are,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internationally recognised sanctions, tax-reporting requirements or anti-money-laundering reporting requirements.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Liability</w:t>
      </w:r>
    </w:p>
    <w:p>
      <w:pPr>
        <w:spacing w:after="0" w:line="252" w:lineRule="exact"/>
        <w:rPr>
          <w:sz w:val="20"/>
          <w:szCs w:val="20"/>
          <w:color w:val="auto"/>
        </w:rPr>
      </w:pPr>
    </w:p>
    <w:p>
      <w:pPr>
        <w:ind w:left="440" w:right="20" w:hanging="436"/>
        <w:spacing w:after="0" w:line="277" w:lineRule="auto"/>
        <w:tabs>
          <w:tab w:leader="none" w:pos="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parties agree that any data subject, who has suffered damage as a result of any breach of the obligations referred to in Clause 3 or in Clause 11 by any party or subprocessor is entitled to receive compensation from the data exporter for the damage suffered.</w:t>
      </w:r>
    </w:p>
    <w:p>
      <w:pPr>
        <w:spacing w:after="0" w:line="75" w:lineRule="exact"/>
        <w:rPr>
          <w:rFonts w:ascii="Arial" w:cs="Arial" w:eastAsia="Arial" w:hAnsi="Arial"/>
          <w:sz w:val="18"/>
          <w:szCs w:val="18"/>
          <w:color w:val="auto"/>
        </w:rPr>
      </w:pPr>
    </w:p>
    <w:p>
      <w:pPr>
        <w:ind w:left="440" w:right="140" w:hanging="436"/>
        <w:spacing w:after="0" w:line="276" w:lineRule="auto"/>
        <w:tabs>
          <w:tab w:leader="none" w:pos="4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a data subject is not able to bring a claim for compensation in accordance with paragraph 1 against the data exporter, arising out of a breach by the data importer or his subprocessor of any of their obligations referred to in Clause 3 or in Clause 11, because the data exporter has factually disappeared or ceased to exist in law or has become insolvent, the data importer agrees that the data subject may issue a claim against the data importer as if it were the data exporter, unless any successor entity has assumed the entire legal obligations of the data exporter by contract of by operation of law, in which case the data subject can enforce its rights against such entity.</w:t>
      </w:r>
    </w:p>
    <w:p>
      <w:pPr>
        <w:spacing w:after="0" w:line="6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The data importer may not rely on a breach by a subprocessor of its obligations in order to avoid its own liabilities.</w:t>
      </w:r>
    </w:p>
    <w:p>
      <w:pPr>
        <w:spacing w:after="0" w:line="130" w:lineRule="exact"/>
        <w:rPr>
          <w:rFonts w:ascii="Arial" w:cs="Arial" w:eastAsia="Arial" w:hAnsi="Arial"/>
          <w:sz w:val="17"/>
          <w:szCs w:val="17"/>
          <w:color w:val="auto"/>
        </w:rPr>
      </w:pPr>
    </w:p>
    <w:p>
      <w:pPr>
        <w:ind w:left="440" w:right="20" w:hanging="436"/>
        <w:spacing w:after="0" w:line="255" w:lineRule="auto"/>
        <w:tabs>
          <w:tab w:leader="none" w:pos="4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 data subject is not able to bring a claim against the data exporter or the data importer referred to in paragraphs 1 and 2, arising out of a breach by the subprocessor of any of their obligations referred to in Clause 3 or in Clause 11 because both the data exporter and the data importer have factually disappeared or ceased to exist in law or have become insolvent, the subprocessor agrees that the data subject may issue a claim against the data subprocessor with regard to its own processing operations under the Clauses as if it were the data exporter or the data importer, unless any successor entity has assumed the entire legal obligations of the data exporter or data importer by contract or by operation of law, in which case the data subject can enforce its rights against such entity. The liability of the subprocessor shall be limited to its own processing operations under the Clauses.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Mediation and jurisdiction</w:t>
      </w:r>
    </w:p>
    <w:p>
      <w:pPr>
        <w:spacing w:after="0" w:line="252" w:lineRule="exact"/>
        <w:rPr>
          <w:sz w:val="20"/>
          <w:szCs w:val="20"/>
          <w:color w:val="auto"/>
        </w:rPr>
      </w:pPr>
    </w:p>
    <w:p>
      <w:pPr>
        <w:ind w:left="440" w:right="20" w:hanging="436"/>
        <w:spacing w:after="0" w:line="277" w:lineRule="auto"/>
        <w:tabs>
          <w:tab w:leader="none" w:pos="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data importer agrees that if the data subject invokes against it third-party beneficiary rights and/or claims compensation for damages under the Clauses, the data importer will accept the decision of the data subject:</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refer the dispute to mediation, by an independent person or, where applicable, by the supervisory authority;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refer the dispute to the courts in the Member State in which the data exporter is established.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8" w:lineRule="exact"/>
        <w:rPr>
          <w:sz w:val="20"/>
          <w:szCs w:val="20"/>
          <w:color w:val="auto"/>
        </w:rPr>
      </w:pPr>
    </w:p>
    <w:p>
      <w:pPr>
        <w:ind w:left="440" w:right="300" w:hanging="436"/>
        <w:spacing w:after="0" w:line="277" w:lineRule="auto"/>
        <w:tabs>
          <w:tab w:leader="none" w:pos="4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parties agree that the choice made by the data subject will not prejudice its substantive or procedural rights to seek remedies in accordance with other provisions of national or international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Cooperation with supervisory authorities</w:t>
      </w:r>
    </w:p>
    <w:p>
      <w:pPr>
        <w:spacing w:after="0" w:line="252" w:lineRule="exact"/>
        <w:rPr>
          <w:sz w:val="20"/>
          <w:szCs w:val="20"/>
          <w:color w:val="auto"/>
        </w:rPr>
      </w:pPr>
    </w:p>
    <w:p>
      <w:pPr>
        <w:ind w:left="440" w:right="240" w:hanging="436"/>
        <w:spacing w:after="0" w:line="277" w:lineRule="auto"/>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data exporter agrees to deposit a copy of this contract with the supervisory authority if it so requests or if such deposit is required under the applicable data protection law.</w:t>
      </w:r>
    </w:p>
    <w:p>
      <w:pPr>
        <w:spacing w:after="0" w:line="75" w:lineRule="exact"/>
        <w:rPr>
          <w:rFonts w:ascii="Arial" w:cs="Arial" w:eastAsia="Arial" w:hAnsi="Arial"/>
          <w:sz w:val="18"/>
          <w:szCs w:val="18"/>
          <w:color w:val="auto"/>
        </w:rPr>
      </w:pPr>
    </w:p>
    <w:p>
      <w:pPr>
        <w:ind w:left="440" w:right="40" w:hanging="436"/>
        <w:spacing w:after="0" w:line="342" w:lineRule="auto"/>
        <w:tabs>
          <w:tab w:leader="none" w:pos="4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parties agree that the supervisory authority has the right to conduct an audit of the data importer, and of any subprocessor, which has the same scope and is subject to the same conditions as would apply to an audit of the data exporter under the applicable data protection law.</w:t>
      </w:r>
    </w:p>
    <w:p>
      <w:pPr>
        <w:spacing w:after="0" w:line="29" w:lineRule="exact"/>
        <w:rPr>
          <w:rFonts w:ascii="Arial" w:cs="Arial" w:eastAsia="Arial" w:hAnsi="Arial"/>
          <w:sz w:val="16"/>
          <w:szCs w:val="16"/>
          <w:color w:val="auto"/>
        </w:rPr>
      </w:pPr>
    </w:p>
    <w:p>
      <w:pPr>
        <w:ind w:left="440" w:right="100" w:hanging="436"/>
        <w:spacing w:after="0" w:line="264" w:lineRule="auto"/>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data importer shall promptly inform the data exporter about the existence of legislation applicable to it or any subprocessor preventing the conduct of an audit of the data importer, or any subprocessor, pursuant to paragraph 2. In such a case the data exporter shall be entitled to take the measures foreseen in Clause 5 (b).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Clauses shall be governed by the law of the Member State in which the data exporter is established, namely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5153660</wp:posOffset>
            </wp:positionH>
            <wp:positionV relativeFrom="paragraph">
              <wp:posOffset>-10160</wp:posOffset>
            </wp:positionV>
            <wp:extent cx="17430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Variation of the contract</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parties undertake not to vary or modify the Clauses. This does not preclude the parties from adding clauses on business related issues where required as long as they do not contradict the Clause.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Subprocessing</w:t>
      </w:r>
    </w:p>
    <w:p>
      <w:pPr>
        <w:spacing w:after="0" w:line="252" w:lineRule="exact"/>
        <w:rPr>
          <w:sz w:val="20"/>
          <w:szCs w:val="20"/>
          <w:color w:val="auto"/>
        </w:rPr>
      </w:pPr>
    </w:p>
    <w:p>
      <w:pPr>
        <w:ind w:left="440" w:right="180" w:hanging="436"/>
        <w:spacing w:after="0" w:line="255" w:lineRule="auto"/>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data importer shall not subcontract any of its processing operations performed on behalf of the data exporter under the Clauses without the prior written consent of the data exporter. Where the data importer subcontracts its obligations under the Clauses, with the consent of the data exporter, it shall do so only by way of a written agreement with the subprocessor which imposes the same obligations on the subprocessor as are imposed on the data importer under the Clauses</w:t>
      </w:r>
      <w:r>
        <w:rPr>
          <w:rFonts w:ascii="Arial" w:cs="Arial" w:eastAsia="Arial" w:hAnsi="Arial"/>
          <w:sz w:val="15"/>
          <w:szCs w:val="15"/>
          <w:color w:val="auto"/>
        </w:rPr>
        <w:t>3</w:t>
      </w:r>
      <w:r>
        <w:rPr>
          <w:rFonts w:ascii="Arial" w:cs="Arial" w:eastAsia="Arial" w:hAnsi="Arial"/>
          <w:sz w:val="18"/>
          <w:szCs w:val="18"/>
          <w:color w:val="auto"/>
        </w:rPr>
        <w:t>. Where the subprocessor fails to fulfil its data protection obligations under such written agreement the data importer shall remain fully liable to the data exporter for the performance of the subprocessor’s obligations under such agreement.</w:t>
      </w:r>
    </w:p>
    <w:p>
      <w:pPr>
        <w:spacing w:after="0" w:line="98" w:lineRule="exact"/>
        <w:rPr>
          <w:rFonts w:ascii="Arial" w:cs="Arial" w:eastAsia="Arial" w:hAnsi="Arial"/>
          <w:sz w:val="18"/>
          <w:szCs w:val="18"/>
          <w:color w:val="auto"/>
        </w:rPr>
      </w:pPr>
    </w:p>
    <w:p>
      <w:pPr>
        <w:ind w:left="440" w:right="60" w:hanging="436"/>
        <w:spacing w:after="0" w:line="276" w:lineRule="auto"/>
        <w:tabs>
          <w:tab w:leader="none" w:pos="4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prior written contract between the data importer and the subprocessor shall also provide for a third-party beneficiary clause as laid down in Clause 3 for cases where the data subject is not able to bring the claim for compensation referred to in paragraph 1 of Clause 6 against the data exporter or the data importer because they have factually disappeared or have ceased to exist in law or have become insolvent and no successor entity has assumed the entire legal obligations of the data exporter or data importer by contract or by operation of law. Such third-party liability of the subprocessor shall be limited to its own processing operations under the Clauses.</w:t>
      </w:r>
    </w:p>
    <w:p>
      <w:pPr>
        <w:spacing w:after="0" w:line="77" w:lineRule="exact"/>
        <w:rPr>
          <w:rFonts w:ascii="Arial" w:cs="Arial" w:eastAsia="Arial" w:hAnsi="Arial"/>
          <w:sz w:val="17"/>
          <w:szCs w:val="17"/>
          <w:color w:val="auto"/>
        </w:rPr>
      </w:pPr>
    </w:p>
    <w:p>
      <w:pPr>
        <w:ind w:left="440" w:right="180" w:hanging="436"/>
        <w:spacing w:after="0" w:line="277" w:lineRule="auto"/>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provisions relating to data protection aspects for subprocessing of the contract referred to in paragraph 1 shall be governed by the law of the Member State in which the data exporter is established, namely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40" w:right="20" w:hanging="536"/>
        <w:spacing w:after="0" w:line="342" w:lineRule="auto"/>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data exporter shall keep a list of subprocessing agreements concluded under the Clauses and notified by the data importer pursuant to Clause 5 (j), which shall be updated at least once a year. The list shall be available to the data exporter’s data protection supervisory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-974725</wp:posOffset>
            </wp:positionV>
            <wp:extent cx="35718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3571875"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-837565</wp:posOffset>
            </wp:positionV>
            <wp:extent cx="2571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-700405</wp:posOffset>
            </wp:positionV>
            <wp:extent cx="9715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971550"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-563245</wp:posOffset>
            </wp:positionV>
            <wp:extent cx="11715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1171575" cy="889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-426085</wp:posOffset>
            </wp:positionV>
            <wp:extent cx="10572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Clause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Obligation after the termination of personal data processing services</w:t>
      </w:r>
    </w:p>
    <w:p>
      <w:pPr>
        <w:spacing w:after="0" w:line="252" w:lineRule="exact"/>
        <w:rPr>
          <w:sz w:val="20"/>
          <w:szCs w:val="20"/>
          <w:color w:val="auto"/>
        </w:rPr>
      </w:pPr>
    </w:p>
    <w:p>
      <w:pPr>
        <w:jc w:val="both"/>
        <w:ind w:left="440" w:right="20" w:hanging="436"/>
        <w:spacing w:after="0" w:line="257" w:lineRule="auto"/>
        <w:tabs>
          <w:tab w:leader="none" w:pos="4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parties agree that on the termination of the provision of data processing services, the data importer and the subprocessor shall, at the choice of the data exporter, return all the personal data transferred and the copies thereof to the data exporter or shall destroy all the personal data and certify to the data exporter that it has done so, unless legislation imposed upon the data importer prevents it from returning or destroying all or part of the personal data transferred. In that case, the data importer warrants that it will guarantee the confidentiality of the personal data transferred and will not actively process the personal data transferred anymore.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632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1" w:lineRule="exact"/>
        <w:rPr>
          <w:sz w:val="20"/>
          <w:szCs w:val="20"/>
          <w:color w:val="auto"/>
        </w:rPr>
      </w:pPr>
    </w:p>
    <w:p>
      <w:pPr>
        <w:ind w:left="440" w:right="140" w:hanging="436"/>
        <w:spacing w:after="0" w:line="277" w:lineRule="auto"/>
        <w:tabs>
          <w:tab w:leader="none" w:pos="440" w:val="left"/>
        </w:tabs>
        <w:numPr>
          <w:ilvl w:val="0"/>
          <w:numId w:val="119"/>
        </w:numPr>
        <w:rPr>
          <w:rFonts w:ascii="Arial" w:cs="Arial" w:eastAsia="Arial" w:hAnsi="Arial"/>
          <w:sz w:val="15"/>
          <w:szCs w:val="15"/>
          <w:color w:val="auto"/>
        </w:rPr>
      </w:pPr>
      <w:r>
        <w:rPr>
          <w:rFonts w:ascii="Arial" w:cs="Arial" w:eastAsia="Arial" w:hAnsi="Arial"/>
          <w:sz w:val="18"/>
          <w:szCs w:val="18"/>
          <w:color w:val="auto"/>
        </w:rPr>
        <w:t>This requirement may be satisfied by the subprocessor co-signing the contract entered into between the data exporter and the data importer under this Decision.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53258.A.001</w:t>
      </w:r>
    </w:p>
    <w:p>
      <w:pPr>
        <w:spacing w:after="0" w:line="158" w:lineRule="exact"/>
        <w:rPr>
          <w:sz w:val="20"/>
          <w:szCs w:val="20"/>
          <w:color w:val="auto"/>
        </w:rPr>
      </w:pPr>
    </w:p>
    <w:p>
      <w:pPr>
        <w:ind w:left="440" w:right="260" w:hanging="436"/>
        <w:spacing w:after="0" w:line="277" w:lineRule="auto"/>
        <w:tabs>
          <w:tab w:leader="none" w:pos="4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data importer and the subprocessor warrant that upon request of the data exporter and/or of the supervisory authority, it will submit its data processing facilities for an audit of the measures referred to in paragraph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data exporter: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Name (written out in full):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necessary in order for the contract to be binding (if any):</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5142865</wp:posOffset>
            </wp:positionH>
            <wp:positionV relativeFrom="paragraph">
              <wp:posOffset>-10160</wp:posOffset>
            </wp:positionV>
            <wp:extent cx="18573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(stamp of organisation)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data importer: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Name (written out in full):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necessary in order for the contract to be binding (if any):</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5142865</wp:posOffset>
            </wp:positionH>
            <wp:positionV relativeFrom="paragraph">
              <wp:posOffset>-10160</wp:posOffset>
            </wp:positionV>
            <wp:extent cx="18573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(stamp of organisation)</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left="460" w:right="440"/>
        <w:spacing w:after="0" w:line="261" w:lineRule="auto"/>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 representatives, and Amdocs, Inc. except under written agreement by the contracting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1 TO THE STANDARD CONTRACTUAL CLAUSES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This Appendix forms part of the Clauses and must be completed and signed by the parties The Member States may complete or specify, according to their national procedures, any additional necessary information to be contained in this Appendix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exporter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data exporter is (please specify briefly your activities relevant to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997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563880</wp:posOffset>
            </wp:positionV>
            <wp:extent cx="43148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4314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importer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data importer is (please specify briefly activities relevant to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997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563880</wp:posOffset>
            </wp:positionV>
            <wp:extent cx="43148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4314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subjects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 subjects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563880</wp:posOffset>
            </wp:positionV>
            <wp:extent cx="43148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4314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Categories of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997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563880</wp:posOffset>
            </wp:positionV>
            <wp:extent cx="43148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4314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categories of data (if appropriate)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special categories of data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997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563880</wp:posOffset>
            </wp:positionV>
            <wp:extent cx="43148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4314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will be subject to the following basic processing activities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997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563880</wp:posOffset>
            </wp:positionV>
            <wp:extent cx="43148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4314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DATA EXPORTER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16287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-19050</wp:posOffset>
            </wp:positionV>
            <wp:extent cx="11430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DATA IMPORTER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162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1005840</wp:posOffset>
            </wp:positionH>
            <wp:positionV relativeFrom="paragraph">
              <wp:posOffset>-19050</wp:posOffset>
            </wp:positionV>
            <wp:extent cx="11430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ectPr>
          <w:pgSz w:w="11900" w:h="16838" w:orient="portrait"/>
          <w:cols w:equalWidth="0" w:num="1">
            <w:col w:w="11020"/>
          </w:cols>
          <w:pgMar w:left="440" w:top="274" w:right="439" w:bottom="784"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20"/>
          </w:cols>
          <w:pgMar w:left="440" w:top="274" w:right="439" w:bottom="784" w:gutter="0" w:footer="0" w:header="0"/>
          <w:type w:val="continuous"/>
        </w:sectPr>
      </w:pPr>
    </w:p>
    <w:bookmarkStart w:id="145" w:name="page146"/>
    <w:bookmarkEnd w:id="1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53258.A.001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2 TO THE STANDARD CONTRACTUAL CLAUSES</w:t>
      </w:r>
    </w:p>
    <w:p>
      <w:pPr>
        <w:spacing w:after="0" w:line="225" w:lineRule="exact"/>
        <w:rPr>
          <w:sz w:val="20"/>
          <w:szCs w:val="20"/>
          <w:color w:val="auto"/>
        </w:rPr>
      </w:pPr>
    </w:p>
    <w:p>
      <w:pPr>
        <w:ind w:right="480" w:firstLine="441"/>
        <w:spacing w:after="0" w:line="347" w:lineRule="auto"/>
        <w:rPr>
          <w:sz w:val="20"/>
          <w:szCs w:val="20"/>
          <w:color w:val="auto"/>
        </w:rPr>
      </w:pPr>
      <w:r>
        <w:rPr>
          <w:rFonts w:ascii="Arial" w:cs="Arial" w:eastAsia="Arial" w:hAnsi="Arial"/>
          <w:sz w:val="16"/>
          <w:szCs w:val="16"/>
          <w:color w:val="auto"/>
        </w:rPr>
        <w:t xml:space="preserve">This Appendix forms part of the Clauses and must be completed and signed by the parties </w:t>
      </w:r>
      <w:r>
        <w:rPr>
          <w:rFonts w:ascii="Arial" w:cs="Arial" w:eastAsia="Arial" w:hAnsi="Arial"/>
          <w:sz w:val="16"/>
          <w:szCs w:val="16"/>
          <w:b w:val="1"/>
          <w:bCs w:val="1"/>
          <w:color w:val="auto"/>
        </w:rPr>
        <w:t>Description of the technical and organisational</w:t>
      </w:r>
      <w:r>
        <w:rPr>
          <w:rFonts w:ascii="Arial" w:cs="Arial" w:eastAsia="Arial" w:hAnsi="Arial"/>
          <w:sz w:val="16"/>
          <w:szCs w:val="16"/>
          <w:color w:val="auto"/>
        </w:rPr>
        <w:t xml:space="preserve"> </w:t>
      </w:r>
      <w:r>
        <w:rPr>
          <w:rFonts w:ascii="Arial" w:cs="Arial" w:eastAsia="Arial" w:hAnsi="Arial"/>
          <w:sz w:val="16"/>
          <w:szCs w:val="16"/>
          <w:b w:val="1"/>
          <w:bCs w:val="1"/>
          <w:color w:val="auto"/>
        </w:rPr>
        <w:t>security measures implemented by the data importer in accordance with Clauses 4(d) and 5(c) (or document/legislation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6997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308610</wp:posOffset>
            </wp:positionV>
            <wp:extent cx="6997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497205</wp:posOffset>
            </wp:positionV>
            <wp:extent cx="6997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694055</wp:posOffset>
            </wp:positionV>
            <wp:extent cx="43148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4314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ILLUSTRATIVE INDEMNIFICATION CLAUSE (OPTIONAL)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Liability</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parties agree that if one party is held liable for a violation of the clauses committed by the other party, the latter will, to the extent to which it is liable, indemnify the first party for any cost, charge, damages, expenses or loss it has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is contingent upon:</w:t>
      </w:r>
    </w:p>
    <w:p>
      <w:pPr>
        <w:spacing w:after="0" w:line="131" w:lineRule="exact"/>
        <w:rPr>
          <w:sz w:val="20"/>
          <w:szCs w:val="20"/>
          <w:color w:val="auto"/>
        </w:rPr>
      </w:pPr>
    </w:p>
    <w:p>
      <w:pPr>
        <w:ind w:left="440" w:hanging="436"/>
        <w:spacing w:after="0"/>
        <w:tabs>
          <w:tab w:leader="none" w:pos="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data exporter promptly notifying the data importer of a claim;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data importer being given the possibility to cooperate with the data exporter in the defence and settlement of the claim</w:t>
      </w:r>
      <w:r>
        <w:rPr>
          <w:rFonts w:ascii="Arial" w:cs="Arial" w:eastAsia="Arial" w:hAnsi="Arial"/>
          <w:sz w:val="15"/>
          <w:szCs w:val="15"/>
          <w:color w:val="auto"/>
        </w:rPr>
        <w:t>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632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86" w:lineRule="exact"/>
        <w:rPr>
          <w:sz w:val="20"/>
          <w:szCs w:val="20"/>
          <w:color w:val="auto"/>
        </w:rPr>
      </w:pPr>
    </w:p>
    <w:p>
      <w:pPr>
        <w:ind w:left="440" w:hanging="436"/>
        <w:spacing w:after="0"/>
        <w:tabs>
          <w:tab w:leader="none" w:pos="440" w:val="left"/>
        </w:tabs>
        <w:numPr>
          <w:ilvl w:val="0"/>
          <w:numId w:val="122"/>
        </w:numPr>
        <w:rPr>
          <w:rFonts w:ascii="Arial" w:cs="Arial" w:eastAsia="Arial" w:hAnsi="Arial"/>
          <w:sz w:val="15"/>
          <w:szCs w:val="15"/>
          <w:color w:val="auto"/>
        </w:rPr>
      </w:pPr>
      <w:r>
        <w:rPr>
          <w:rFonts w:ascii="Arial" w:cs="Arial" w:eastAsia="Arial" w:hAnsi="Arial"/>
          <w:sz w:val="18"/>
          <w:szCs w:val="18"/>
          <w:color w:val="auto"/>
        </w:rPr>
        <w:t>Paragraph on liabilities is optional.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Amendment and information contained therein is not for use or disclosure outside of AT&amp;T Services, Inc., its Affiliates, and third-party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representatives, and Amdocs, Inc. except under 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4.a.4</w:t>
      </w:r>
    </w:p>
    <w:p>
      <w:pPr>
        <w:spacing w:after="0" w:line="22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Agreement No. 53258.A.002</w:t>
      </w:r>
    </w:p>
    <w:p>
      <w:pPr>
        <w:spacing w:after="0" w:line="244" w:lineRule="exact"/>
        <w:rPr>
          <w:sz w:val="20"/>
          <w:szCs w:val="20"/>
          <w:color w:val="auto"/>
        </w:rPr>
      </w:pPr>
    </w:p>
    <w:p>
      <w:pPr>
        <w:jc w:val="center"/>
        <w:ind w:right="80"/>
        <w:spacing w:after="0" w:line="266" w:lineRule="auto"/>
        <w:rPr>
          <w:sz w:val="20"/>
          <w:szCs w:val="20"/>
          <w:color w:val="auto"/>
        </w:rPr>
      </w:pPr>
      <w:r>
        <w:rPr>
          <w:rFonts w:ascii="Arial" w:cs="Arial" w:eastAsia="Arial" w:hAnsi="Arial"/>
          <w:sz w:val="18"/>
          <w:szCs w:val="18"/>
          <w:b w:val="1"/>
          <w:bCs w:val="1"/>
          <w:color w:val="auto"/>
        </w:rPr>
        <w:t>THE SYMBOL “[*]” INDICATES MATERIAL WHERE CERTAIN IDENTIFIED INFORMATION HAS BEEN EXCLUDED FROM THE EXHIBIT BECAUSE IT IS BOTH (i) NOT MATERIAL AND (ii) WOULD LIKELY CAUSE COMPETITIVE HARM TO THE COMPANY IF PUBLICLY DISCLOSED.</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Amendment 2</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Agreement No. 53258.C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Amdocs Development Limited</w:t>
      </w:r>
    </w:p>
    <w:p>
      <w:pPr>
        <w:spacing w:after="0" w:line="15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right="8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540" w:top="121" w:right="4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NO. 53258.C</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This Amendment No. 2, effective as of the last date signed by a Party (“Effective Date”) and amending Agreement No. 53258.C, is by and between Amdocs Development Limited, a Cyprus corporation (hereinafter referred to as “Supplier” or “Amdocs”), and AT&amp;T Services, Inc., a Delaware corporation (hereinafter referred to as “AT&amp;T”), each of which may be referred to in the singular as a “Party” or in the plural as the “Parties.”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are parties to the Master Services Agreement No.53258.C entered into on/with the effective date of on February 28,</w:t>
      </w:r>
      <w:r>
        <w:rPr>
          <w:rFonts w:ascii="Arial" w:cs="Arial" w:eastAsia="Arial" w:hAnsi="Arial"/>
          <w:sz w:val="18"/>
          <w:szCs w:val="18"/>
          <w:b w:val="1"/>
          <w:bCs w:val="1"/>
          <w:color w:val="auto"/>
        </w:rPr>
        <w:t xml:space="preserve"> </w:t>
      </w:r>
      <w:r>
        <w:rPr>
          <w:rFonts w:ascii="Arial" w:cs="Arial" w:eastAsia="Arial" w:hAnsi="Arial"/>
          <w:sz w:val="18"/>
          <w:szCs w:val="18"/>
          <w:color w:val="auto"/>
        </w:rPr>
        <w:t>2017 (as previously amended, the “Agreement”);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now desire to amend the Agreement as hereinafter set forth.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31" w:lineRule="exact"/>
        <w:rPr>
          <w:sz w:val="20"/>
          <w:szCs w:val="20"/>
          <w:color w:val="auto"/>
        </w:rPr>
      </w:pPr>
    </w:p>
    <w:p>
      <w:pPr>
        <w:ind w:left="440" w:right="620" w:hanging="436"/>
        <w:spacing w:after="0" w:line="282" w:lineRule="auto"/>
        <w:tabs>
          <w:tab w:leader="none" w:pos="4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As of the Effective Date of this Amendment No. 2, Section 3.10 “Technology Standards” is hereby amended to add the following as subsection g:</w:t>
      </w:r>
    </w:p>
    <w:p>
      <w:pPr>
        <w:spacing w:after="0" w:line="71" w:lineRule="exact"/>
        <w:rPr>
          <w:rFonts w:ascii="Arial" w:cs="Arial" w:eastAsia="Arial" w:hAnsi="Arial"/>
          <w:sz w:val="18"/>
          <w:szCs w:val="18"/>
          <w:b w:val="1"/>
          <w:bCs w:val="1"/>
          <w:color w:val="auto"/>
        </w:rPr>
      </w:pPr>
    </w:p>
    <w:p>
      <w:pPr>
        <w:ind w:left="1420" w:hanging="430"/>
        <w:spacing w:after="0"/>
        <w:tabs>
          <w:tab w:leader="none" w:pos="14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FOSS Terms</w:t>
      </w:r>
    </w:p>
    <w:p>
      <w:pPr>
        <w:spacing w:after="0" w:line="131" w:lineRule="exact"/>
        <w:rPr>
          <w:sz w:val="20"/>
          <w:szCs w:val="20"/>
          <w:color w:val="auto"/>
        </w:rPr>
      </w:pPr>
    </w:p>
    <w:p>
      <w:pPr>
        <w:ind w:left="1420" w:right="40" w:hanging="430"/>
        <w:spacing w:after="0" w:line="288" w:lineRule="auto"/>
        <w:tabs>
          <w:tab w:leader="none" w:pos="14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purposes of this Section, “FOSS” means any and all freeware Open Source Software or shareware used or included in, or combined by or on behalf of Supplier with, the deliverables or otherwise provided by or on behalf of Supplier under this Agreement; and a “FOSS Disclosure” means a complete, current, and accurate listing of all FOSS, which identifies for each FOSS component:</w:t>
      </w:r>
    </w:p>
    <w:p>
      <w:pPr>
        <w:ind w:left="1420" w:right="20"/>
        <w:spacing w:after="0" w:line="253" w:lineRule="auto"/>
        <w:rPr>
          <w:rFonts w:ascii="Arial" w:cs="Arial" w:eastAsia="Arial" w:hAnsi="Arial"/>
          <w:sz w:val="16"/>
          <w:szCs w:val="16"/>
          <w:color w:val="auto"/>
        </w:rPr>
      </w:pPr>
      <w:r>
        <w:rPr>
          <w:rFonts w:ascii="Arial" w:cs="Arial" w:eastAsia="Arial" w:hAnsi="Arial"/>
          <w:sz w:val="18"/>
          <w:szCs w:val="18"/>
          <w:color w:val="auto"/>
        </w:rPr>
        <w:t>(i) the component name; (ii) its version or release number; (iii) its web site URL of origin; (iv) the applicable software license and its version number; (v) the URL where Supplier identifies or sets forth the applicable software license and (vi) a brief (e.g., one-line) description of the purpose of the component; (vii) how the component is linked within the Deliverables or as otherwise provided. A FOSS Disclosure may be provided in the form of a web site made accessible to AT&amp;T where Supplier posts the foregoing information.</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8" w:lineRule="exact"/>
        <w:rPr>
          <w:sz w:val="20"/>
          <w:szCs w:val="20"/>
          <w:color w:val="auto"/>
        </w:rPr>
      </w:pPr>
    </w:p>
    <w:p>
      <w:pPr>
        <w:ind w:left="1420" w:right="20" w:hanging="430"/>
        <w:spacing w:after="0" w:line="255" w:lineRule="auto"/>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Upon AT&amp;T’s request, but not more than once a year, Supplier shall promptly, but in any event within sixty (60) days of such request, furnish to AT&amp;T a FOSS Disclosure that is complete, current and accurate when furnished. For the avoidance of doubt, such FOSS Disclosure will govern deliverables provided under an Order issued after the Effective Date of this Amendment. Neither response nor non-response by AT&amp;T concerning the receipt or non-receipt of any FOSS Disclosure or any reference to FOSS in the Agreement shall be deemed as acceptance, approval or acquiescence by AT&amp;T that Supplier’s use of the FOSS complies with the legal requirements of applicable FOSS license(s), or is suitable for the intent and purposes furnished hereunder. After receiving any FOSS Disclosure, [*].</w:t>
      </w:r>
    </w:p>
    <w:p>
      <w:pPr>
        <w:spacing w:after="0" w:line="94" w:lineRule="exact"/>
        <w:rPr>
          <w:rFonts w:ascii="Arial" w:cs="Arial" w:eastAsia="Arial" w:hAnsi="Arial"/>
          <w:sz w:val="18"/>
          <w:szCs w:val="18"/>
          <w:color w:val="auto"/>
        </w:rPr>
      </w:pPr>
    </w:p>
    <w:p>
      <w:pPr>
        <w:ind w:left="1420" w:right="140" w:hanging="430"/>
        <w:spacing w:after="0" w:line="264" w:lineRule="auto"/>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the term “Viral Open Source Software” is defined elsewhere in this Agreement, then in the event of any conflict between the provisions of this Section and any representations or warranties concerning Viral Open Source Software that may appear elsewhere in this Agreement, this Section shall take precedence.</w:t>
      </w:r>
    </w:p>
    <w:p>
      <w:pPr>
        <w:spacing w:after="0" w:line="82" w:lineRule="exact"/>
        <w:rPr>
          <w:rFonts w:ascii="Arial" w:cs="Arial" w:eastAsia="Arial" w:hAnsi="Arial"/>
          <w:sz w:val="18"/>
          <w:szCs w:val="18"/>
          <w:color w:val="auto"/>
        </w:rPr>
      </w:pPr>
    </w:p>
    <w:p>
      <w:pPr>
        <w:ind w:left="440" w:right="720" w:hanging="436"/>
        <w:spacing w:after="0" w:line="282" w:lineRule="auto"/>
        <w:tabs>
          <w:tab w:leader="none" w:pos="4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As of the Effective Date of this Amendment No. 2, Section 3.43.c “Additional Supplier Warranties” is hereby amended to add the following as subsection vii:</w:t>
      </w:r>
    </w:p>
    <w:p>
      <w:pPr>
        <w:spacing w:after="0" w:line="71" w:lineRule="exact"/>
        <w:rPr>
          <w:sz w:val="20"/>
          <w:szCs w:val="20"/>
          <w:color w:val="auto"/>
        </w:rPr>
      </w:pPr>
    </w:p>
    <w:p>
      <w:pPr>
        <w:ind w:left="1420" w:right="20" w:hanging="430"/>
        <w:spacing w:after="0" w:line="270" w:lineRule="auto"/>
        <w:tabs>
          <w:tab w:leader="none" w:pos="14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Supplier has (i) satisfied all its obligations to any third parties with respect to all FOSS and the applicable FOSS licenses (including, for example, any obligation to make publicly available the FOSS source code for modifications to such FOSS); (ii) that use of the FOSS in such form for such intent and purposes in no manner creates any added obligation on the part of AT&amp;T (including, for example, the payment of any additional monies), or diminishes, conditions or eliminates any of the rights, title, or interest that Supplier grants AT&amp;T in or to any Deliverables or that Supplier may otherwise provide AT&amp;T under this Agreement; and (iii) that use of the FOSS in such form for such intent and purposes, including, but not limited to, AT&amp;T’s use or combination of the FOSS, in the form provided to AT&amp;T, with any proprietary software of AT&amp;T or AT&amp;T’s third-party suppliers, does not subject AT&amp;T to any obligation of disclosure or distribution to any third party or to the public of any such proprietary software, or otherwise make such proprietary software subject to the terms of any FOSS license or impair AT&amp;T’s or its third-party suppliers’ rights, title, or interest in or to such proprietary software.</w:t>
      </w:r>
    </w:p>
    <w:p>
      <w:pPr>
        <w:spacing w:after="0" w:line="79" w:lineRule="exact"/>
        <w:rPr>
          <w:rFonts w:ascii="Arial" w:cs="Arial" w:eastAsia="Arial" w:hAnsi="Arial"/>
          <w:sz w:val="17"/>
          <w:szCs w:val="17"/>
          <w:color w:val="auto"/>
        </w:rPr>
      </w:pPr>
    </w:p>
    <w:p>
      <w:pPr>
        <w:ind w:left="440" w:hanging="436"/>
        <w:spacing w:after="0"/>
        <w:tabs>
          <w:tab w:leader="none" w:pos="44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As of the Effective Date of this Amendment No. 2, Section 3.15 “Indemnity” is hereby amended to add the following as subsection h:</w:t>
      </w:r>
    </w:p>
    <w:p>
      <w:pPr>
        <w:spacing w:after="0" w:line="158" w:lineRule="exact"/>
        <w:rPr>
          <w:sz w:val="20"/>
          <w:szCs w:val="20"/>
          <w:color w:val="auto"/>
        </w:rPr>
      </w:pPr>
    </w:p>
    <w:p>
      <w:pPr>
        <w:ind w:left="1420" w:right="100" w:hanging="430"/>
        <w:spacing w:after="0" w:line="264"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event that AT&amp;T notifies Supplier or Supplier becomes aware of Supplier’s noncompliance with any FOSS license term, then in either case, Supplier shall use all reasonable efforts promptly to cure such noncompliance so as to eliminate risks of public disclosure of proprietary software and prevent</w:t>
      </w:r>
    </w:p>
    <w:p>
      <w:pPr>
        <w:spacing w:after="0" w:line="11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49" w:name="page150"/>
    <w:bookmarkEnd w:id="149"/>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81" w:lineRule="exact"/>
        <w:rPr>
          <w:sz w:val="20"/>
          <w:szCs w:val="20"/>
          <w:color w:val="auto"/>
        </w:rPr>
      </w:pPr>
    </w:p>
    <w:p>
      <w:pPr>
        <w:ind w:left="1440" w:right="20"/>
        <w:spacing w:after="0" w:line="255" w:lineRule="auto"/>
        <w:rPr>
          <w:sz w:val="20"/>
          <w:szCs w:val="20"/>
          <w:color w:val="auto"/>
        </w:rPr>
      </w:pPr>
      <w:r>
        <w:rPr>
          <w:rFonts w:ascii="Arial" w:cs="Arial" w:eastAsia="Arial" w:hAnsi="Arial"/>
          <w:sz w:val="18"/>
          <w:szCs w:val="18"/>
          <w:color w:val="auto"/>
        </w:rPr>
        <w:t>disruption of any AT&amp;T business activity. Supplier shall promptly notify AT&amp;T of all actions taken by Supplier to cure such noncompliance. Should AT&amp;T receive notice from any third party alleging acts or omissions which, notwithstanding AT&amp;T’s use of the FOSS for the intent and purposes furnished hereunder, constitute noncompliance with any FOSS license term, then promptly upon AT&amp;T’s notice to Supplier of such allegation, Supplier shall indemnify, defend and hold harmless AT&amp;T against such allegation in accordance with Supplier’s obligations to do so as set forth elsewhere in this Agreement, in a manner that preserves any proprietary software of AT&amp;T or its third-party suppliers from any public disclosure obligation or any other FOSS license noncompliance allegations.</w:t>
      </w:r>
    </w:p>
    <w:p>
      <w:pPr>
        <w:spacing w:after="0" w:line="91" w:lineRule="exact"/>
        <w:rPr>
          <w:sz w:val="20"/>
          <w:szCs w:val="20"/>
          <w:color w:val="auto"/>
        </w:rPr>
      </w:pPr>
    </w:p>
    <w:p>
      <w:pPr>
        <w:ind w:left="440" w:hanging="436"/>
        <w:spacing w:after="0"/>
        <w:tabs>
          <w:tab w:leader="none" w:pos="44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Section 3.21 Limitation of Damages is hereby amended by adding the words “or Access” at the end of subparagraphs a.(ii) and b.(ii).</w:t>
      </w:r>
    </w:p>
    <w:p>
      <w:pPr>
        <w:spacing w:after="0" w:line="153" w:lineRule="exact"/>
        <w:rPr>
          <w:rFonts w:ascii="Arial" w:cs="Arial" w:eastAsia="Arial" w:hAnsi="Arial"/>
          <w:sz w:val="16"/>
          <w:szCs w:val="16"/>
          <w:b w:val="1"/>
          <w:bCs w:val="1"/>
          <w:color w:val="auto"/>
        </w:rPr>
      </w:pPr>
    </w:p>
    <w:p>
      <w:pPr>
        <w:ind w:left="440" w:right="260" w:hanging="436"/>
        <w:spacing w:after="0" w:line="282" w:lineRule="auto"/>
        <w:tabs>
          <w:tab w:leader="none" w:pos="4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Section 4.1 Access is hereby deleted and replaced in its entirety with Section 4.1 Access to AT&amp;T Premises and Non-Public Information Systems as follows:</w:t>
      </w:r>
    </w:p>
    <w:p>
      <w:pPr>
        <w:spacing w:after="0" w:line="5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 Access to AT&amp;T Premises and Non-Public Information Systems</w:t>
      </w:r>
    </w:p>
    <w:p>
      <w:pPr>
        <w:spacing w:after="0" w:line="134" w:lineRule="exact"/>
        <w:rPr>
          <w:rFonts w:ascii="Arial" w:cs="Arial" w:eastAsia="Arial" w:hAnsi="Arial"/>
          <w:sz w:val="18"/>
          <w:szCs w:val="18"/>
          <w:b w:val="1"/>
          <w:bCs w:val="1"/>
          <w:color w:val="auto"/>
        </w:rPr>
      </w:pPr>
    </w:p>
    <w:p>
      <w:pPr>
        <w:ind w:left="1980" w:right="60" w:hanging="545"/>
        <w:spacing w:after="0" w:line="302" w:lineRule="auto"/>
        <w:tabs>
          <w:tab w:leader="none" w:pos="19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When appropriate, Supplier Representatives shall have reasonable access to AT&amp;T’s premises during normal business hours, and at such other times as may be agreed upon by the Parties, to enable Supplier to perform its obligations under this Agreement. Supplier shall coordinate such access with AT&amp;T. Where required by governmental regulations, Supplier shall submit satisfactory clearance from the U.S. Department of Defense and/or other federal, state or local authorities.</w:t>
      </w:r>
    </w:p>
    <w:p>
      <w:pPr>
        <w:spacing w:after="0" w:line="59" w:lineRule="exact"/>
        <w:rPr>
          <w:rFonts w:ascii="Arial" w:cs="Arial" w:eastAsia="Arial" w:hAnsi="Arial"/>
          <w:sz w:val="16"/>
          <w:szCs w:val="16"/>
          <w:color w:val="auto"/>
        </w:rPr>
      </w:pPr>
    </w:p>
    <w:p>
      <w:pPr>
        <w:ind w:left="1980" w:hanging="545"/>
        <w:spacing w:after="0" w:line="312" w:lineRule="auto"/>
        <w:tabs>
          <w:tab w:leader="none" w:pos="19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Supplier shall ensure that Supplier Representatives, while on or off AT&amp;T’s premises, (i) protect AT&amp;T’s materials, buildings and structures, (ii) perform Services which do not unreasonably interfere with AT&amp;T’s business operations, and (iii) perform such Services with care and due regard for the safety, convenience and protection of AT&amp;T, its employees, and property.</w:t>
      </w:r>
    </w:p>
    <w:p>
      <w:pPr>
        <w:spacing w:after="0" w:line="52" w:lineRule="exact"/>
        <w:rPr>
          <w:rFonts w:ascii="Arial" w:cs="Arial" w:eastAsia="Arial" w:hAnsi="Arial"/>
          <w:sz w:val="16"/>
          <w:szCs w:val="16"/>
          <w:color w:val="auto"/>
        </w:rPr>
      </w:pPr>
    </w:p>
    <w:p>
      <w:pPr>
        <w:ind w:left="1980" w:right="120" w:hanging="545"/>
        <w:spacing w:after="0" w:line="297" w:lineRule="auto"/>
        <w:tabs>
          <w:tab w:leader="none" w:pos="19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AT&amp;T may require Supplier Representatives to exhibit AT&amp;T-issued identification credentials, to gain unescorted access to AT&amp;T’s premises for the performance of Services. In addition, if any Supplier Representatives requires access to AT&amp;T’s Nonpublic Information Resources (as defined in the AT&amp;T Supplier Information Security Requirements) Supplier must obtain from AT&amp;T an ATT UID for each such Supplier Representative. ATT UIDs are provisioned upon successful opening of a worker record within the vendor management system (VMS). Supplier Representatives</w:t>
      </w:r>
    </w:p>
    <w:p>
      <w:pPr>
        <w:spacing w:after="0" w:line="8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50" w:name="page151"/>
    <w:bookmarkEnd w:id="150"/>
    <w:p>
      <w:pPr>
        <w:ind w:left="8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81" w:lineRule="exact"/>
        <w:rPr>
          <w:sz w:val="20"/>
          <w:szCs w:val="20"/>
          <w:color w:val="auto"/>
        </w:rPr>
      </w:pPr>
    </w:p>
    <w:p>
      <w:pPr>
        <w:ind w:left="1760" w:right="40"/>
        <w:spacing w:after="0" w:line="276" w:lineRule="auto"/>
        <w:rPr>
          <w:sz w:val="20"/>
          <w:szCs w:val="20"/>
          <w:color w:val="auto"/>
        </w:rPr>
      </w:pPr>
      <w:r>
        <w:rPr>
          <w:rFonts w:ascii="Arial" w:cs="Arial" w:eastAsia="Arial" w:hAnsi="Arial"/>
          <w:sz w:val="17"/>
          <w:szCs w:val="17"/>
          <w:color w:val="auto"/>
        </w:rPr>
        <w:t>shall also exhibit their company’s photo identification, if any. If, for any reason, any Supplier Representative is no longer performing Services or no longer has a need to have access to AT&amp;T’s Nonpublic Information Resources, then Supplier shall immediately close the Supplier Representatives record in the VMS and promptly return any AT&amp;T-issued identification credentials. In cases where a Supplier Representatives is being removed due to misconduct involving work at AT&amp;T, Supplier will immediately inform the AT&amp;T sponsoring manager of the nature of the misconduct.</w:t>
      </w:r>
    </w:p>
    <w:p>
      <w:pPr>
        <w:spacing w:after="0" w:line="78" w:lineRule="exact"/>
        <w:rPr>
          <w:sz w:val="20"/>
          <w:szCs w:val="20"/>
          <w:color w:val="auto"/>
        </w:rPr>
      </w:pPr>
    </w:p>
    <w:p>
      <w:pPr>
        <w:ind w:left="1760" w:hanging="545"/>
        <w:spacing w:after="0" w:line="271" w:lineRule="auto"/>
        <w:tabs>
          <w:tab w:leader="none" w:pos="17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AT&amp;T currently uses a third-party VMS vendor and reserves the right to change the VMS vendor at any time and from time to time. Supplier shall enter into an agreement with AT&amp;T’s designated VMS vendor, at no cost to AT&amp;T, and supply any information about its Supplier Representatives reasonably required by the VMS vendor to create a worker record and enable provisioning of identification credentials and ATT UIDs. If Supplier fails to enter into an agreement with AT&amp;T’s VMS vendor to use the VMS, Supplier’s Supplier Representatives will not be allowed access to AT&amp;T’s premises (other than on an escorted basis) or to AT&amp;T’s Nonpublic Information Resources. AT&amp;T reserves the right to restrict Supplier or Supplier Representatives’ access to AT&amp;T’s facilities and/or Nonpublic Information Resources, without liability to AT&amp;T, until AT&amp;T is satisfied that Supplier is compliant with its obligations under this Section.</w:t>
      </w:r>
    </w:p>
    <w:p>
      <w:pPr>
        <w:spacing w:after="0" w:line="84" w:lineRule="exact"/>
        <w:rPr>
          <w:rFonts w:ascii="Arial" w:cs="Arial" w:eastAsia="Arial" w:hAnsi="Arial"/>
          <w:sz w:val="17"/>
          <w:szCs w:val="17"/>
          <w:color w:val="auto"/>
        </w:rPr>
      </w:pPr>
    </w:p>
    <w:p>
      <w:pPr>
        <w:ind w:left="1760" w:right="40" w:hanging="545"/>
        <w:spacing w:after="0" w:line="290" w:lineRule="auto"/>
        <w:tabs>
          <w:tab w:leader="none" w:pos="17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Supplier shall ensure that information provided to AT&amp;T or the VMS vendor for its Supplier Representatives is 1) input accurately into the VMS (including the SSN/Security ID for the Supplier Representatives, the Agreement number in the “Contract or PO #” field as it may be changed, the start and end dates (end date must not be after the expiration date of the Agreement), and the worker classification obtained from the AT&amp;T sponsoring manager), 2) maintained properly throughout the term of the engagement, and 3) closed on a timely basis upon the termination or expiration of the engagement or the need for the Supplier Representatives to have access to AT&amp;T’s premises or Nonpublic Information Resources. Supplier shall not enable or allow any Supplier Representatives to let anyone else use the AT&amp;T identification credentials or an ATT UID issued to that Supplier Representatives to gain access to AT&amp;T premises or Nonpublic Information Resources.</w:t>
      </w:r>
    </w:p>
    <w:p>
      <w:pPr>
        <w:spacing w:after="0" w:line="9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660" w:top="274" w:right="439" w:bottom="1440" w:gutter="0" w:footer="0" w:header="0"/>
        </w:sectPr>
      </w:pPr>
    </w:p>
    <w:bookmarkStart w:id="151" w:name="page152"/>
    <w:bookmarkEnd w:id="151"/>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77" w:lineRule="exact"/>
        <w:rPr>
          <w:sz w:val="20"/>
          <w:szCs w:val="20"/>
          <w:color w:val="auto"/>
        </w:rPr>
      </w:pPr>
    </w:p>
    <w:p>
      <w:pPr>
        <w:ind w:left="440" w:right="380" w:hanging="436"/>
        <w:spacing w:after="0" w:line="282" w:lineRule="auto"/>
        <w:tabs>
          <w:tab w:leader="none" w:pos="4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Appendix B, Exhibit 1 – For Orders requiring signature is hereby deleted in its entirety and the attached Appendix B, Exhibit 1 – For Orders requiring signature is inserted in lieu thereof.</w:t>
      </w:r>
    </w:p>
    <w:p>
      <w:pPr>
        <w:spacing w:after="0" w:line="67" w:lineRule="exact"/>
        <w:rPr>
          <w:rFonts w:ascii="Arial" w:cs="Arial" w:eastAsia="Arial" w:hAnsi="Arial"/>
          <w:sz w:val="18"/>
          <w:szCs w:val="18"/>
          <w:b w:val="1"/>
          <w:bCs w:val="1"/>
          <w:color w:val="auto"/>
        </w:rPr>
      </w:pPr>
    </w:p>
    <w:p>
      <w:pPr>
        <w:ind w:left="440" w:right="80" w:hanging="436"/>
        <w:spacing w:after="0" w:line="282" w:lineRule="auto"/>
        <w:tabs>
          <w:tab w:leader="none" w:pos="4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Appendix B, Exhibit 2 – For use when issuing a Purchase Order is hereby deleted in its entirety and the attached Appendix B, Exhibit 1 – For use when issuing a Purchase Order is inserted in lieu thereof.</w:t>
      </w:r>
    </w:p>
    <w:p>
      <w:pPr>
        <w:spacing w:after="0" w:line="67" w:lineRule="exact"/>
        <w:rPr>
          <w:rFonts w:ascii="Arial" w:cs="Arial" w:eastAsia="Arial" w:hAnsi="Arial"/>
          <w:sz w:val="18"/>
          <w:szCs w:val="18"/>
          <w:b w:val="1"/>
          <w:bCs w:val="1"/>
          <w:color w:val="auto"/>
        </w:rPr>
      </w:pPr>
    </w:p>
    <w:p>
      <w:pPr>
        <w:ind w:left="440" w:right="340" w:hanging="436"/>
        <w:spacing w:after="0" w:line="282" w:lineRule="auto"/>
        <w:tabs>
          <w:tab w:leader="none" w:pos="4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Appendix C – Offshore Locations is hereby deleted in its entirety and the attached Appendix C – Offshore Locations is inserted in lieu thereof.</w:t>
      </w:r>
    </w:p>
    <w:p>
      <w:pPr>
        <w:spacing w:after="0" w:line="67" w:lineRule="exact"/>
        <w:rPr>
          <w:rFonts w:ascii="Arial" w:cs="Arial" w:eastAsia="Arial" w:hAnsi="Arial"/>
          <w:sz w:val="18"/>
          <w:szCs w:val="18"/>
          <w:b w:val="1"/>
          <w:bCs w:val="1"/>
          <w:color w:val="auto"/>
        </w:rPr>
      </w:pPr>
    </w:p>
    <w:p>
      <w:pPr>
        <w:ind w:left="440" w:hanging="436"/>
        <w:spacing w:after="0"/>
        <w:tabs>
          <w:tab w:leader="none" w:pos="44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Appendix D – Security and Offshore Requirements: is hereby deleted in its entirety and the attached Appendix D – Security and Offshore</w:t>
      </w:r>
    </w:p>
    <w:p>
      <w:pPr>
        <w:spacing w:after="0" w:line="50"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Requirements: is inserted in lieu thereof.</w:t>
      </w:r>
    </w:p>
    <w:p>
      <w:pPr>
        <w:spacing w:after="0" w:line="112" w:lineRule="exact"/>
        <w:rPr>
          <w:rFonts w:ascii="Arial" w:cs="Arial" w:eastAsia="Arial" w:hAnsi="Arial"/>
          <w:sz w:val="16"/>
          <w:szCs w:val="16"/>
          <w:b w:val="1"/>
          <w:bCs w:val="1"/>
          <w:color w:val="auto"/>
        </w:rPr>
      </w:pPr>
    </w:p>
    <w:p>
      <w:pPr>
        <w:ind w:left="440" w:hanging="436"/>
        <w:spacing w:after="0"/>
        <w:tabs>
          <w:tab w:leader="none" w:pos="4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The terms and conditions of the Agreement in all other respects remain unmodified and in full force and effect.</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Amendment may be executed in multiple counterparts, each of which shall be deemed to constitute an original but all of which together shall constitute only one document.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Amendment to Agreement No. 53258.C to be executed, as of the date the last Party signs.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Amdocs Development Limited</w:t>
            </w:r>
          </w:p>
        </w:tc>
        <w:tc>
          <w:tcPr>
            <w:tcW w:w="120" w:type="dxa"/>
            <w:vAlign w:val="bottom"/>
          </w:tcPr>
          <w:p>
            <w:pPr>
              <w:spacing w:after="0"/>
              <w:rPr>
                <w:sz w:val="20"/>
                <w:szCs w:val="20"/>
                <w:color w:val="auto"/>
              </w:rPr>
            </w:pPr>
          </w:p>
        </w:tc>
        <w:tc>
          <w:tcPr>
            <w:tcW w:w="5860" w:type="dxa"/>
            <w:vAlign w:val="bottom"/>
            <w:gridSpan w:val="3"/>
          </w:tcPr>
          <w:p>
            <w:pPr>
              <w:ind w:left="40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rPr>
              <w:t>By:</w:t>
            </w:r>
          </w:p>
        </w:tc>
        <w:tc>
          <w:tcPr>
            <w:tcW w:w="1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r>
        <w:trPr>
          <w:trHeight w:val="439"/>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w w:val="94"/>
              </w:rPr>
              <w:t>Name:</w:t>
            </w: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Donna McCluskey</w:t>
            </w:r>
          </w:p>
        </w:tc>
      </w:tr>
      <w:tr>
        <w:trPr>
          <w:trHeight w:val="439"/>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rPr>
              <w:t>Sr. Sourcing Manager</w:t>
            </w:r>
          </w:p>
        </w:tc>
      </w:tr>
      <w:tr>
        <w:trPr>
          <w:trHeight w:val="439"/>
        </w:trPr>
        <w:tc>
          <w:tcPr>
            <w:tcW w:w="600" w:type="dxa"/>
            <w:vAlign w:val="bottom"/>
            <w:gridSpan w:val="2"/>
          </w:tcPr>
          <w:p>
            <w:pPr>
              <w:spacing w:after="0"/>
              <w:rPr>
                <w:sz w:val="20"/>
                <w:szCs w:val="20"/>
                <w:color w:val="auto"/>
              </w:rPr>
            </w:pPr>
            <w:r>
              <w:rPr>
                <w:rFonts w:ascii="Arial" w:cs="Arial" w:eastAsia="Arial" w:hAnsi="Arial"/>
                <w:sz w:val="18"/>
                <w:szCs w:val="18"/>
                <w:color w:val="auto"/>
              </w:rPr>
              <w:t>Date:</w:t>
            </w:r>
          </w:p>
        </w:tc>
        <w:tc>
          <w:tcPr>
            <w:tcW w:w="4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Pr>
          <w:p>
            <w:pPr>
              <w:ind w:left="600"/>
              <w:spacing w:after="0"/>
              <w:rPr>
                <w:sz w:val="20"/>
                <w:szCs w:val="20"/>
                <w:color w:val="auto"/>
              </w:rPr>
            </w:pPr>
            <w:r>
              <w:rPr>
                <w:rFonts w:ascii="Arial" w:cs="Arial" w:eastAsia="Arial" w:hAnsi="Arial"/>
                <w:sz w:val="18"/>
                <w:szCs w:val="18"/>
                <w:color w:val="auto"/>
              </w:rPr>
              <w:t>Date:</w:t>
            </w:r>
          </w:p>
        </w:tc>
        <w:tc>
          <w:tcPr>
            <w:tcW w:w="1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pacing w:after="0" w:line="14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274" w:right="4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Appendix B, Exhibit 1 – For Orders requiring signature</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Order</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No. 53258.W.&lt;XXX&gt;</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Amdocs Development Limited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right="20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660" w:top="274" w:right="4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Order</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Order is by and between Amdocs Development Limited, a Cyprus corporation (“Supplier” or “Amdocs”), and AT&amp;T Services, Inc., a Delaware corporation (“AT&amp;T”), and shall be governed pursuant to the terms and conditions of Master Services Agreement Number 53258.C (as amended, the “Master Services Agreement”), which by this reference are incorporated as if fully set forth herein. Any terms and conditions in this Order that vary from or are inconsistent with the terms and conditions of the Master Services Agreement shall apply to this Order only, and shall survive the termination or expiration of the Master Services Agreement.</w:t>
      </w:r>
    </w:p>
    <w:p>
      <w:pPr>
        <w:spacing w:after="0" w:line="90" w:lineRule="exact"/>
        <w:rPr>
          <w:sz w:val="20"/>
          <w:szCs w:val="20"/>
          <w:color w:val="auto"/>
        </w:rPr>
      </w:pPr>
    </w:p>
    <w:p>
      <w:pPr>
        <w:ind w:left="440" w:hanging="436"/>
        <w:spacing w:after="0"/>
        <w:tabs>
          <w:tab w:leader="none" w:pos="4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Agreement Number: 53258.W.&lt;XXX&gt; </w:t>
      </w:r>
      <w:r>
        <w:rPr>
          <w:rFonts w:ascii="Arial" w:cs="Arial" w:eastAsia="Arial" w:hAnsi="Arial"/>
          <w:sz w:val="18"/>
          <w:szCs w:val="18"/>
          <w:color w:val="auto"/>
        </w:rPr>
        <w:t>must appear on all invoices</w:t>
      </w:r>
    </w:p>
    <w:p>
      <w:pPr>
        <w:spacing w:after="0" w:line="2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Amdocs Order Number: &lt;Enter No.&gt;</w:t>
      </w:r>
    </w:p>
    <w:p>
      <w:pPr>
        <w:spacing w:after="0" w:line="112" w:lineRule="exact"/>
        <w:rPr>
          <w:rFonts w:ascii="Arial" w:cs="Arial" w:eastAsia="Arial" w:hAnsi="Arial"/>
          <w:sz w:val="18"/>
          <w:szCs w:val="18"/>
          <w:b w:val="1"/>
          <w:bCs w:val="1"/>
          <w:color w:val="auto"/>
        </w:rPr>
      </w:pPr>
    </w:p>
    <w:p>
      <w:pPr>
        <w:ind w:left="440" w:hanging="436"/>
        <w:spacing w:after="0"/>
        <w:tabs>
          <w:tab w:leader="none" w:pos="4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Term of Services</w:t>
      </w:r>
      <w:r>
        <w:rPr>
          <w:rFonts w:ascii="Arial" w:cs="Arial" w:eastAsia="Arial" w:hAnsi="Arial"/>
          <w:sz w:val="18"/>
          <w:szCs w:val="18"/>
          <w:color w:val="auto"/>
        </w:rPr>
        <w:t>: Effective dates are &lt;Month, DD, YYYY&gt;, through &lt;Month, DD, YYYY&gt;.</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Project Name and Description: &lt;</w:t>
      </w:r>
      <w:r>
        <w:rPr>
          <w:rFonts w:ascii="Arial" w:cs="Arial" w:eastAsia="Arial" w:hAnsi="Arial"/>
          <w:sz w:val="18"/>
          <w:szCs w:val="18"/>
          <w:color w:val="auto"/>
        </w:rPr>
        <w:t>Enter Details&gt;</w:t>
      </w:r>
    </w:p>
    <w:p>
      <w:pPr>
        <w:spacing w:after="0" w:line="130" w:lineRule="exact"/>
        <w:rPr>
          <w:rFonts w:ascii="Arial" w:cs="Arial" w:eastAsia="Arial" w:hAnsi="Arial"/>
          <w:sz w:val="18"/>
          <w:szCs w:val="18"/>
          <w:b w:val="1"/>
          <w:bCs w:val="1"/>
          <w:color w:val="auto"/>
        </w:rPr>
      </w:pPr>
    </w:p>
    <w:p>
      <w:pPr>
        <w:ind w:left="440" w:right="3940" w:hanging="436"/>
        <w:spacing w:after="0" w:line="282" w:lineRule="auto"/>
        <w:tabs>
          <w:tab w:leader="none" w:pos="4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Custom Software and Program Material and/or Scope of Other Services Ordered: </w:t>
      </w:r>
      <w:r>
        <w:rPr>
          <w:rFonts w:ascii="Arial" w:cs="Arial" w:eastAsia="Arial" w:hAnsi="Arial"/>
          <w:sz w:val="18"/>
          <w:szCs w:val="18"/>
          <w:color w:val="auto"/>
        </w:rPr>
        <w:t>This Order is to &lt;Enter specific details&gt;</w:t>
      </w:r>
    </w:p>
    <w:p>
      <w:pPr>
        <w:spacing w:after="0" w:line="67" w:lineRule="exact"/>
        <w:rPr>
          <w:rFonts w:ascii="Arial" w:cs="Arial" w:eastAsia="Arial" w:hAnsi="Arial"/>
          <w:sz w:val="18"/>
          <w:szCs w:val="18"/>
          <w:b w:val="1"/>
          <w:bCs w:val="1"/>
          <w:color w:val="auto"/>
        </w:rPr>
      </w:pPr>
    </w:p>
    <w:p>
      <w:pPr>
        <w:ind w:left="440" w:hanging="436"/>
        <w:spacing w:after="0"/>
        <w:tabs>
          <w:tab w:leader="none" w:pos="4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Software: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Items Ordered: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Milestones/Resources:</w:t>
      </w:r>
    </w:p>
    <w:p>
      <w:pPr>
        <w:spacing w:after="0" w:line="13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Milestones:</w:t>
      </w:r>
    </w:p>
    <w:p>
      <w:pPr>
        <w:spacing w:after="0" w:line="121"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Planned milestones as of the Effective Date of this Order are as follows: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44" w:lineRule="exact"/>
        <w:rPr>
          <w:sz w:val="20"/>
          <w:szCs w:val="20"/>
          <w:color w:val="auto"/>
        </w:rPr>
      </w:pPr>
    </w:p>
    <w:p>
      <w:pPr>
        <w:ind w:left="1520"/>
        <w:spacing w:after="0"/>
        <w:tabs>
          <w:tab w:leader="none" w:pos="5380" w:val="left"/>
          <w:tab w:leader="none" w:pos="9160" w:val="left"/>
        </w:tabs>
        <w:rPr>
          <w:sz w:val="20"/>
          <w:szCs w:val="20"/>
          <w:color w:val="auto"/>
        </w:rPr>
      </w:pPr>
      <w:r>
        <w:rPr>
          <w:rFonts w:ascii="Arial" w:cs="Arial" w:eastAsia="Arial" w:hAnsi="Arial"/>
          <w:sz w:val="14"/>
          <w:szCs w:val="14"/>
          <w:b w:val="1"/>
          <w:bCs w:val="1"/>
          <w:color w:val="auto"/>
        </w:rPr>
        <w:t>Milestone No.</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6997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4" w:lineRule="exact"/>
        <w:rPr>
          <w:sz w:val="20"/>
          <w:szCs w:val="20"/>
          <w:color w:val="auto"/>
        </w:rPr>
      </w:pPr>
    </w:p>
    <w:p>
      <w:pPr>
        <w:ind w:left="980" w:hanging="544"/>
        <w:spacing w:after="0"/>
        <w:tabs>
          <w:tab w:leader="none" w:pos="9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Offshore Resources:</w:t>
      </w:r>
    </w:p>
    <w:p>
      <w:pPr>
        <w:spacing w:after="0" w:line="121" w:lineRule="exact"/>
        <w:rPr>
          <w:sz w:val="20"/>
          <w:szCs w:val="20"/>
          <w:color w:val="auto"/>
        </w:rPr>
      </w:pPr>
    </w:p>
    <w:p>
      <w:pPr>
        <w:ind w:left="1000" w:right="140"/>
        <w:spacing w:after="0" w:line="277" w:lineRule="auto"/>
        <w:rPr>
          <w:sz w:val="20"/>
          <w:szCs w:val="20"/>
          <w:color w:val="auto"/>
        </w:rPr>
      </w:pPr>
      <w:r>
        <w:rPr>
          <w:rFonts w:ascii="Arial" w:cs="Arial" w:eastAsia="Arial" w:hAnsi="Arial"/>
          <w:sz w:val="18"/>
          <w:szCs w:val="18"/>
          <w:color w:val="auto"/>
        </w:rPr>
        <w:t>Amdocs Offshore resources working on this Order may be located at AT&amp;T-approved locations found in the Master Services Agreement, and at the following address(es):</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&lt;Address Number Street and Room&gt;</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&lt;City, State/Province Zip&gt;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&lt;Country&gt;</w:t>
      </w:r>
    </w:p>
    <w:p>
      <w:pPr>
        <w:spacing w:after="0" w:line="103" w:lineRule="exact"/>
        <w:rPr>
          <w:sz w:val="20"/>
          <w:szCs w:val="20"/>
          <w:color w:val="auto"/>
        </w:rPr>
      </w:pPr>
    </w:p>
    <w:p>
      <w:pPr>
        <w:ind w:left="1000" w:right="620"/>
        <w:spacing w:after="0" w:line="277" w:lineRule="auto"/>
        <w:rPr>
          <w:sz w:val="20"/>
          <w:szCs w:val="20"/>
          <w:color w:val="auto"/>
        </w:rPr>
      </w:pPr>
      <w:r>
        <w:rPr>
          <w:rFonts w:ascii="Arial" w:cs="Arial" w:eastAsia="Arial" w:hAnsi="Arial"/>
          <w:sz w:val="18"/>
          <w:szCs w:val="18"/>
          <w:color w:val="auto"/>
        </w:rPr>
        <w:t>Amdocs Offshore resources can only access AT&amp;T Systems/data in accordance with the Master Services Agreement, Appendix D, “Security and Offshore Requirements”.</w:t>
      </w:r>
    </w:p>
    <w:p>
      <w:pPr>
        <w:spacing w:after="0" w:line="72" w:lineRule="exact"/>
        <w:rPr>
          <w:sz w:val="20"/>
          <w:szCs w:val="20"/>
          <w:color w:val="auto"/>
        </w:rPr>
      </w:pPr>
    </w:p>
    <w:p>
      <w:pPr>
        <w:ind w:left="980" w:hanging="544"/>
        <w:spacing w:after="0"/>
        <w:tabs>
          <w:tab w:leader="none" w:pos="9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USA-Based Resources:</w:t>
      </w:r>
    </w:p>
    <w:p>
      <w:pPr>
        <w:spacing w:after="0" w:line="121" w:lineRule="exact"/>
        <w:rPr>
          <w:rFonts w:ascii="Arial" w:cs="Arial" w:eastAsia="Arial" w:hAnsi="Arial"/>
          <w:sz w:val="18"/>
          <w:szCs w:val="18"/>
          <w:b w:val="1"/>
          <w:bCs w:val="1"/>
          <w:color w:val="auto"/>
        </w:rPr>
      </w:pPr>
    </w:p>
    <w:p>
      <w:pPr>
        <w:ind w:left="1000"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USA-based resources shall work pursuant to the general directions provided by AT&amp;T to Amdocs towards the assigned milestones but shall not in any way be deemed to be employees of AT&amp;T.</w:t>
      </w:r>
    </w:p>
    <w:p>
      <w:pPr>
        <w:spacing w:after="0" w:line="71" w:lineRule="exact"/>
        <w:rPr>
          <w:rFonts w:ascii="Arial" w:cs="Arial" w:eastAsia="Arial" w:hAnsi="Arial"/>
          <w:sz w:val="18"/>
          <w:szCs w:val="18"/>
          <w:b w:val="1"/>
          <w:bCs w:val="1"/>
          <w:color w:val="auto"/>
        </w:rPr>
      </w:pPr>
    </w:p>
    <w:p>
      <w:pPr>
        <w:ind w:left="980" w:hanging="544"/>
        <w:spacing w:after="0"/>
        <w:tabs>
          <w:tab w:leader="none" w:pos="9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Staffing Details:</w:t>
      </w:r>
    </w:p>
    <w:p>
      <w:pPr>
        <w:spacing w:after="0" w:line="121"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Planned roles and full time equivalent (“FTE”) resources needed:</w:t>
      </w:r>
    </w:p>
    <w:p>
      <w:pPr>
        <w:spacing w:after="0" w:line="33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44" w:lineRule="exact"/>
        <w:rPr>
          <w:sz w:val="20"/>
          <w:szCs w:val="20"/>
          <w:color w:val="auto"/>
        </w:rPr>
      </w:pPr>
    </w:p>
    <w:p>
      <w:pPr>
        <w:ind w:left="1300"/>
        <w:spacing w:after="0"/>
        <w:tabs>
          <w:tab w:leader="none" w:pos="3760" w:val="left"/>
          <w:tab w:leader="none" w:pos="6600" w:val="left"/>
          <w:tab w:leader="none" w:pos="9580" w:val="left"/>
        </w:tabs>
        <w:rPr>
          <w:sz w:val="20"/>
          <w:szCs w:val="20"/>
          <w:color w:val="auto"/>
        </w:rPr>
      </w:pPr>
      <w:r>
        <w:rPr>
          <w:rFonts w:ascii="Arial" w:cs="Arial" w:eastAsia="Arial" w:hAnsi="Arial"/>
          <w:sz w:val="14"/>
          <w:szCs w:val="14"/>
          <w:b w:val="1"/>
          <w:bCs w:val="1"/>
          <w:color w:val="auto"/>
        </w:rPr>
        <w:t>Role</w:t>
      </w:r>
      <w:r>
        <w:rPr>
          <w:sz w:val="20"/>
          <w:szCs w:val="20"/>
          <w:color w:val="auto"/>
        </w:rPr>
        <w:tab/>
      </w:r>
      <w:r>
        <w:rPr>
          <w:rFonts w:ascii="Arial" w:cs="Arial" w:eastAsia="Arial" w:hAnsi="Arial"/>
          <w:sz w:val="14"/>
          <w:szCs w:val="14"/>
          <w:b w:val="1"/>
          <w:bCs w:val="1"/>
          <w:color w:val="auto"/>
        </w:rPr>
        <w:t>USA-Based FTEs</w:t>
      </w:r>
      <w:r>
        <w:rPr>
          <w:sz w:val="20"/>
          <w:szCs w:val="20"/>
          <w:color w:val="auto"/>
        </w:rPr>
        <w:tab/>
      </w:r>
      <w:r>
        <w:rPr>
          <w:rFonts w:ascii="Arial" w:cs="Arial" w:eastAsia="Arial" w:hAnsi="Arial"/>
          <w:sz w:val="14"/>
          <w:szCs w:val="14"/>
          <w:b w:val="1"/>
          <w:bCs w:val="1"/>
          <w:color w:val="auto"/>
        </w:rPr>
        <w:t>Offshore FTEs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6997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40" w:hanging="436"/>
        <w:spacing w:after="0"/>
        <w:tabs>
          <w:tab w:leader="none" w:pos="4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Deliverables/Release Items:</w:t>
      </w:r>
    </w:p>
    <w:p>
      <w:pPr>
        <w:spacing w:after="0" w:line="121" w:lineRule="exact"/>
        <w:rPr>
          <w:rFonts w:ascii="Arial" w:cs="Arial" w:eastAsia="Arial" w:hAnsi="Arial"/>
          <w:sz w:val="18"/>
          <w:szCs w:val="18"/>
          <w:b w:val="1"/>
          <w:bCs w:val="1"/>
          <w:color w:val="auto"/>
        </w:rPr>
      </w:pPr>
    </w:p>
    <w:p>
      <w:pPr>
        <w:ind w:left="1000" w:right="1980" w:hanging="551"/>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Amdocs will provide the deliverables and/or release items for the Project as defined in this Section and the table below. &lt;Table below is an example and may be modified as required&gt;</w:t>
      </w:r>
    </w:p>
    <w:p>
      <w:pPr>
        <w:spacing w:after="0" w:line="82" w:lineRule="exact"/>
        <w:rPr>
          <w:sz w:val="20"/>
          <w:szCs w:val="20"/>
          <w:color w:val="auto"/>
        </w:rPr>
      </w:pPr>
    </w:p>
    <w:p>
      <w:pPr>
        <w:ind w:left="1020"/>
        <w:spacing w:after="0"/>
        <w:tabs>
          <w:tab w:leader="none" w:pos="3960" w:val="left"/>
          <w:tab w:leader="none" w:pos="6700" w:val="left"/>
          <w:tab w:leader="none" w:pos="9000" w:val="left"/>
        </w:tabs>
        <w:rPr>
          <w:sz w:val="20"/>
          <w:szCs w:val="20"/>
          <w:color w:val="auto"/>
        </w:rPr>
      </w:pPr>
      <w:r>
        <w:rPr>
          <w:rFonts w:ascii="Arial" w:cs="Arial" w:eastAsia="Arial" w:hAnsi="Arial"/>
          <w:sz w:val="14"/>
          <w:szCs w:val="14"/>
          <w:b w:val="1"/>
          <w:bCs w:val="1"/>
          <w:color w:val="auto"/>
        </w:rPr>
        <w:t>Milestone No.</w:t>
      </w:r>
      <w:r>
        <w:rPr>
          <w:sz w:val="20"/>
          <w:szCs w:val="20"/>
          <w:color w:val="auto"/>
        </w:rPr>
        <w:tab/>
      </w:r>
      <w:r>
        <w:rPr>
          <w:rFonts w:ascii="Arial" w:cs="Arial" w:eastAsia="Arial" w:hAnsi="Arial"/>
          <w:sz w:val="14"/>
          <w:szCs w:val="14"/>
          <w:b w:val="1"/>
          <w:bCs w:val="1"/>
          <w:color w:val="auto"/>
        </w:rPr>
        <w:t>Deliverable</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Estimated Delivery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6997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91"/>
              </w:rPr>
              <w:t>Agreement No. 53258.A.002</w:t>
            </w:r>
          </w:p>
        </w:tc>
        <w:tc>
          <w:tcPr>
            <w:tcW w:w="0" w:type="dxa"/>
            <w:vAlign w:val="bottom"/>
          </w:tcPr>
          <w:p>
            <w:pPr>
              <w:spacing w:after="0"/>
              <w:rPr>
                <w:sz w:val="1"/>
                <w:szCs w:val="1"/>
                <w:color w:val="auto"/>
              </w:rPr>
            </w:pPr>
          </w:p>
        </w:tc>
      </w:tr>
      <w:tr>
        <w:trPr>
          <w:trHeight w:val="365"/>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9.</w:t>
            </w:r>
          </w:p>
        </w:tc>
        <w:tc>
          <w:tcPr>
            <w:tcW w:w="67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Application Components: &lt;</w:t>
            </w:r>
            <w:r>
              <w:rPr>
                <w:rFonts w:ascii="Arial" w:cs="Arial" w:eastAsia="Arial" w:hAnsi="Arial"/>
                <w:sz w:val="18"/>
                <w:szCs w:val="18"/>
                <w:color w:val="auto"/>
                <w:w w:val="93"/>
              </w:rPr>
              <w:t>Enter details below, “None” is acceptable and delete table&gt;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740" w:type="dxa"/>
            <w:vAlign w:val="bottom"/>
            <w:gridSpan w:val="3"/>
          </w:tcPr>
          <w:p>
            <w:pPr>
              <w:ind w:left="160"/>
              <w:spacing w:after="0"/>
              <w:rPr>
                <w:sz w:val="20"/>
                <w:szCs w:val="20"/>
                <w:color w:val="auto"/>
              </w:rPr>
            </w:pPr>
            <w:r>
              <w:rPr>
                <w:rFonts w:ascii="Arial" w:cs="Arial" w:eastAsia="Arial" w:hAnsi="Arial"/>
                <w:sz w:val="18"/>
                <w:szCs w:val="18"/>
                <w:color w:val="auto"/>
              </w:rPr>
              <w:t>The following applications are included in the scope of this Order.</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940" w:type="dxa"/>
            <w:vAlign w:val="bottom"/>
            <w:gridSpan w:val="2"/>
            <w:vMerge w:val="restart"/>
          </w:tcPr>
          <w:p>
            <w:pPr>
              <w:jc w:val="center"/>
              <w:ind w:left="108"/>
              <w:spacing w:after="0"/>
              <w:rPr>
                <w:sz w:val="20"/>
                <w:szCs w:val="20"/>
                <w:color w:val="auto"/>
              </w:rPr>
            </w:pPr>
            <w:r>
              <w:rPr>
                <w:rFonts w:ascii="Arial" w:cs="Arial" w:eastAsia="Arial" w:hAnsi="Arial"/>
                <w:sz w:val="14"/>
                <w:szCs w:val="14"/>
                <w:b w:val="1"/>
                <w:bCs w:val="1"/>
                <w:color w:val="auto"/>
                <w:w w:val="94"/>
              </w:rPr>
              <w:t>Application</w:t>
            </w:r>
          </w:p>
        </w:tc>
        <w:tc>
          <w:tcPr>
            <w:tcW w:w="780" w:type="dxa"/>
            <w:vAlign w:val="bottom"/>
          </w:tcPr>
          <w:p>
            <w:pPr>
              <w:spacing w:after="0"/>
              <w:rPr>
                <w:sz w:val="24"/>
                <w:szCs w:val="24"/>
                <w:color w:val="auto"/>
              </w:rPr>
            </w:pPr>
          </w:p>
        </w:tc>
        <w:tc>
          <w:tcPr>
            <w:tcW w:w="228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9"/>
              </w:rPr>
              <w:t>% of time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6740" w:type="dxa"/>
            <w:vAlign w:val="bottom"/>
            <w:gridSpan w:val="3"/>
            <w:vMerge w:val="restart"/>
          </w:tcPr>
          <w:p>
            <w:pPr>
              <w:ind w:left="1040"/>
              <w:spacing w:after="0"/>
              <w:rPr>
                <w:sz w:val="20"/>
                <w:szCs w:val="20"/>
                <w:color w:val="auto"/>
              </w:rPr>
            </w:pPr>
            <w:r>
              <w:rPr>
                <w:rFonts w:ascii="Arial" w:cs="Arial" w:eastAsia="Arial" w:hAnsi="Arial"/>
                <w:sz w:val="14"/>
                <w:szCs w:val="14"/>
                <w:b w:val="1"/>
                <w:bCs w:val="1"/>
                <w:color w:val="auto"/>
              </w:rPr>
              <w:t>MOTS ID</w:t>
            </w:r>
          </w:p>
        </w:tc>
        <w:tc>
          <w:tcPr>
            <w:tcW w:w="9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280" w:type="dxa"/>
            <w:vAlign w:val="bottom"/>
            <w:gridSpan w:val="3"/>
          </w:tcPr>
          <w:p>
            <w:pPr>
              <w:jc w:val="center"/>
              <w:ind w:right="1560"/>
              <w:spacing w:after="0" w:line="149" w:lineRule="exact"/>
              <w:rPr>
                <w:sz w:val="20"/>
                <w:szCs w:val="20"/>
                <w:color w:val="auto"/>
              </w:rPr>
            </w:pPr>
            <w:r>
              <w:rPr>
                <w:rFonts w:ascii="Arial" w:cs="Arial" w:eastAsia="Arial" w:hAnsi="Arial"/>
                <w:sz w:val="14"/>
                <w:szCs w:val="14"/>
                <w:b w:val="1"/>
                <w:bCs w:val="1"/>
                <w:color w:val="auto"/>
                <w:w w:val="89"/>
              </w:rPr>
              <w:t>spent on</w:t>
            </w: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6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Name</w:t>
            </w:r>
          </w:p>
        </w:tc>
        <w:tc>
          <w:tcPr>
            <w:tcW w:w="3060" w:type="dxa"/>
            <w:vAlign w:val="bottom"/>
            <w:gridSpan w:val="4"/>
          </w:tcPr>
          <w:p>
            <w:pPr>
              <w:jc w:val="center"/>
              <w:ind w:right="780"/>
              <w:spacing w:after="0" w:line="158" w:lineRule="exact"/>
              <w:rPr>
                <w:sz w:val="20"/>
                <w:szCs w:val="20"/>
                <w:color w:val="auto"/>
              </w:rPr>
            </w:pPr>
            <w:r>
              <w:rPr>
                <w:rFonts w:ascii="Arial" w:cs="Arial" w:eastAsia="Arial" w:hAnsi="Arial"/>
                <w:sz w:val="14"/>
                <w:szCs w:val="14"/>
                <w:b w:val="1"/>
                <w:bCs w:val="1"/>
                <w:color w:val="auto"/>
                <w:w w:val="94"/>
              </w:rPr>
              <w:t>Application</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1060" w:type="dxa"/>
            <w:vAlign w:val="bottom"/>
            <w:vMerge w:val="restart"/>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hanging="436"/>
        <w:spacing w:after="0"/>
        <w:tabs>
          <w:tab w:leader="none" w:pos="4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Amdocs Responsibilities: &lt;</w:t>
      </w:r>
      <w:r>
        <w:rPr>
          <w:rFonts w:ascii="Arial" w:cs="Arial" w:eastAsia="Arial" w:hAnsi="Arial"/>
          <w:sz w:val="18"/>
          <w:szCs w:val="18"/>
          <w:color w:val="auto"/>
        </w:rPr>
        <w:t>Enter details below, “None” is acceptable&gt;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In addition to providing the deliverables herein, Amdocs will be responsible for the following:</w:t>
      </w:r>
    </w:p>
    <w:p>
      <w:pPr>
        <w:spacing w:after="0" w:line="130" w:lineRule="exact"/>
        <w:rPr>
          <w:rFonts w:ascii="Arial" w:cs="Arial" w:eastAsia="Arial" w:hAnsi="Arial"/>
          <w:sz w:val="18"/>
          <w:szCs w:val="18"/>
          <w:b w:val="1"/>
          <w:bCs w:val="1"/>
          <w:color w:val="auto"/>
        </w:rPr>
      </w:pPr>
    </w:p>
    <w:p>
      <w:pPr>
        <w:ind w:left="1420" w:hanging="322"/>
        <w:spacing w:after="0"/>
        <w:tabs>
          <w:tab w:leader="none" w:pos="1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&lt;List additional Amdocs Responsibilities&gt;</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Responsibilities: </w:t>
      </w:r>
      <w:r>
        <w:rPr>
          <w:rFonts w:ascii="Arial" w:cs="Arial" w:eastAsia="Arial" w:hAnsi="Arial"/>
          <w:sz w:val="18"/>
          <w:szCs w:val="18"/>
          <w:color w:val="auto"/>
        </w:rPr>
        <w:t>&lt;Enter details below, “None” is acceptable&gt;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In addition to AT&amp;T Responsibilities defined in Section 3.43f of the Master Services Agreement, AT&amp;T will be responsible for the following:</w:t>
      </w:r>
    </w:p>
    <w:p>
      <w:pPr>
        <w:spacing w:after="0" w:line="142" w:lineRule="exact"/>
        <w:rPr>
          <w:rFonts w:ascii="Arial" w:cs="Arial" w:eastAsia="Arial" w:hAnsi="Arial"/>
          <w:sz w:val="18"/>
          <w:szCs w:val="18"/>
          <w:b w:val="1"/>
          <w:bCs w:val="1"/>
          <w:color w:val="auto"/>
        </w:rPr>
      </w:pPr>
    </w:p>
    <w:p>
      <w:pPr>
        <w:ind w:left="1420" w:hanging="322"/>
        <w:spacing w:after="0"/>
        <w:tabs>
          <w:tab w:leader="none" w:pos="1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&lt;List additional AT&amp;T Responsibilities&gt;</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rFonts w:ascii="Arial" w:cs="Arial" w:eastAsia="Arial" w:hAnsi="Arial"/>
          <w:sz w:val="18"/>
          <w:szCs w:val="18"/>
          <w:b w:val="1"/>
          <w:bCs w:val="1"/>
          <w:color w:val="auto"/>
        </w:rPr>
      </w:pPr>
    </w:p>
    <w:p>
      <w:pPr>
        <w:ind w:left="4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is a &lt;fixed price or Time and Materials (“T&amp;M”)&gt; Order for the total amount of &lt;Enter amount&gt; for the Work effort. The total price is based on &lt;Enter basis for pricing, e.g. rate, monthly or hourly, any proration, and/or assumed hours&gt;.</w:t>
      </w:r>
    </w:p>
    <w:p>
      <w:pPr>
        <w:spacing w:after="0" w:line="62" w:lineRule="exact"/>
        <w:rPr>
          <w:rFonts w:ascii="Arial" w:cs="Arial" w:eastAsia="Arial" w:hAnsi="Arial"/>
          <w:sz w:val="18"/>
          <w:szCs w:val="18"/>
          <w:b w:val="1"/>
          <w:bCs w:val="1"/>
          <w:color w:val="auto"/>
        </w:rPr>
      </w:pPr>
    </w:p>
    <w:p>
      <w:pPr>
        <w:ind w:left="440" w:right="26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&lt;Enter Travel and living expenses language in accordance with the Master Services Agreement, if applicable&gt; The following table represents the payment schedule for this Order:</w:t>
      </w:r>
    </w:p>
    <w:p>
      <w:pPr>
        <w:spacing w:after="0" w:line="58"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Payment Schedule:</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&lt;Table below is an example and may be modified as required&gt;</w:t>
      </w:r>
    </w:p>
    <w:p>
      <w:pPr>
        <w:spacing w:after="0" w:line="244" w:lineRule="exact"/>
        <w:rPr>
          <w:sz w:val="20"/>
          <w:szCs w:val="20"/>
          <w:color w:val="auto"/>
        </w:rPr>
      </w:pPr>
    </w:p>
    <w:p>
      <w:pPr>
        <w:ind w:left="440"/>
        <w:spacing w:after="0"/>
        <w:tabs>
          <w:tab w:leader="none" w:pos="6300" w:val="left"/>
          <w:tab w:leader="none" w:pos="7300" w:val="left"/>
          <w:tab w:leader="none" w:pos="8260" w:val="left"/>
          <w:tab w:leader="none" w:pos="9740" w:val="left"/>
        </w:tabs>
        <w:rPr>
          <w:sz w:val="20"/>
          <w:szCs w:val="20"/>
          <w:color w:val="auto"/>
        </w:rPr>
      </w:pPr>
      <w:r>
        <w:rPr>
          <w:rFonts w:ascii="Arial" w:cs="Arial" w:eastAsia="Arial" w:hAnsi="Arial"/>
          <w:sz w:val="14"/>
          <w:szCs w:val="14"/>
          <w:b w:val="1"/>
          <w:bCs w:val="1"/>
          <w:u w:val="single" w:color="auto"/>
          <w:color w:val="auto"/>
        </w:rPr>
        <w:t>Activity During</w:t>
      </w:r>
      <w:r>
        <w:rPr>
          <w:sz w:val="20"/>
          <w:szCs w:val="20"/>
          <w:color w:val="auto"/>
        </w:rPr>
        <w:tab/>
      </w:r>
      <w:r>
        <w:rPr>
          <w:rFonts w:ascii="Arial" w:cs="Arial" w:eastAsia="Arial" w:hAnsi="Arial"/>
          <w:sz w:val="14"/>
          <w:szCs w:val="14"/>
          <w:b w:val="1"/>
          <w:bCs w:val="1"/>
          <w:u w:val="single" w:color="auto"/>
          <w:color w:val="auto"/>
        </w:rPr>
        <w:t>FTEs</w:t>
      </w:r>
      <w:r>
        <w:rPr>
          <w:sz w:val="20"/>
          <w:szCs w:val="20"/>
          <w:color w:val="auto"/>
        </w:rPr>
        <w:tab/>
      </w:r>
      <w:r>
        <w:rPr>
          <w:rFonts w:ascii="Arial" w:cs="Arial" w:eastAsia="Arial" w:hAnsi="Arial"/>
          <w:sz w:val="14"/>
          <w:szCs w:val="14"/>
          <w:b w:val="1"/>
          <w:bCs w:val="1"/>
          <w:u w:val="single" w:color="auto"/>
          <w:color w:val="auto"/>
        </w:rPr>
        <w:t>Rate</w:t>
      </w:r>
      <w:r>
        <w:rPr>
          <w:sz w:val="20"/>
          <w:szCs w:val="20"/>
          <w:color w:val="auto"/>
        </w:rPr>
        <w:tab/>
      </w:r>
      <w:r>
        <w:rPr>
          <w:rFonts w:ascii="Arial" w:cs="Arial" w:eastAsia="Arial" w:hAnsi="Arial"/>
          <w:sz w:val="14"/>
          <w:szCs w:val="14"/>
          <w:b w:val="1"/>
          <w:bCs w:val="1"/>
          <w:u w:val="single" w:color="auto"/>
          <w:color w:val="auto"/>
        </w:rPr>
        <w:t>Total Invoice</w:t>
      </w:r>
      <w:r>
        <w:rPr>
          <w:sz w:val="20"/>
          <w:szCs w:val="20"/>
          <w:color w:val="auto"/>
        </w:rPr>
        <w:tab/>
      </w:r>
      <w:r>
        <w:rPr>
          <w:rFonts w:ascii="Arial" w:cs="Arial" w:eastAsia="Arial" w:hAnsi="Arial"/>
          <w:sz w:val="13"/>
          <w:szCs w:val="13"/>
          <w:b w:val="1"/>
          <w:bCs w:val="1"/>
          <w:u w:val="single" w:color="auto"/>
          <w:color w:val="auto"/>
        </w:rPr>
        <w:t>Invoice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15240</wp:posOffset>
            </wp:positionV>
            <wp:extent cx="6431915"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6431915" cy="137160"/>
                    </a:xfrm>
                    <a:prstGeom prst="rect">
                      <a:avLst/>
                    </a:prstGeom>
                    <a:noFill/>
                  </pic:spPr>
                </pic:pic>
              </a:graphicData>
            </a:graphic>
          </wp:anchor>
        </w:drawing>
        <w:drawing>
          <wp:anchor simplePos="0" relativeHeight="251657728" behindDoc="1" locked="0" layoutInCell="0" allowOverlap="1">
            <wp:simplePos x="0" y="0"/>
            <wp:positionH relativeFrom="column">
              <wp:posOffset>289560</wp:posOffset>
            </wp:positionH>
            <wp:positionV relativeFrom="paragraph">
              <wp:posOffset>289560</wp:posOffset>
            </wp:positionV>
            <wp:extent cx="643191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Total</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ind w:left="440" w:hanging="436"/>
        <w:spacing w:after="0"/>
        <w:tabs>
          <w:tab w:leader="none" w:pos="4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Project Managers:</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AT&amp;T:</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&lt;e</w:t>
      </w:r>
      <w:r>
        <w:rPr>
          <w:rFonts w:ascii="Arial" w:cs="Arial" w:eastAsia="Arial" w:hAnsi="Arial"/>
          <w:sz w:val="18"/>
          <w:szCs w:val="18"/>
          <w:u w:val="single" w:color="auto"/>
          <w:color w:val="auto"/>
        </w:rPr>
        <w:t>mail@att.com</w:t>
      </w:r>
      <w:r>
        <w:rPr>
          <w:rFonts w:ascii="Arial" w:cs="Arial" w:eastAsia="Arial" w:hAnsi="Arial"/>
          <w:sz w:val="18"/>
          <w:szCs w:val="18"/>
          <w:color w:val="auto"/>
        </w:rPr>
        <w:t>&gt;</w:t>
      </w:r>
    </w:p>
    <w:p>
      <w:pPr>
        <w:spacing w:after="0" w:line="99"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Amdocs:</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&lt;Amdocs PM Contact Name&gt;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email@amdocs.com</w:t>
      </w:r>
      <w:r>
        <w:rPr>
          <w:rFonts w:ascii="Arial" w:cs="Arial" w:eastAsia="Arial" w:hAnsi="Arial"/>
          <w:sz w:val="18"/>
          <w:szCs w:val="18"/>
          <w:color w:val="auto"/>
        </w:rPr>
        <w:t>&gt;</w:t>
      </w:r>
    </w:p>
    <w:p>
      <w:pPr>
        <w:spacing w:after="0" w:line="112" w:lineRule="exact"/>
        <w:rPr>
          <w:sz w:val="20"/>
          <w:szCs w:val="20"/>
          <w:color w:val="auto"/>
        </w:rPr>
      </w:pPr>
    </w:p>
    <w:p>
      <w:pPr>
        <w:ind w:left="980" w:right="8220" w:hanging="976"/>
        <w:spacing w:after="0" w:line="434" w:lineRule="auto"/>
        <w:tabs>
          <w:tab w:leader="none" w:pos="426"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Special Terms and Conditions: a. Invoice/Billing</w:t>
      </w:r>
    </w:p>
    <w:p>
      <w:pPr>
        <w:ind w:left="1440"/>
        <w:spacing w:after="0"/>
        <w:rPr>
          <w:rFonts w:ascii="Arial" w:cs="Arial" w:eastAsia="Arial" w:hAnsi="Arial"/>
          <w:sz w:val="16"/>
          <w:szCs w:val="16"/>
          <w:b w:val="1"/>
          <w:bCs w:val="1"/>
          <w:color w:val="auto"/>
        </w:rPr>
      </w:pPr>
      <w:r>
        <w:rPr>
          <w:rFonts w:ascii="Arial" w:cs="Arial" w:eastAsia="Arial" w:hAnsi="Arial"/>
          <w:sz w:val="18"/>
          <w:szCs w:val="18"/>
          <w:color w:val="auto"/>
        </w:rPr>
        <w:t>Invoices and billing information are to be sent electronically to:</w:t>
      </w:r>
    </w:p>
    <w:p>
      <w:pPr>
        <w:spacing w:after="0" w:line="117" w:lineRule="exact"/>
        <w:rPr>
          <w:rFonts w:ascii="Arial" w:cs="Arial" w:eastAsia="Arial" w:hAnsi="Arial"/>
          <w:sz w:val="16"/>
          <w:szCs w:val="16"/>
          <w:b w:val="1"/>
          <w:bCs w:val="1"/>
          <w:color w:val="auto"/>
        </w:rPr>
      </w:pPr>
    </w:p>
    <w:p>
      <w:pPr>
        <w:ind w:left="1820"/>
        <w:spacing w:after="0"/>
        <w:rPr>
          <w:rFonts w:ascii="Arial" w:cs="Arial" w:eastAsia="Arial" w:hAnsi="Arial"/>
          <w:sz w:val="16"/>
          <w:szCs w:val="16"/>
          <w:b w:val="1"/>
          <w:bCs w:val="1"/>
          <w:color w:val="auto"/>
        </w:rPr>
      </w:pPr>
      <w:r>
        <w:rPr>
          <w:rFonts w:ascii="Arial" w:cs="Arial" w:eastAsia="Arial" w:hAnsi="Arial"/>
          <w:sz w:val="18"/>
          <w:szCs w:val="18"/>
          <w:color w:val="auto"/>
        </w:rPr>
        <w:t>&lt;Enter applicable AT&amp;T Business Unit/Finance Name&gt;: &lt;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11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Copies of all invoices are to be sent to:</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&lt;AT&amp;T Contact Name&gt;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103" w:lineRule="exact"/>
        <w:rPr>
          <w:sz w:val="20"/>
          <w:szCs w:val="20"/>
          <w:color w:val="auto"/>
        </w:rPr>
      </w:pPr>
    </w:p>
    <w:p>
      <w:pPr>
        <w:ind w:left="1440" w:right="180"/>
        <w:spacing w:after="0" w:line="277" w:lineRule="auto"/>
        <w:rPr>
          <w:sz w:val="20"/>
          <w:szCs w:val="20"/>
          <w:color w:val="auto"/>
        </w:rPr>
      </w:pPr>
      <w:r>
        <w:rPr>
          <w:rFonts w:ascii="Arial" w:cs="Arial" w:eastAsia="Arial" w:hAnsi="Arial"/>
          <w:sz w:val="18"/>
          <w:szCs w:val="18"/>
          <w:color w:val="auto"/>
        </w:rPr>
        <w:t>AT&amp;T will notify Amdocs of any changes regarding invoices and billing information at &lt;Enter Phone Number (xxx)xxx-xxxx&gt; or email: &lt;</w:t>
      </w:r>
      <w:r>
        <w:rPr>
          <w:rFonts w:ascii="Arial" w:cs="Arial" w:eastAsia="Arial" w:hAnsi="Arial"/>
          <w:sz w:val="18"/>
          <w:szCs w:val="18"/>
          <w:u w:val="single" w:color="auto"/>
          <w:color w:val="auto"/>
        </w:rPr>
        <w:t>NAME@amdocs.com</w:t>
      </w:r>
      <w:r>
        <w:rPr>
          <w:rFonts w:ascii="Arial" w:cs="Arial" w:eastAsia="Arial" w:hAnsi="Arial"/>
          <w:sz w:val="18"/>
          <w:szCs w:val="18"/>
          <w:color w:val="auto"/>
        </w:rPr>
        <w:t>&gt;.</w:t>
      </w:r>
    </w:p>
    <w:p>
      <w:pPr>
        <w:spacing w:after="0" w:line="72" w:lineRule="exact"/>
        <w:rPr>
          <w:sz w:val="20"/>
          <w:szCs w:val="20"/>
          <w:color w:val="auto"/>
        </w:rPr>
      </w:pPr>
    </w:p>
    <w:p>
      <w:pPr>
        <w:ind w:left="440" w:hanging="436"/>
        <w:spacing w:after="0"/>
        <w:tabs>
          <w:tab w:leader="none" w:pos="4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Liquidated Damages for Delay in Delivery:</w:t>
      </w:r>
    </w:p>
    <w:p>
      <w:pPr>
        <w:spacing w:after="0" w:line="121" w:lineRule="exact"/>
        <w:rPr>
          <w:rFonts w:ascii="Arial" w:cs="Arial" w:eastAsia="Arial" w:hAnsi="Arial"/>
          <w:sz w:val="18"/>
          <w:szCs w:val="18"/>
          <w:b w:val="1"/>
          <w:bCs w:val="1"/>
          <w:color w:val="auto"/>
        </w:rPr>
      </w:pPr>
    </w:p>
    <w:p>
      <w:pPr>
        <w:ind w:left="44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Delayed Delivery Dates under this Custom Software Order shall be handled in accordance with Section 4.9, “Liquidated Damages for Delay in Delivery,” of the Master Services Agreement.</w:t>
      </w:r>
    </w:p>
    <w:p>
      <w:pPr>
        <w:spacing w:after="0" w:line="71" w:lineRule="exact"/>
        <w:rPr>
          <w:rFonts w:ascii="Arial" w:cs="Arial" w:eastAsia="Arial" w:hAnsi="Arial"/>
          <w:sz w:val="18"/>
          <w:szCs w:val="18"/>
          <w:b w:val="1"/>
          <w:bCs w:val="1"/>
          <w:color w:val="auto"/>
        </w:rPr>
      </w:pPr>
    </w:p>
    <w:p>
      <w:pPr>
        <w:ind w:left="440" w:hanging="436"/>
        <w:spacing w:after="0"/>
        <w:tabs>
          <w:tab w:leader="none" w:pos="4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Error Severity Level Description And Resolution Plan:</w:t>
      </w:r>
    </w:p>
    <w:p>
      <w:pPr>
        <w:spacing w:after="0" w:line="121" w:lineRule="exact"/>
        <w:rPr>
          <w:rFonts w:ascii="Arial" w:cs="Arial" w:eastAsia="Arial" w:hAnsi="Arial"/>
          <w:sz w:val="18"/>
          <w:szCs w:val="18"/>
          <w:b w:val="1"/>
          <w:bCs w:val="1"/>
          <w:color w:val="auto"/>
        </w:rPr>
      </w:pPr>
    </w:p>
    <w:p>
      <w:pPr>
        <w:ind w:left="44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Errors found in the Custom Software or Ongoing Support provided under this Order shall be handled in accordance with Section 4.8, “Error Severity Level Description And Resolution Plan,” of the Master Services Agreement.</w:t>
      </w:r>
    </w:p>
    <w:p>
      <w:pPr>
        <w:spacing w:after="0" w:line="9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57" w:name="page158"/>
    <w:bookmarkEnd w:id="157"/>
    <w:p>
      <w:pPr>
        <w:jc w:val="right"/>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ind w:left="440" w:hanging="436"/>
        <w:spacing w:after="0"/>
        <w:tabs>
          <w:tab w:leader="none" w:pos="4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21" w:lineRule="exact"/>
        <w:rPr>
          <w:rFonts w:ascii="Arial" w:cs="Arial" w:eastAsia="Arial" w:hAnsi="Arial"/>
          <w:sz w:val="18"/>
          <w:szCs w:val="18"/>
          <w:b w:val="1"/>
          <w:bCs w:val="1"/>
          <w:color w:val="auto"/>
        </w:rPr>
      </w:pPr>
    </w:p>
    <w:p>
      <w:pPr>
        <w:ind w:left="44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Payment terms for invoices issued under this Order shall be in accordance with Section 3.19, “Invoicing and Payment,” of the Master Services Agreement, which is, as of the Effective Date of this Order, net days from the date of receipt of the invoice.</w:t>
      </w:r>
    </w:p>
    <w:p>
      <w:pPr>
        <w:spacing w:after="0" w:line="71" w:lineRule="exact"/>
        <w:rPr>
          <w:rFonts w:ascii="Arial" w:cs="Arial" w:eastAsia="Arial" w:hAnsi="Arial"/>
          <w:sz w:val="18"/>
          <w:szCs w:val="18"/>
          <w:b w:val="1"/>
          <w:bCs w:val="1"/>
          <w:color w:val="auto"/>
        </w:rPr>
      </w:pPr>
    </w:p>
    <w:p>
      <w:pPr>
        <w:ind w:left="440" w:hanging="436"/>
        <w:spacing w:after="0"/>
        <w:tabs>
          <w:tab w:leader="none" w:pos="4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Paid-For Development:</w:t>
      </w:r>
    </w:p>
    <w:p>
      <w:pPr>
        <w:spacing w:after="0" w:line="121" w:lineRule="exact"/>
        <w:rPr>
          <w:rFonts w:ascii="Arial" w:cs="Arial" w:eastAsia="Arial" w:hAnsi="Arial"/>
          <w:sz w:val="18"/>
          <w:szCs w:val="18"/>
          <w:b w:val="1"/>
          <w:bCs w:val="1"/>
          <w:color w:val="auto"/>
        </w:rPr>
      </w:pPr>
    </w:p>
    <w:p>
      <w:pPr>
        <w:ind w:left="44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avoidance of doubt, and for purposes of interpreting AT&amp;T’s right to Program Material and Documentation created hereunder, title to all Work output hereunder shall be determined in accordance with the Master Services Agreement, Section 3.27, “Ownership of Paid-For Development, Use and Reservation of Rights”.</w:t>
      </w:r>
    </w:p>
    <w:p>
      <w:pPr>
        <w:spacing w:after="0" w:line="82" w:lineRule="exact"/>
        <w:rPr>
          <w:rFonts w:ascii="Arial" w:cs="Arial" w:eastAsia="Arial" w:hAnsi="Arial"/>
          <w:sz w:val="18"/>
          <w:szCs w:val="18"/>
          <w:b w:val="1"/>
          <w:bCs w:val="1"/>
          <w:color w:val="auto"/>
        </w:rPr>
      </w:pPr>
    </w:p>
    <w:p>
      <w:pPr>
        <w:ind w:left="440" w:hanging="436"/>
        <w:spacing w:after="0"/>
        <w:tabs>
          <w:tab w:leader="none" w:pos="4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121" w:lineRule="exact"/>
        <w:rPr>
          <w:rFonts w:ascii="Arial" w:cs="Arial" w:eastAsia="Arial" w:hAnsi="Arial"/>
          <w:sz w:val="18"/>
          <w:szCs w:val="18"/>
          <w:b w:val="1"/>
          <w:bCs w:val="1"/>
          <w:color w:val="auto"/>
        </w:rPr>
      </w:pPr>
    </w:p>
    <w:p>
      <w:pPr>
        <w:ind w:left="4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addition to all other rights provided by Section 3.16, “Information”, pursuant to the Master Services Agreement, any Information received by Amdocs from AT&amp;T or other parties engaged in this Work shall be considered and treated as confidential Information under the Order, regardless of any requirement to put it in writing under the Master Services Agreement or separate Non-Disclosure Agreement (NDA).</w:t>
      </w:r>
    </w:p>
    <w:p>
      <w:pPr>
        <w:spacing w:after="0" w:line="66" w:lineRule="exact"/>
        <w:rPr>
          <w:rFonts w:ascii="Arial" w:cs="Arial" w:eastAsia="Arial" w:hAnsi="Arial"/>
          <w:sz w:val="18"/>
          <w:szCs w:val="18"/>
          <w:b w:val="1"/>
          <w:bCs w:val="1"/>
          <w:color w:val="auto"/>
        </w:rPr>
      </w:pPr>
    </w:p>
    <w:p>
      <w:pPr>
        <w:ind w:left="440" w:hanging="436"/>
        <w:spacing w:after="0"/>
        <w:tabs>
          <w:tab w:leader="none" w:pos="4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left="4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Termination and Partial Termination provisions applicable to this Order are contained in Section 3.36, “Termination”, of the Master Services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Order to be executed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Amdocs Development Limited</w:t>
            </w:r>
          </w:p>
        </w:tc>
        <w:tc>
          <w:tcPr>
            <w:tcW w:w="5880" w:type="dxa"/>
            <w:vAlign w:val="bottom"/>
            <w:gridSpan w:val="3"/>
          </w:tcPr>
          <w:p>
            <w:pPr>
              <w:ind w:left="70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&lt;Supplier Signatory Name&gt;</w:t>
            </w:r>
          </w:p>
        </w:tc>
        <w:tc>
          <w:tcPr>
            <w:tcW w:w="1260" w:type="dxa"/>
            <w:vAlign w:val="bottom"/>
          </w:tcPr>
          <w:p>
            <w:pPr>
              <w:ind w:left="700"/>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&lt;AT&amp;T Signatory Name&gt;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ind w:left="100"/>
              <w:spacing w:after="0"/>
              <w:rPr>
                <w:sz w:val="20"/>
                <w:szCs w:val="20"/>
                <w:color w:val="auto"/>
              </w:rPr>
            </w:pPr>
            <w:r>
              <w:rPr>
                <w:rFonts w:ascii="Arial" w:cs="Arial" w:eastAsia="Arial" w:hAnsi="Arial"/>
                <w:sz w:val="18"/>
                <w:szCs w:val="18"/>
                <w:color w:val="auto"/>
              </w:rPr>
              <w:t>&lt;Supplier Signatory Title&gt;</w:t>
            </w:r>
          </w:p>
        </w:tc>
        <w:tc>
          <w:tcPr>
            <w:tcW w:w="126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&lt;AT&amp;T Signatory Title&gt;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260" w:type="dxa"/>
            <w:vAlign w:val="bottom"/>
          </w:tcPr>
          <w:p>
            <w:pPr>
              <w:ind w:left="700"/>
              <w:spacing w:after="0"/>
              <w:rPr>
                <w:sz w:val="20"/>
                <w:szCs w:val="20"/>
                <w:color w:val="auto"/>
              </w:rPr>
            </w:pPr>
            <w:r>
              <w:rPr>
                <w:rFonts w:ascii="Arial" w:cs="Arial" w:eastAsia="Arial" w:hAnsi="Arial"/>
                <w:sz w:val="18"/>
                <w:szCs w:val="18"/>
                <w:color w:val="auto"/>
              </w:rPr>
              <w:t>Date:</w:t>
            </w:r>
          </w:p>
        </w:tc>
        <w:tc>
          <w:tcPr>
            <w:tcW w:w="10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pacing w:after="0" w:line="14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440" w:top="274" w:right="4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Appendix B, Exhibit 2 – For use when issuing a Purchase Order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Statement of Work</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No. 53258.Z.&lt;XXX&gt;</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Amdocs Development Limited.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right="20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00"/>
          </w:cols>
          <w:pgMar w:left="660" w:top="274" w:right="4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Statement of Work (“SOW”) is by and between Amdocs Development Limited, a Cyprus corporation (“Supplier” or “Amdocs”), and AT&amp;T Services, Inc., a Delaware corporation (“AT&amp;T”), and shall become a part of a Purchase Order which is governed pursuant to the terms and conditions of Master Services Agreement Number 53258.C (as amended, the “Master Services Agreement”), which by this reference are incorporated as if fully set forth herein. Any terms and conditions in this SOW that vary from or are inconsistent with the terms and conditions of the Master Services Agreement shall apply to this SOW only, and shall survive the Termination or expiration of the Master Services Agreement.</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avoidance of doubt, terms and conditions preprinted on any Purchase Order, Purchase Order acceptance or acknowledgement (if any) shall not be given any effect as they are superseded by the terms and conditions herein.</w:t>
      </w:r>
    </w:p>
    <w:p>
      <w:pPr>
        <w:spacing w:after="0" w:line="72" w:lineRule="exact"/>
        <w:rPr>
          <w:sz w:val="20"/>
          <w:szCs w:val="20"/>
          <w:color w:val="auto"/>
        </w:rPr>
      </w:pPr>
    </w:p>
    <w:p>
      <w:pPr>
        <w:ind w:left="440" w:hanging="436"/>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Agreement Number: 53258. Z.&lt;XXX&gt; </w:t>
      </w:r>
      <w:r>
        <w:rPr>
          <w:rFonts w:ascii="Arial" w:cs="Arial" w:eastAsia="Arial" w:hAnsi="Arial"/>
          <w:sz w:val="18"/>
          <w:szCs w:val="18"/>
          <w:color w:val="auto"/>
        </w:rPr>
        <w:t>must appear on all invoices</w:t>
      </w:r>
    </w:p>
    <w:p>
      <w:pPr>
        <w:spacing w:after="0" w:line="13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Amdocs Order Number: &lt;Enter No.&gt;</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Term of Services</w:t>
      </w:r>
      <w:r>
        <w:rPr>
          <w:rFonts w:ascii="Arial" w:cs="Arial" w:eastAsia="Arial" w:hAnsi="Arial"/>
          <w:sz w:val="18"/>
          <w:szCs w:val="18"/>
          <w:color w:val="auto"/>
        </w:rPr>
        <w:t>: Effective dates are &lt;Month, DD, YYYY&gt;, through &lt;Month, DD, YYYY&gt;.</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Project Name and Description: &lt;</w:t>
      </w:r>
      <w:r>
        <w:rPr>
          <w:rFonts w:ascii="Arial" w:cs="Arial" w:eastAsia="Arial" w:hAnsi="Arial"/>
          <w:sz w:val="18"/>
          <w:szCs w:val="18"/>
          <w:color w:val="auto"/>
        </w:rPr>
        <w:t>Enter Details&gt;</w:t>
      </w:r>
    </w:p>
    <w:p>
      <w:pPr>
        <w:spacing w:after="0" w:line="130" w:lineRule="exact"/>
        <w:rPr>
          <w:rFonts w:ascii="Arial" w:cs="Arial" w:eastAsia="Arial" w:hAnsi="Arial"/>
          <w:sz w:val="18"/>
          <w:szCs w:val="18"/>
          <w:b w:val="1"/>
          <w:bCs w:val="1"/>
          <w:color w:val="auto"/>
        </w:rPr>
      </w:pPr>
    </w:p>
    <w:p>
      <w:pPr>
        <w:ind w:left="440" w:right="3940" w:hanging="436"/>
        <w:spacing w:after="0" w:line="391" w:lineRule="auto"/>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Custom Software and Program Material and/or Scope of Other Services Ordered: </w:t>
      </w:r>
      <w:r>
        <w:rPr>
          <w:rFonts w:ascii="Arial" w:cs="Arial" w:eastAsia="Arial" w:hAnsi="Arial"/>
          <w:sz w:val="18"/>
          <w:szCs w:val="18"/>
          <w:color w:val="auto"/>
        </w:rPr>
        <w:t>This SOW is to &lt;Enter specific details&gt;</w:t>
      </w:r>
    </w:p>
    <w:p>
      <w:pPr>
        <w:ind w:left="440" w:hanging="436"/>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Software: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Items Ordered: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440" w:hanging="436"/>
        <w:spacing w:after="0"/>
        <w:tabs>
          <w:tab w:leader="none" w:pos="4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Milestones/Resources:</w:t>
      </w:r>
    </w:p>
    <w:p>
      <w:pPr>
        <w:spacing w:after="0" w:line="13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Milestones:</w:t>
      </w:r>
    </w:p>
    <w:p>
      <w:pPr>
        <w:spacing w:after="0" w:line="121" w:lineRule="exact"/>
        <w:rPr>
          <w:rFonts w:ascii="Arial" w:cs="Arial" w:eastAsia="Arial" w:hAnsi="Arial"/>
          <w:sz w:val="18"/>
          <w:szCs w:val="18"/>
          <w:b w:val="1"/>
          <w:bCs w:val="1"/>
          <w:color w:val="auto"/>
        </w:rPr>
      </w:pPr>
    </w:p>
    <w:p>
      <w:pPr>
        <w:ind w:left="1000" w:right="4840"/>
        <w:spacing w:after="0" w:line="483" w:lineRule="auto"/>
        <w:rPr>
          <w:rFonts w:ascii="Arial" w:cs="Arial" w:eastAsia="Arial" w:hAnsi="Arial"/>
          <w:sz w:val="18"/>
          <w:szCs w:val="18"/>
          <w:b w:val="1"/>
          <w:bCs w:val="1"/>
          <w:color w:val="auto"/>
        </w:rPr>
      </w:pPr>
      <w:r>
        <w:rPr>
          <w:rFonts w:ascii="Arial" w:cs="Arial" w:eastAsia="Arial" w:hAnsi="Arial"/>
          <w:sz w:val="16"/>
          <w:szCs w:val="16"/>
          <w:color w:val="auto"/>
        </w:rPr>
        <w:t>Planned milestones as of the Effective Date of this SOW are as follows: &lt;Table below is an example and may be modified as required&gt;</w:t>
      </w:r>
    </w:p>
    <w:p>
      <w:pPr>
        <w:spacing w:after="0" w:line="34" w:lineRule="exact"/>
        <w:rPr>
          <w:sz w:val="20"/>
          <w:szCs w:val="20"/>
          <w:color w:val="auto"/>
        </w:rPr>
      </w:pPr>
    </w:p>
    <w:p>
      <w:pPr>
        <w:ind w:left="1520"/>
        <w:spacing w:after="0"/>
        <w:tabs>
          <w:tab w:leader="none" w:pos="5380" w:val="left"/>
          <w:tab w:leader="none" w:pos="9160" w:val="left"/>
        </w:tabs>
        <w:rPr>
          <w:sz w:val="20"/>
          <w:szCs w:val="20"/>
          <w:color w:val="auto"/>
        </w:rPr>
      </w:pPr>
      <w:r>
        <w:rPr>
          <w:rFonts w:ascii="Arial" w:cs="Arial" w:eastAsia="Arial" w:hAnsi="Arial"/>
          <w:sz w:val="14"/>
          <w:szCs w:val="14"/>
          <w:b w:val="1"/>
          <w:bCs w:val="1"/>
          <w:color w:val="auto"/>
        </w:rPr>
        <w:t>Milestone No.</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6997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4" w:lineRule="exact"/>
        <w:rPr>
          <w:sz w:val="20"/>
          <w:szCs w:val="20"/>
          <w:color w:val="auto"/>
        </w:rPr>
      </w:pPr>
    </w:p>
    <w:p>
      <w:pPr>
        <w:ind w:left="980" w:hanging="544"/>
        <w:spacing w:after="0"/>
        <w:tabs>
          <w:tab w:leader="none" w:pos="9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Offshore Resources:</w:t>
      </w:r>
    </w:p>
    <w:p>
      <w:pPr>
        <w:spacing w:after="0" w:line="121" w:lineRule="exact"/>
        <w:rPr>
          <w:sz w:val="20"/>
          <w:szCs w:val="20"/>
          <w:color w:val="auto"/>
        </w:rPr>
      </w:pPr>
    </w:p>
    <w:p>
      <w:pPr>
        <w:ind w:left="1000" w:right="160"/>
        <w:spacing w:after="0" w:line="277" w:lineRule="auto"/>
        <w:rPr>
          <w:sz w:val="20"/>
          <w:szCs w:val="20"/>
          <w:color w:val="auto"/>
        </w:rPr>
      </w:pPr>
      <w:r>
        <w:rPr>
          <w:rFonts w:ascii="Arial" w:cs="Arial" w:eastAsia="Arial" w:hAnsi="Arial"/>
          <w:sz w:val="18"/>
          <w:szCs w:val="18"/>
          <w:color w:val="auto"/>
        </w:rPr>
        <w:t>Amdocs Offshore resources working on this SOW may be located at AT&amp;T-approved locations found in the Master Services Agreement, and at the following address(es):</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&lt;Address Number Street and Room&gt;</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&lt;City, State/Province Zip&gt;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&lt;Country&gt;</w:t>
      </w:r>
    </w:p>
    <w:p>
      <w:pPr>
        <w:spacing w:after="0" w:line="103" w:lineRule="exact"/>
        <w:rPr>
          <w:sz w:val="20"/>
          <w:szCs w:val="20"/>
          <w:color w:val="auto"/>
        </w:rPr>
      </w:pPr>
    </w:p>
    <w:p>
      <w:pPr>
        <w:ind w:left="1000" w:right="620"/>
        <w:spacing w:after="0" w:line="277" w:lineRule="auto"/>
        <w:rPr>
          <w:sz w:val="20"/>
          <w:szCs w:val="20"/>
          <w:color w:val="auto"/>
        </w:rPr>
      </w:pPr>
      <w:r>
        <w:rPr>
          <w:rFonts w:ascii="Arial" w:cs="Arial" w:eastAsia="Arial" w:hAnsi="Arial"/>
          <w:sz w:val="18"/>
          <w:szCs w:val="18"/>
          <w:color w:val="auto"/>
        </w:rPr>
        <w:t>Amdocs Offshore resources can only access AT&amp;T Systems/data in accordance with the Master Services Agreement, Appendix D, “Security and Offshore Requirements”.</w:t>
      </w:r>
    </w:p>
    <w:p>
      <w:pPr>
        <w:spacing w:after="0" w:line="72" w:lineRule="exact"/>
        <w:rPr>
          <w:sz w:val="20"/>
          <w:szCs w:val="20"/>
          <w:color w:val="auto"/>
        </w:rPr>
      </w:pPr>
    </w:p>
    <w:p>
      <w:pPr>
        <w:ind w:left="980" w:hanging="544"/>
        <w:spacing w:after="0"/>
        <w:tabs>
          <w:tab w:leader="none" w:pos="9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USA-Based Resources:</w:t>
      </w:r>
    </w:p>
    <w:p>
      <w:pPr>
        <w:spacing w:after="0" w:line="121" w:lineRule="exact"/>
        <w:rPr>
          <w:rFonts w:ascii="Arial" w:cs="Arial" w:eastAsia="Arial" w:hAnsi="Arial"/>
          <w:sz w:val="18"/>
          <w:szCs w:val="18"/>
          <w:b w:val="1"/>
          <w:bCs w:val="1"/>
          <w:color w:val="auto"/>
        </w:rPr>
      </w:pPr>
    </w:p>
    <w:p>
      <w:pPr>
        <w:ind w:left="1000"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USA-based resources shall work pursuant to the general directions provided by AT&amp;T to Amdocs towards the assigned milestones but shall not in any way be deemed to be employees of AT&amp;T.</w:t>
      </w:r>
    </w:p>
    <w:p>
      <w:pPr>
        <w:spacing w:after="0" w:line="71" w:lineRule="exact"/>
        <w:rPr>
          <w:rFonts w:ascii="Arial" w:cs="Arial" w:eastAsia="Arial" w:hAnsi="Arial"/>
          <w:sz w:val="18"/>
          <w:szCs w:val="18"/>
          <w:b w:val="1"/>
          <w:bCs w:val="1"/>
          <w:color w:val="auto"/>
        </w:rPr>
      </w:pPr>
    </w:p>
    <w:p>
      <w:pPr>
        <w:ind w:left="980" w:hanging="544"/>
        <w:spacing w:after="0"/>
        <w:tabs>
          <w:tab w:leader="none" w:pos="9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Staffing Details:</w:t>
      </w:r>
    </w:p>
    <w:p>
      <w:pPr>
        <w:spacing w:after="0" w:line="121" w:lineRule="exact"/>
        <w:rPr>
          <w:rFonts w:ascii="Arial" w:cs="Arial" w:eastAsia="Arial" w:hAnsi="Arial"/>
          <w:sz w:val="18"/>
          <w:szCs w:val="18"/>
          <w:b w:val="1"/>
          <w:bCs w:val="1"/>
          <w:color w:val="auto"/>
        </w:rPr>
      </w:pPr>
    </w:p>
    <w:p>
      <w:pPr>
        <w:ind w:left="1000" w:right="5320"/>
        <w:spacing w:after="0" w:line="483" w:lineRule="auto"/>
        <w:rPr>
          <w:rFonts w:ascii="Arial" w:cs="Arial" w:eastAsia="Arial" w:hAnsi="Arial"/>
          <w:sz w:val="18"/>
          <w:szCs w:val="18"/>
          <w:b w:val="1"/>
          <w:bCs w:val="1"/>
          <w:color w:val="auto"/>
        </w:rPr>
      </w:pPr>
      <w:r>
        <w:rPr>
          <w:rFonts w:ascii="Arial" w:cs="Arial" w:eastAsia="Arial" w:hAnsi="Arial"/>
          <w:sz w:val="16"/>
          <w:szCs w:val="16"/>
          <w:color w:val="auto"/>
        </w:rPr>
        <w:t>Planned roles and full time equivalent (“FTE”) resources needed: &lt;Table below is an example and may be modified as required&gt;</w:t>
      </w:r>
    </w:p>
    <w:p>
      <w:pPr>
        <w:spacing w:after="0" w:line="34" w:lineRule="exact"/>
        <w:rPr>
          <w:sz w:val="20"/>
          <w:szCs w:val="20"/>
          <w:color w:val="auto"/>
        </w:rPr>
      </w:pPr>
    </w:p>
    <w:p>
      <w:pPr>
        <w:ind w:left="1340"/>
        <w:spacing w:after="0"/>
        <w:tabs>
          <w:tab w:leader="none" w:pos="3820" w:val="left"/>
          <w:tab w:leader="none" w:pos="6700" w:val="left"/>
          <w:tab w:leader="none" w:pos="9700" w:val="left"/>
        </w:tabs>
        <w:rPr>
          <w:sz w:val="20"/>
          <w:szCs w:val="20"/>
          <w:color w:val="auto"/>
        </w:rPr>
      </w:pPr>
      <w:r>
        <w:rPr>
          <w:rFonts w:ascii="Arial" w:cs="Arial" w:eastAsia="Arial" w:hAnsi="Arial"/>
          <w:sz w:val="14"/>
          <w:szCs w:val="14"/>
          <w:b w:val="1"/>
          <w:bCs w:val="1"/>
          <w:color w:val="auto"/>
        </w:rPr>
        <w:t>Role</w:t>
      </w:r>
      <w:r>
        <w:rPr>
          <w:sz w:val="20"/>
          <w:szCs w:val="20"/>
          <w:color w:val="auto"/>
        </w:rPr>
        <w:tab/>
      </w:r>
      <w:r>
        <w:rPr>
          <w:rFonts w:ascii="Arial" w:cs="Arial" w:eastAsia="Arial" w:hAnsi="Arial"/>
          <w:sz w:val="14"/>
          <w:szCs w:val="14"/>
          <w:b w:val="1"/>
          <w:bCs w:val="1"/>
          <w:color w:val="auto"/>
        </w:rPr>
        <w:t>USA-Based FTEs</w:t>
      </w:r>
      <w:r>
        <w:rPr>
          <w:sz w:val="20"/>
          <w:szCs w:val="20"/>
          <w:color w:val="auto"/>
        </w:rPr>
        <w:tab/>
      </w:r>
      <w:r>
        <w:rPr>
          <w:rFonts w:ascii="Arial" w:cs="Arial" w:eastAsia="Arial" w:hAnsi="Arial"/>
          <w:sz w:val="14"/>
          <w:szCs w:val="14"/>
          <w:b w:val="1"/>
          <w:bCs w:val="1"/>
          <w:color w:val="auto"/>
        </w:rPr>
        <w:t>Offshore FTEs</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6997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40" w:hanging="436"/>
        <w:spacing w:after="0"/>
        <w:tabs>
          <w:tab w:leader="none" w:pos="4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Deliverables/Release Items:</w:t>
      </w:r>
    </w:p>
    <w:p>
      <w:pPr>
        <w:spacing w:after="0" w:line="121" w:lineRule="exact"/>
        <w:rPr>
          <w:rFonts w:ascii="Arial" w:cs="Arial" w:eastAsia="Arial" w:hAnsi="Arial"/>
          <w:sz w:val="18"/>
          <w:szCs w:val="18"/>
          <w:b w:val="1"/>
          <w:bCs w:val="1"/>
          <w:color w:val="auto"/>
        </w:rPr>
      </w:pPr>
    </w:p>
    <w:p>
      <w:pPr>
        <w:ind w:left="440" w:right="198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Amdocs will provide the deliverables and/or release items for the Project as defined in this Section and the table below. &lt;Table below is an example and may be modified as required&gt;</w:t>
      </w:r>
    </w:p>
    <w:p>
      <w:pPr>
        <w:spacing w:after="0" w:line="82" w:lineRule="exact"/>
        <w:rPr>
          <w:sz w:val="20"/>
          <w:szCs w:val="20"/>
          <w:color w:val="auto"/>
        </w:rPr>
      </w:pPr>
    </w:p>
    <w:p>
      <w:pPr>
        <w:ind w:left="1060"/>
        <w:spacing w:after="0"/>
        <w:tabs>
          <w:tab w:leader="none" w:pos="4000" w:val="left"/>
          <w:tab w:leader="none" w:pos="6800" w:val="left"/>
          <w:tab w:leader="none" w:pos="9100" w:val="left"/>
        </w:tabs>
        <w:rPr>
          <w:sz w:val="20"/>
          <w:szCs w:val="20"/>
          <w:color w:val="auto"/>
        </w:rPr>
      </w:pPr>
      <w:r>
        <w:rPr>
          <w:rFonts w:ascii="Arial" w:cs="Arial" w:eastAsia="Arial" w:hAnsi="Arial"/>
          <w:sz w:val="14"/>
          <w:szCs w:val="14"/>
          <w:b w:val="1"/>
          <w:bCs w:val="1"/>
          <w:color w:val="auto"/>
        </w:rPr>
        <w:t>Milestone No.</w:t>
      </w:r>
      <w:r>
        <w:rPr>
          <w:sz w:val="20"/>
          <w:szCs w:val="20"/>
          <w:color w:val="auto"/>
        </w:rPr>
        <w:tab/>
      </w:r>
      <w:r>
        <w:rPr>
          <w:rFonts w:ascii="Arial" w:cs="Arial" w:eastAsia="Arial" w:hAnsi="Arial"/>
          <w:sz w:val="14"/>
          <w:szCs w:val="14"/>
          <w:b w:val="1"/>
          <w:bCs w:val="1"/>
          <w:color w:val="auto"/>
        </w:rPr>
        <w:t>Deliverable</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Estimated Delivery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6997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40" w:right="4200" w:hanging="436"/>
        <w:spacing w:after="0" w:line="407" w:lineRule="auto"/>
        <w:tabs>
          <w:tab w:leader="none" w:pos="432"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Components: &lt;</w:t>
      </w:r>
      <w:r>
        <w:rPr>
          <w:rFonts w:ascii="Arial" w:cs="Arial" w:eastAsia="Arial" w:hAnsi="Arial"/>
          <w:sz w:val="18"/>
          <w:szCs w:val="18"/>
          <w:color w:val="auto"/>
        </w:rPr>
        <w:t>Enter details below, “None” is acceptable and delete table&gt;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applications are included in the scope of this SOW.</w:t>
      </w:r>
    </w:p>
    <w:p>
      <w:pPr>
        <w:spacing w:after="0" w:line="77"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MOTS ID</w:t>
            </w:r>
          </w:p>
        </w:tc>
        <w:tc>
          <w:tcPr>
            <w:tcW w:w="5140" w:type="dxa"/>
            <w:vAlign w:val="bottom"/>
            <w:gridSpan w:val="3"/>
          </w:tcPr>
          <w:p>
            <w:pPr>
              <w:ind w:left="3360"/>
              <w:spacing w:after="0"/>
              <w:rPr>
                <w:sz w:val="20"/>
                <w:szCs w:val="20"/>
                <w:color w:val="auto"/>
              </w:rPr>
            </w:pPr>
            <w:r>
              <w:rPr>
                <w:rFonts w:ascii="Arial" w:cs="Arial" w:eastAsia="Arial" w:hAnsi="Arial"/>
                <w:sz w:val="14"/>
                <w:szCs w:val="14"/>
                <w:b w:val="1"/>
                <w:bCs w:val="1"/>
                <w:color w:val="auto"/>
              </w:rPr>
              <w:t>Application Name</w:t>
            </w:r>
          </w:p>
        </w:tc>
        <w:tc>
          <w:tcPr>
            <w:tcW w:w="2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 of time spent on Application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gridSpan w:val="3"/>
          </w:tcPr>
          <w:p>
            <w:pPr>
              <w:ind w:left="2440"/>
              <w:spacing w:after="0"/>
              <w:rPr>
                <w:sz w:val="20"/>
                <w:szCs w:val="20"/>
                <w:color w:val="auto"/>
              </w:rPr>
            </w:pPr>
            <w:r>
              <w:rPr>
                <w:rFonts w:ascii="Arial" w:cs="Arial" w:eastAsia="Arial" w:hAnsi="Arial"/>
                <w:sz w:val="18"/>
                <w:szCs w:val="18"/>
                <w:b w:val="1"/>
                <w:bCs w:val="1"/>
                <w:color w:val="auto"/>
              </w:rPr>
              <w:t>Proprietary and Confidential</w:t>
            </w: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left="460" w:right="20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ind w:left="440" w:hanging="436"/>
        <w:spacing w:after="0"/>
        <w:tabs>
          <w:tab w:leader="none" w:pos="4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Amdocs Responsibilities: &lt;</w:t>
      </w:r>
      <w:r>
        <w:rPr>
          <w:rFonts w:ascii="Arial" w:cs="Arial" w:eastAsia="Arial" w:hAnsi="Arial"/>
          <w:sz w:val="18"/>
          <w:szCs w:val="18"/>
          <w:color w:val="auto"/>
        </w:rPr>
        <w:t>Enter details below, “None” is acceptable&gt;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In addition to providing the deliverables herein, Amdocs will be responsible for the following:</w:t>
      </w:r>
    </w:p>
    <w:p>
      <w:pPr>
        <w:spacing w:after="0" w:line="130" w:lineRule="exact"/>
        <w:rPr>
          <w:rFonts w:ascii="Arial" w:cs="Arial" w:eastAsia="Arial" w:hAnsi="Arial"/>
          <w:sz w:val="18"/>
          <w:szCs w:val="18"/>
          <w:b w:val="1"/>
          <w:bCs w:val="1"/>
          <w:color w:val="auto"/>
        </w:rPr>
      </w:pPr>
    </w:p>
    <w:p>
      <w:pPr>
        <w:ind w:left="1420" w:hanging="322"/>
        <w:spacing w:after="0"/>
        <w:tabs>
          <w:tab w:leader="none" w:pos="14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&lt;List additional Amdocs Responsibilities&gt;</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AT&amp;T Responsibilities: &lt;</w:t>
      </w:r>
      <w:r>
        <w:rPr>
          <w:rFonts w:ascii="Arial" w:cs="Arial" w:eastAsia="Arial" w:hAnsi="Arial"/>
          <w:sz w:val="18"/>
          <w:szCs w:val="18"/>
          <w:color w:val="auto"/>
        </w:rPr>
        <w:t>Enter details below, “None” is acceptable&gt;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In addition to AT&amp;T Responsibilities defined in Section 3.43f of the Master Services Agreement, AT&amp;T will be responsible for the following:</w:t>
      </w:r>
    </w:p>
    <w:p>
      <w:pPr>
        <w:spacing w:after="0" w:line="142" w:lineRule="exact"/>
        <w:rPr>
          <w:rFonts w:ascii="Arial" w:cs="Arial" w:eastAsia="Arial" w:hAnsi="Arial"/>
          <w:sz w:val="18"/>
          <w:szCs w:val="18"/>
          <w:b w:val="1"/>
          <w:bCs w:val="1"/>
          <w:color w:val="auto"/>
        </w:rPr>
      </w:pPr>
    </w:p>
    <w:p>
      <w:pPr>
        <w:ind w:left="1420" w:hanging="322"/>
        <w:spacing w:after="0"/>
        <w:tabs>
          <w:tab w:leader="none" w:pos="14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&lt;List additional AT&amp;T Responsibilities&gt;</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rFonts w:ascii="Arial" w:cs="Arial" w:eastAsia="Arial" w:hAnsi="Arial"/>
          <w:sz w:val="18"/>
          <w:szCs w:val="18"/>
          <w:b w:val="1"/>
          <w:bCs w:val="1"/>
          <w:color w:val="auto"/>
        </w:rPr>
      </w:pPr>
    </w:p>
    <w:p>
      <w:pPr>
        <w:ind w:left="44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is a &lt;fixed price or Time and Materials (“T&amp;M”)&gt; SOW for the total amount of &lt;Enter amount&gt; for the Work effort. The total price is based on &lt;Enter basis for pricing, e.g. rate, monthly or hourly, any proration, and/or assumed hours&gt;.</w:t>
      </w:r>
    </w:p>
    <w:p>
      <w:pPr>
        <w:spacing w:after="0" w:line="62" w:lineRule="exact"/>
        <w:rPr>
          <w:rFonts w:ascii="Arial" w:cs="Arial" w:eastAsia="Arial" w:hAnsi="Arial"/>
          <w:sz w:val="18"/>
          <w:szCs w:val="18"/>
          <w:b w:val="1"/>
          <w:bCs w:val="1"/>
          <w:color w:val="auto"/>
        </w:rPr>
      </w:pPr>
    </w:p>
    <w:p>
      <w:pPr>
        <w:ind w:left="440" w:right="262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&lt;Enter Travel and living expenses language in accordance with the Master Services Agreement, if applicable&gt; The following table represents the payment schedule for this SOW:</w:t>
      </w:r>
    </w:p>
    <w:p>
      <w:pPr>
        <w:spacing w:after="0" w:line="58"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Payment Schedule: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11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Activity</w:t>
            </w:r>
          </w:p>
        </w:tc>
        <w:tc>
          <w:tcPr>
            <w:tcW w:w="3280" w:type="dxa"/>
            <w:vAlign w:val="bottom"/>
            <w:gridSpan w:val="2"/>
            <w:vMerge w:val="restart"/>
          </w:tcPr>
          <w:p>
            <w:pPr>
              <w:ind w:left="2940"/>
              <w:spacing w:after="0"/>
              <w:rPr>
                <w:sz w:val="20"/>
                <w:szCs w:val="20"/>
                <w:color w:val="auto"/>
              </w:rPr>
            </w:pPr>
            <w:r>
              <w:rPr>
                <w:rFonts w:ascii="Arial" w:cs="Arial" w:eastAsia="Arial" w:hAnsi="Arial"/>
                <w:sz w:val="14"/>
                <w:szCs w:val="14"/>
                <w:b w:val="1"/>
                <w:bCs w:val="1"/>
                <w:color w:val="auto"/>
                <w:w w:val="93"/>
              </w:rPr>
              <w:t>FTEs</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w w:val="92"/>
              </w:rPr>
              <w:t>Rate</w:t>
            </w:r>
          </w:p>
        </w:tc>
        <w:tc>
          <w:tcPr>
            <w:tcW w:w="14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w w:val="91"/>
              </w:rPr>
              <w:t>Total Invoice</w:t>
            </w:r>
          </w:p>
        </w:tc>
        <w:tc>
          <w:tcPr>
            <w:tcW w:w="112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5"/>
              </w:rPr>
              <w:t>Invoice</w:t>
            </w:r>
          </w:p>
        </w:tc>
        <w:tc>
          <w:tcPr>
            <w:tcW w:w="0" w:type="dxa"/>
            <w:vAlign w:val="bottom"/>
          </w:tcPr>
          <w:p>
            <w:pPr>
              <w:spacing w:after="0"/>
              <w:rPr>
                <w:sz w:val="1"/>
                <w:szCs w:val="1"/>
                <w:color w:val="auto"/>
              </w:rPr>
            </w:pPr>
          </w:p>
        </w:tc>
      </w:tr>
      <w:tr>
        <w:trPr>
          <w:trHeight w:val="169"/>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During</w:t>
            </w:r>
          </w:p>
        </w:tc>
        <w:tc>
          <w:tcPr>
            <w:tcW w:w="32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440"/>
        <w:spacing w:after="0"/>
        <w:rPr>
          <w:sz w:val="20"/>
          <w:szCs w:val="20"/>
          <w:color w:val="auto"/>
        </w:rPr>
      </w:pPr>
      <w:r>
        <w:rPr>
          <w:rFonts w:ascii="Arial" w:cs="Arial" w:eastAsia="Arial" w:hAnsi="Arial"/>
          <w:sz w:val="18"/>
          <w:szCs w:val="18"/>
          <w:b w:val="1"/>
          <w:bCs w:val="1"/>
          <w:color w:val="auto"/>
        </w:rPr>
        <w:t>Total</w:t>
      </w:r>
    </w:p>
    <w:p>
      <w:pPr>
        <w:spacing w:after="0" w:line="234" w:lineRule="exact"/>
        <w:rPr>
          <w:sz w:val="20"/>
          <w:szCs w:val="20"/>
          <w:color w:val="auto"/>
        </w:rPr>
      </w:pPr>
    </w:p>
    <w:p>
      <w:pPr>
        <w:ind w:left="440" w:hanging="436"/>
        <w:spacing w:after="0"/>
        <w:tabs>
          <w:tab w:leader="none" w:pos="4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Project Managers:</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AT&amp;T:</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Amdocs:</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&lt;Amdocs PM Contact Name&gt;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email@amdocs.com</w:t>
      </w:r>
      <w:r>
        <w:rPr>
          <w:rFonts w:ascii="Arial" w:cs="Arial" w:eastAsia="Arial" w:hAnsi="Arial"/>
          <w:sz w:val="18"/>
          <w:szCs w:val="18"/>
          <w:color w:val="auto"/>
        </w:rPr>
        <w:t>&gt;</w:t>
      </w:r>
    </w:p>
    <w:p>
      <w:pPr>
        <w:spacing w:after="0" w:line="112" w:lineRule="exact"/>
        <w:rPr>
          <w:sz w:val="20"/>
          <w:szCs w:val="20"/>
          <w:color w:val="auto"/>
        </w:rPr>
      </w:pPr>
    </w:p>
    <w:p>
      <w:pPr>
        <w:ind w:left="440" w:hanging="436"/>
        <w:spacing w:after="0"/>
        <w:tabs>
          <w:tab w:leader="none" w:pos="4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Special Terms and Conditions:</w:t>
      </w:r>
    </w:p>
    <w:p>
      <w:pPr>
        <w:spacing w:after="0" w:line="13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Invoice/Billing</w:t>
      </w:r>
    </w:p>
    <w:p>
      <w:pPr>
        <w:spacing w:after="0" w:line="121"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Invoices and billing information are to be sent electronically to:</w:t>
      </w:r>
    </w:p>
    <w:p>
      <w:pPr>
        <w:spacing w:after="0" w:line="11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&lt;Enter applicable AT&amp;T Business Unit/Finance Name&gt;: &lt;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Copies of all invoices are to be sent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AT&amp;T will notify Amdocs of any changes regarding invoices and billing information at &lt;Enter Phone Number (xxx)xxx-xxxx&gt; or email:</w:t>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NAME@amdocs.com</w:t>
      </w:r>
      <w:r>
        <w:rPr>
          <w:rFonts w:ascii="Arial" w:cs="Arial" w:eastAsia="Arial" w:hAnsi="Arial"/>
          <w:sz w:val="18"/>
          <w:szCs w:val="18"/>
          <w:color w:val="auto"/>
        </w:rPr>
        <w:t>&gt;.</w:t>
      </w:r>
    </w:p>
    <w:p>
      <w:pPr>
        <w:spacing w:after="0" w:line="112" w:lineRule="exact"/>
        <w:rPr>
          <w:sz w:val="20"/>
          <w:szCs w:val="20"/>
          <w:color w:val="auto"/>
        </w:rPr>
      </w:pPr>
    </w:p>
    <w:p>
      <w:pPr>
        <w:ind w:left="440" w:hanging="436"/>
        <w:spacing w:after="0"/>
        <w:tabs>
          <w:tab w:leader="none" w:pos="4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Liquidated Damages for Delay in Delivery:</w:t>
      </w:r>
    </w:p>
    <w:p>
      <w:pPr>
        <w:spacing w:after="0" w:line="121" w:lineRule="exact"/>
        <w:rPr>
          <w:rFonts w:ascii="Arial" w:cs="Arial" w:eastAsia="Arial" w:hAnsi="Arial"/>
          <w:sz w:val="18"/>
          <w:szCs w:val="18"/>
          <w:b w:val="1"/>
          <w:bCs w:val="1"/>
          <w:color w:val="auto"/>
        </w:rPr>
      </w:pPr>
    </w:p>
    <w:p>
      <w:pPr>
        <w:ind w:left="44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Delayed Delivery Dates under this Custom Software SOW shall be handled in accordance with Section 4.9, “Liquidated Damages for Delay in Delivery,” of the Master Services Agreement.</w:t>
      </w:r>
    </w:p>
    <w:p>
      <w:pPr>
        <w:spacing w:after="0" w:line="71" w:lineRule="exact"/>
        <w:rPr>
          <w:rFonts w:ascii="Arial" w:cs="Arial" w:eastAsia="Arial" w:hAnsi="Arial"/>
          <w:sz w:val="18"/>
          <w:szCs w:val="18"/>
          <w:b w:val="1"/>
          <w:bCs w:val="1"/>
          <w:color w:val="auto"/>
        </w:rPr>
      </w:pPr>
    </w:p>
    <w:p>
      <w:pPr>
        <w:ind w:left="440" w:hanging="436"/>
        <w:spacing w:after="0"/>
        <w:tabs>
          <w:tab w:leader="none" w:pos="4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Error Severity Level Description And Resolution Plan:</w:t>
      </w:r>
    </w:p>
    <w:p>
      <w:pPr>
        <w:spacing w:after="0" w:line="121" w:lineRule="exact"/>
        <w:rPr>
          <w:rFonts w:ascii="Arial" w:cs="Arial" w:eastAsia="Arial" w:hAnsi="Arial"/>
          <w:sz w:val="18"/>
          <w:szCs w:val="18"/>
          <w:b w:val="1"/>
          <w:bCs w:val="1"/>
          <w:color w:val="auto"/>
        </w:rPr>
      </w:pPr>
    </w:p>
    <w:p>
      <w:pPr>
        <w:ind w:left="44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Errors found in the Custom Software or Ongoing Support provided under this SOW shall be handled in accordance with Section 4.8, “Error Severity Level Description And Resolution Plan,” of the Master Services Agreement.</w:t>
      </w:r>
    </w:p>
    <w:p>
      <w:pPr>
        <w:spacing w:after="0" w:line="71" w:lineRule="exact"/>
        <w:rPr>
          <w:rFonts w:ascii="Arial" w:cs="Arial" w:eastAsia="Arial" w:hAnsi="Arial"/>
          <w:sz w:val="18"/>
          <w:szCs w:val="18"/>
          <w:b w:val="1"/>
          <w:bCs w:val="1"/>
          <w:color w:val="auto"/>
        </w:rPr>
      </w:pPr>
    </w:p>
    <w:p>
      <w:pPr>
        <w:ind w:left="440" w:hanging="436"/>
        <w:spacing w:after="0"/>
        <w:tabs>
          <w:tab w:leader="none" w:pos="4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21" w:lineRule="exact"/>
        <w:rPr>
          <w:rFonts w:ascii="Arial" w:cs="Arial" w:eastAsia="Arial" w:hAnsi="Arial"/>
          <w:sz w:val="18"/>
          <w:szCs w:val="18"/>
          <w:b w:val="1"/>
          <w:bCs w:val="1"/>
          <w:color w:val="auto"/>
        </w:rPr>
      </w:pPr>
    </w:p>
    <w:p>
      <w:pPr>
        <w:ind w:left="44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Payment terms for invoices issued under this SOW shall be in accordance with Section 3.19, “Invoicing and Payment” of the Master Services Agreement, which is, as of the Effective Date of this SOW, net days from the date of receipt of the invoice.</w:t>
      </w:r>
    </w:p>
    <w:p>
      <w:pPr>
        <w:spacing w:after="0" w:line="9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ind w:left="440" w:hanging="436"/>
        <w:spacing w:after="0"/>
        <w:tabs>
          <w:tab w:leader="none" w:pos="4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Paid-For Development:</w:t>
      </w:r>
    </w:p>
    <w:p>
      <w:pPr>
        <w:spacing w:after="0" w:line="121" w:lineRule="exact"/>
        <w:rPr>
          <w:rFonts w:ascii="Arial" w:cs="Arial" w:eastAsia="Arial" w:hAnsi="Arial"/>
          <w:sz w:val="18"/>
          <w:szCs w:val="18"/>
          <w:b w:val="1"/>
          <w:bCs w:val="1"/>
          <w:color w:val="auto"/>
        </w:rPr>
      </w:pPr>
    </w:p>
    <w:p>
      <w:pPr>
        <w:ind w:left="44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avoidance of doubt, and for purposes of interpreting AT&amp;T’s right to Program Material and Documentation created hereunder, title to all Work output hereunder shall be determined in accordance with the Master Services Agreement, Section 3.27, “Ownership of Paid-For Development, Use and Reservation of Rights”.</w:t>
      </w:r>
    </w:p>
    <w:p>
      <w:pPr>
        <w:spacing w:after="0" w:line="82" w:lineRule="exact"/>
        <w:rPr>
          <w:rFonts w:ascii="Arial" w:cs="Arial" w:eastAsia="Arial" w:hAnsi="Arial"/>
          <w:sz w:val="18"/>
          <w:szCs w:val="18"/>
          <w:b w:val="1"/>
          <w:bCs w:val="1"/>
          <w:color w:val="auto"/>
        </w:rPr>
      </w:pPr>
    </w:p>
    <w:p>
      <w:pPr>
        <w:ind w:left="440" w:hanging="436"/>
        <w:spacing w:after="0"/>
        <w:tabs>
          <w:tab w:leader="none" w:pos="4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121" w:lineRule="exact"/>
        <w:rPr>
          <w:rFonts w:ascii="Arial" w:cs="Arial" w:eastAsia="Arial" w:hAnsi="Arial"/>
          <w:sz w:val="18"/>
          <w:szCs w:val="18"/>
          <w:b w:val="1"/>
          <w:bCs w:val="1"/>
          <w:color w:val="auto"/>
        </w:rPr>
      </w:pPr>
    </w:p>
    <w:p>
      <w:pPr>
        <w:ind w:left="4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addition to all other rights provided by Section 3.16, “Information”, pursuant to the Master Services Agreement, any Information received by Amdocs from AT&amp;T or other parties engaged in this Work shall be considered and treated as confidential Information under the SOW, regardless of any requirement to put it in writing under the Master Services Agreement or separate Non-Disclosure Agreement (NDA).</w:t>
      </w:r>
    </w:p>
    <w:p>
      <w:pPr>
        <w:spacing w:after="0" w:line="66" w:lineRule="exact"/>
        <w:rPr>
          <w:rFonts w:ascii="Arial" w:cs="Arial" w:eastAsia="Arial" w:hAnsi="Arial"/>
          <w:sz w:val="18"/>
          <w:szCs w:val="18"/>
          <w:b w:val="1"/>
          <w:bCs w:val="1"/>
          <w:color w:val="auto"/>
        </w:rPr>
      </w:pPr>
    </w:p>
    <w:p>
      <w:pPr>
        <w:ind w:left="440" w:hanging="436"/>
        <w:spacing w:after="0"/>
        <w:tabs>
          <w:tab w:leader="none" w:pos="4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left="44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Termination and Partial Termination provisions applicable to this SOW are contained in Section 3.36, “Termination”, of the Master Services Agreement.</w:t>
      </w:r>
    </w:p>
    <w:p>
      <w:pPr>
        <w:spacing w:after="0" w:line="9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C – Offshore Locations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Parties agree that the following are AT&amp;T-approved locations as of the Effective Date of this Agreement and any modifications to this list shall be managed in accordance with Section 3.24.</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Country(ies) where services are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940" w:type="dxa"/>
            <w:vAlign w:val="bottom"/>
            <w:gridSpan w:val="2"/>
          </w:tcPr>
          <w:p>
            <w:pPr>
              <w:jc w:val="center"/>
              <w:ind w:left="534"/>
              <w:spacing w:after="0" w:line="149" w:lineRule="exact"/>
              <w:rPr>
                <w:sz w:val="20"/>
                <w:szCs w:val="20"/>
                <w:color w:val="auto"/>
              </w:rPr>
            </w:pPr>
            <w:r>
              <w:rPr>
                <w:rFonts w:ascii="Arial" w:cs="Arial" w:eastAsia="Arial" w:hAnsi="Arial"/>
                <w:sz w:val="14"/>
                <w:szCs w:val="14"/>
                <w:b w:val="1"/>
                <w:bCs w:val="1"/>
                <w:color w:val="auto"/>
                <w:w w:val="95"/>
              </w:rPr>
              <w:t>authorized by AT&amp;T to be performed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(physical location address is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also required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if the Services involve Information</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City(ies)</w:t>
            </w: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Supplier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Technology-related work or if a</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9"/>
              </w:rPr>
              <w:t>“virtual”</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2"/>
            <w:vMerge w:val="restart"/>
          </w:tcPr>
          <w:p>
            <w:pPr>
              <w:jc w:val="center"/>
              <w:ind w:left="574"/>
              <w:spacing w:after="0" w:line="139" w:lineRule="exact"/>
              <w:rPr>
                <w:sz w:val="20"/>
                <w:szCs w:val="20"/>
                <w:color w:val="auto"/>
              </w:rPr>
            </w:pPr>
            <w:r>
              <w:rPr>
                <w:rFonts w:ascii="Arial" w:cs="Arial" w:eastAsia="Arial" w:hAnsi="Arial"/>
                <w:sz w:val="14"/>
                <w:szCs w:val="14"/>
                <w:b w:val="1"/>
                <w:bCs w:val="1"/>
                <w:color w:val="auto"/>
                <w:w w:val="90"/>
              </w:rPr>
              <w:t>Services to be performed</w:t>
            </w:r>
          </w:p>
        </w:tc>
        <w:tc>
          <w:tcPr>
            <w:tcW w:w="680" w:type="dxa"/>
            <w:vAlign w:val="bottom"/>
          </w:tcPr>
          <w:p>
            <w:pPr>
              <w:spacing w:after="0" w:line="20" w:lineRule="exact"/>
              <w:rPr>
                <w:sz w:val="1"/>
                <w:szCs w:val="1"/>
                <w:color w:val="auto"/>
              </w:rPr>
            </w:pPr>
          </w:p>
        </w:tc>
        <w:tc>
          <w:tcPr>
            <w:tcW w:w="14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Supplier Affiliate, and/</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4"/>
              </w:rPr>
              <w:t>where services</w:t>
            </w:r>
          </w:p>
        </w:tc>
        <w:tc>
          <w:tcPr>
            <w:tcW w:w="22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“work-from-home” address is</w:t>
            </w:r>
          </w:p>
        </w:tc>
        <w:tc>
          <w:tcPr>
            <w:tcW w:w="1780" w:type="dxa"/>
            <w:vAlign w:val="bottom"/>
            <w:gridSpan w:val="4"/>
          </w:tcPr>
          <w:p>
            <w:pPr>
              <w:jc w:val="center"/>
              <w:ind w:left="594"/>
              <w:spacing w:after="0" w:line="149" w:lineRule="exact"/>
              <w:rPr>
                <w:sz w:val="20"/>
                <w:szCs w:val="20"/>
                <w:color w:val="auto"/>
              </w:rPr>
            </w:pPr>
            <w:r>
              <w:rPr>
                <w:rFonts w:ascii="Arial" w:cs="Arial" w:eastAsia="Arial" w:hAnsi="Arial"/>
                <w:sz w:val="14"/>
                <w:szCs w:val="14"/>
                <w:b w:val="1"/>
                <w:bCs w:val="1"/>
                <w:color w:val="auto"/>
                <w:w w:val="94"/>
              </w:rPr>
              <w:t>will be performed</w:t>
            </w:r>
          </w:p>
        </w:tc>
        <w:tc>
          <w:tcPr>
            <w:tcW w:w="6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at approved Physical</w:t>
            </w:r>
          </w:p>
        </w:tc>
        <w:tc>
          <w:tcPr>
            <w:tcW w:w="6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Subcontractor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68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for AT&amp;T</w:t>
            </w:r>
          </w:p>
        </w:tc>
        <w:tc>
          <w:tcPr>
            <w:tcW w:w="6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2140" w:type="dxa"/>
            <w:vAlign w:val="bottom"/>
            <w:gridSpan w:val="2"/>
          </w:tcPr>
          <w:p>
            <w:pPr>
              <w:jc w:val="center"/>
              <w:ind w:left="594"/>
              <w:spacing w:after="0"/>
              <w:rPr>
                <w:sz w:val="20"/>
                <w:szCs w:val="20"/>
                <w:color w:val="auto"/>
              </w:rPr>
            </w:pPr>
            <w:r>
              <w:rPr>
                <w:rFonts w:ascii="Arial" w:cs="Arial" w:eastAsia="Arial" w:hAnsi="Arial"/>
                <w:sz w:val="14"/>
                <w:szCs w:val="14"/>
                <w:b w:val="1"/>
                <w:bCs w:val="1"/>
                <w:color w:val="auto"/>
                <w:w w:val="91"/>
              </w:rPr>
              <w:t>performing the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Brazil</w:t>
            </w:r>
          </w:p>
        </w:tc>
        <w:tc>
          <w:tcPr>
            <w:tcW w:w="64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center"/>
              <w:ind w:left="20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Brazil</w:t>
            </w:r>
          </w:p>
        </w:tc>
        <w:tc>
          <w:tcPr>
            <w:tcW w:w="2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20" w:type="dxa"/>
            <w:vAlign w:val="bottom"/>
            <w:gridSpan w:val="2"/>
          </w:tcPr>
          <w:p>
            <w:pPr>
              <w:jc w:val="center"/>
              <w:ind w:left="574"/>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940" w:type="dxa"/>
            <w:vAlign w:val="bottom"/>
            <w:gridSpan w:val="2"/>
            <w:shd w:val="clear" w:color="auto" w:fill="CCEEFF"/>
          </w:tcPr>
          <w:p>
            <w:pPr>
              <w:jc w:val="center"/>
              <w:ind w:left="53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left="574"/>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Brazil</w:t>
            </w:r>
          </w:p>
        </w:tc>
        <w:tc>
          <w:tcPr>
            <w:tcW w:w="2940" w:type="dxa"/>
            <w:vAlign w:val="bottom"/>
            <w:gridSpan w:val="2"/>
          </w:tcPr>
          <w:p>
            <w:pPr>
              <w:jc w:val="center"/>
              <w:ind w:left="534"/>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7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20" w:type="dxa"/>
            <w:vAlign w:val="bottom"/>
            <w:gridSpan w:val="2"/>
          </w:tcPr>
          <w:p>
            <w:pPr>
              <w:jc w:val="center"/>
              <w:ind w:left="574"/>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940" w:type="dxa"/>
            <w:vAlign w:val="bottom"/>
            <w:gridSpan w:val="2"/>
            <w:shd w:val="clear" w:color="auto" w:fill="CCEEFF"/>
          </w:tcPr>
          <w:p>
            <w:pPr>
              <w:jc w:val="center"/>
              <w:ind w:left="53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left="574"/>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1"/>
              </w:rPr>
              <w:t>Country(ies) where services are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80" w:type="dxa"/>
            <w:vAlign w:val="bottom"/>
            <w:gridSpan w:val="2"/>
          </w:tcPr>
          <w:p>
            <w:pPr>
              <w:jc w:val="center"/>
              <w:ind w:left="492"/>
              <w:spacing w:after="0" w:line="149" w:lineRule="exact"/>
              <w:rPr>
                <w:sz w:val="20"/>
                <w:szCs w:val="20"/>
                <w:color w:val="auto"/>
              </w:rPr>
            </w:pPr>
            <w:r>
              <w:rPr>
                <w:rFonts w:ascii="Arial" w:cs="Arial" w:eastAsia="Arial" w:hAnsi="Arial"/>
                <w:sz w:val="14"/>
                <w:szCs w:val="14"/>
                <w:b w:val="1"/>
                <w:bCs w:val="1"/>
                <w:color w:val="auto"/>
                <w:w w:val="94"/>
              </w:rPr>
              <w:t>authorized by AT&amp;T to be performed</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(physical location address is</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also required</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if the Services involve Information</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City(ies)</w:t>
            </w:r>
          </w:p>
        </w:tc>
        <w:tc>
          <w:tcPr>
            <w:tcW w:w="30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Supplier /</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Technology-related work or if a</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3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“virtual”</w:t>
            </w:r>
          </w:p>
        </w:tc>
        <w:tc>
          <w:tcPr>
            <w:tcW w:w="660" w:type="dxa"/>
            <w:vAlign w:val="bottom"/>
          </w:tcPr>
          <w:p>
            <w:pPr>
              <w:spacing w:after="0"/>
              <w:rPr>
                <w:sz w:val="10"/>
                <w:szCs w:val="10"/>
                <w:color w:val="auto"/>
              </w:rPr>
            </w:pPr>
          </w:p>
        </w:tc>
        <w:tc>
          <w:tcPr>
            <w:tcW w:w="11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4"/>
              </w:rPr>
              <w:t>where services</w:t>
            </w:r>
          </w:p>
        </w:tc>
        <w:tc>
          <w:tcPr>
            <w:tcW w:w="2220" w:type="dxa"/>
            <w:vAlign w:val="bottom"/>
            <w:gridSpan w:val="2"/>
          </w:tcPr>
          <w:p>
            <w:pPr>
              <w:jc w:val="center"/>
              <w:ind w:left="553"/>
              <w:spacing w:after="0" w:line="119" w:lineRule="exact"/>
              <w:rPr>
                <w:sz w:val="20"/>
                <w:szCs w:val="20"/>
                <w:color w:val="auto"/>
              </w:rPr>
            </w:pPr>
            <w:r>
              <w:rPr>
                <w:rFonts w:ascii="Arial" w:cs="Arial" w:eastAsia="Arial" w:hAnsi="Arial"/>
                <w:sz w:val="13"/>
                <w:szCs w:val="13"/>
                <w:b w:val="1"/>
                <w:bCs w:val="1"/>
                <w:color w:val="auto"/>
                <w:w w:val="98"/>
              </w:rPr>
              <w:t>Services to be performed</w:t>
            </w:r>
          </w:p>
        </w:tc>
        <w:tc>
          <w:tcPr>
            <w:tcW w:w="660" w:type="dxa"/>
            <w:vAlign w:val="bottom"/>
          </w:tcPr>
          <w:p>
            <w:pPr>
              <w:spacing w:after="0"/>
              <w:rPr>
                <w:sz w:val="10"/>
                <w:szCs w:val="10"/>
                <w:color w:val="auto"/>
              </w:rPr>
            </w:pPr>
          </w:p>
        </w:tc>
        <w:tc>
          <w:tcPr>
            <w:tcW w:w="1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Supplier Affiliate,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“work-from-home” address is</w:t>
            </w:r>
          </w:p>
        </w:tc>
        <w:tc>
          <w:tcPr>
            <w:tcW w:w="1780" w:type="dxa"/>
            <w:vAlign w:val="bottom"/>
            <w:gridSpan w:val="4"/>
          </w:tcPr>
          <w:p>
            <w:pPr>
              <w:jc w:val="center"/>
              <w:ind w:left="552"/>
              <w:spacing w:after="0" w:line="149" w:lineRule="exact"/>
              <w:rPr>
                <w:sz w:val="20"/>
                <w:szCs w:val="20"/>
                <w:color w:val="auto"/>
              </w:rPr>
            </w:pPr>
            <w:r>
              <w:rPr>
                <w:rFonts w:ascii="Arial" w:cs="Arial" w:eastAsia="Arial" w:hAnsi="Arial"/>
                <w:sz w:val="14"/>
                <w:szCs w:val="14"/>
                <w:b w:val="1"/>
                <w:bCs w:val="1"/>
                <w:color w:val="auto"/>
                <w:w w:val="94"/>
              </w:rPr>
              <w:t>will be performed</w:t>
            </w:r>
          </w:p>
        </w:tc>
        <w:tc>
          <w:tcPr>
            <w:tcW w:w="6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at approved Physical</w:t>
            </w:r>
          </w:p>
        </w:tc>
        <w:tc>
          <w:tcPr>
            <w:tcW w:w="6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Subcontractor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66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for AT&amp;T</w:t>
            </w:r>
          </w:p>
        </w:tc>
        <w:tc>
          <w:tcPr>
            <w:tcW w:w="6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120" w:type="dxa"/>
            <w:vAlign w:val="bottom"/>
            <w:gridSpan w:val="2"/>
          </w:tcPr>
          <w:p>
            <w:pPr>
              <w:jc w:val="center"/>
              <w:ind w:left="572"/>
              <w:spacing w:after="0"/>
              <w:rPr>
                <w:sz w:val="20"/>
                <w:szCs w:val="20"/>
                <w:color w:val="auto"/>
              </w:rPr>
            </w:pPr>
            <w:r>
              <w:rPr>
                <w:rFonts w:ascii="Arial" w:cs="Arial" w:eastAsia="Arial" w:hAnsi="Arial"/>
                <w:sz w:val="14"/>
                <w:szCs w:val="14"/>
                <w:b w:val="1"/>
                <w:bCs w:val="1"/>
                <w:color w:val="auto"/>
                <w:w w:val="91"/>
              </w:rPr>
              <w:t>performing the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Brazil</w:t>
            </w:r>
          </w:p>
        </w:tc>
        <w:tc>
          <w:tcPr>
            <w:tcW w:w="5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center"/>
              <w:ind w:left="22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Brazil</w:t>
            </w:r>
          </w:p>
        </w:tc>
        <w:tc>
          <w:tcPr>
            <w:tcW w:w="2880" w:type="dxa"/>
            <w:vAlign w:val="bottom"/>
            <w:gridSpan w:val="2"/>
          </w:tcPr>
          <w:p>
            <w:pPr>
              <w:jc w:val="center"/>
              <w:ind w:left="49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20" w:type="dxa"/>
            <w:vAlign w:val="bottom"/>
            <w:gridSpan w:val="2"/>
          </w:tcPr>
          <w:p>
            <w:pPr>
              <w:jc w:val="center"/>
              <w:ind w:left="573"/>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88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left="573"/>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Brazil</w:t>
            </w:r>
          </w:p>
        </w:tc>
        <w:tc>
          <w:tcPr>
            <w:tcW w:w="2880" w:type="dxa"/>
            <w:vAlign w:val="bottom"/>
            <w:gridSpan w:val="2"/>
          </w:tcPr>
          <w:p>
            <w:pPr>
              <w:jc w:val="center"/>
              <w:ind w:left="49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20" w:type="dxa"/>
            <w:vAlign w:val="bottom"/>
            <w:gridSpan w:val="2"/>
          </w:tcPr>
          <w:p>
            <w:pPr>
              <w:jc w:val="center"/>
              <w:ind w:left="573"/>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88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left="573"/>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Canada</w:t>
            </w:r>
          </w:p>
        </w:tc>
        <w:tc>
          <w:tcPr>
            <w:tcW w:w="2880" w:type="dxa"/>
            <w:vAlign w:val="bottom"/>
            <w:gridSpan w:val="2"/>
          </w:tcPr>
          <w:p>
            <w:pPr>
              <w:jc w:val="center"/>
              <w:ind w:left="49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20" w:type="dxa"/>
            <w:vAlign w:val="bottom"/>
            <w:gridSpan w:val="2"/>
          </w:tcPr>
          <w:p>
            <w:pPr>
              <w:jc w:val="center"/>
              <w:ind w:left="573"/>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Cyprus</w:t>
            </w:r>
          </w:p>
        </w:tc>
        <w:tc>
          <w:tcPr>
            <w:tcW w:w="288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left="573"/>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Cyprus</w:t>
            </w:r>
          </w:p>
        </w:tc>
        <w:tc>
          <w:tcPr>
            <w:tcW w:w="2880" w:type="dxa"/>
            <w:vAlign w:val="bottom"/>
            <w:gridSpan w:val="2"/>
          </w:tcPr>
          <w:p>
            <w:pPr>
              <w:jc w:val="center"/>
              <w:ind w:left="49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20" w:type="dxa"/>
            <w:vAlign w:val="bottom"/>
            <w:gridSpan w:val="2"/>
          </w:tcPr>
          <w:p>
            <w:pPr>
              <w:jc w:val="center"/>
              <w:ind w:left="573"/>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88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left="573"/>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00"/>
          </w:cols>
          <w:pgMar w:left="660" w:top="274" w:right="4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Country(ies) where services are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60" w:type="dxa"/>
            <w:vAlign w:val="bottom"/>
            <w:gridSpan w:val="2"/>
          </w:tcPr>
          <w:p>
            <w:pPr>
              <w:jc w:val="center"/>
              <w:ind w:left="532"/>
              <w:spacing w:after="0" w:line="149" w:lineRule="exact"/>
              <w:rPr>
                <w:sz w:val="20"/>
                <w:szCs w:val="20"/>
                <w:color w:val="auto"/>
              </w:rPr>
            </w:pPr>
            <w:r>
              <w:rPr>
                <w:rFonts w:ascii="Arial" w:cs="Arial" w:eastAsia="Arial" w:hAnsi="Arial"/>
                <w:sz w:val="14"/>
                <w:szCs w:val="14"/>
                <w:b w:val="1"/>
                <w:bCs w:val="1"/>
                <w:color w:val="auto"/>
                <w:w w:val="94"/>
              </w:rPr>
              <w:t>authorized by AT&amp;T to be performed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(physical location address is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also required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if the Services involve Information</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City(ies)</w:t>
            </w: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Supplier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Technology-related work or if a</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9"/>
              </w:rPr>
              <w:t>“virtual”</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2"/>
            <w:vMerge w:val="restart"/>
          </w:tcPr>
          <w:p>
            <w:pPr>
              <w:jc w:val="center"/>
              <w:ind w:left="592"/>
              <w:spacing w:after="0" w:line="139" w:lineRule="exact"/>
              <w:rPr>
                <w:sz w:val="20"/>
                <w:szCs w:val="20"/>
                <w:color w:val="auto"/>
              </w:rPr>
            </w:pPr>
            <w:r>
              <w:rPr>
                <w:rFonts w:ascii="Arial" w:cs="Arial" w:eastAsia="Arial" w:hAnsi="Arial"/>
                <w:sz w:val="14"/>
                <w:szCs w:val="14"/>
                <w:b w:val="1"/>
                <w:bCs w:val="1"/>
                <w:color w:val="auto"/>
                <w:w w:val="90"/>
              </w:rPr>
              <w:t>Services to be performed</w:t>
            </w:r>
          </w:p>
        </w:tc>
        <w:tc>
          <w:tcPr>
            <w:tcW w:w="680" w:type="dxa"/>
            <w:vAlign w:val="bottom"/>
          </w:tcPr>
          <w:p>
            <w:pPr>
              <w:spacing w:after="0" w:line="20" w:lineRule="exact"/>
              <w:rPr>
                <w:sz w:val="1"/>
                <w:szCs w:val="1"/>
                <w:color w:val="auto"/>
              </w:rPr>
            </w:pPr>
          </w:p>
        </w:tc>
        <w:tc>
          <w:tcPr>
            <w:tcW w:w="14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Supplier Affiliate, and/</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where services</w:t>
            </w:r>
          </w:p>
        </w:tc>
        <w:tc>
          <w:tcPr>
            <w:tcW w:w="224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“work-from-home” address is</w:t>
            </w:r>
          </w:p>
        </w:tc>
        <w:tc>
          <w:tcPr>
            <w:tcW w:w="1780" w:type="dxa"/>
            <w:vAlign w:val="bottom"/>
            <w:gridSpan w:val="4"/>
          </w:tcPr>
          <w:p>
            <w:pPr>
              <w:jc w:val="center"/>
              <w:ind w:left="592"/>
              <w:spacing w:after="0" w:line="149" w:lineRule="exact"/>
              <w:rPr>
                <w:sz w:val="20"/>
                <w:szCs w:val="20"/>
                <w:color w:val="auto"/>
              </w:rPr>
            </w:pPr>
            <w:r>
              <w:rPr>
                <w:rFonts w:ascii="Arial" w:cs="Arial" w:eastAsia="Arial" w:hAnsi="Arial"/>
                <w:sz w:val="14"/>
                <w:szCs w:val="14"/>
                <w:b w:val="1"/>
                <w:bCs w:val="1"/>
                <w:color w:val="auto"/>
                <w:w w:val="94"/>
              </w:rPr>
              <w:t>will be performed</w:t>
            </w:r>
          </w:p>
        </w:tc>
        <w:tc>
          <w:tcPr>
            <w:tcW w:w="7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at approved Physical</w:t>
            </w:r>
          </w:p>
        </w:tc>
        <w:tc>
          <w:tcPr>
            <w:tcW w:w="6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Subcontractor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68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for AT&amp;T</w:t>
            </w:r>
          </w:p>
        </w:tc>
        <w:tc>
          <w:tcPr>
            <w:tcW w:w="7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2140" w:type="dxa"/>
            <w:vAlign w:val="bottom"/>
            <w:gridSpan w:val="2"/>
          </w:tcPr>
          <w:p>
            <w:pPr>
              <w:jc w:val="center"/>
              <w:ind w:left="592"/>
              <w:spacing w:after="0"/>
              <w:rPr>
                <w:sz w:val="20"/>
                <w:szCs w:val="20"/>
                <w:color w:val="auto"/>
              </w:rPr>
            </w:pPr>
            <w:r>
              <w:rPr>
                <w:rFonts w:ascii="Arial" w:cs="Arial" w:eastAsia="Arial" w:hAnsi="Arial"/>
                <w:sz w:val="14"/>
                <w:szCs w:val="14"/>
                <w:b w:val="1"/>
                <w:bCs w:val="1"/>
                <w:color w:val="auto"/>
                <w:w w:val="91"/>
              </w:rPr>
              <w:t>performing the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India</w:t>
            </w:r>
          </w:p>
        </w:tc>
        <w:tc>
          <w:tcPr>
            <w:tcW w:w="64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center"/>
              <w:ind w:left="22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2"/>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660" w:top="274" w:right="4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Country(ies) where services are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60" w:type="dxa"/>
            <w:vAlign w:val="bottom"/>
            <w:gridSpan w:val="2"/>
          </w:tcPr>
          <w:p>
            <w:pPr>
              <w:jc w:val="center"/>
              <w:ind w:left="531"/>
              <w:spacing w:after="0" w:line="149" w:lineRule="exact"/>
              <w:rPr>
                <w:sz w:val="20"/>
                <w:szCs w:val="20"/>
                <w:color w:val="auto"/>
              </w:rPr>
            </w:pPr>
            <w:r>
              <w:rPr>
                <w:rFonts w:ascii="Arial" w:cs="Arial" w:eastAsia="Arial" w:hAnsi="Arial"/>
                <w:sz w:val="14"/>
                <w:szCs w:val="14"/>
                <w:b w:val="1"/>
                <w:bCs w:val="1"/>
                <w:color w:val="auto"/>
                <w:w w:val="94"/>
              </w:rPr>
              <w:t>authorized by AT&amp;T to be performed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(physical location address is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also required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if the Services involve Information</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City(ies)</w:t>
            </w: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Supplier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Technology-related work or if a</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9"/>
              </w:rPr>
              <w:t>“virtual”</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2"/>
            <w:vMerge w:val="restart"/>
          </w:tcPr>
          <w:p>
            <w:pPr>
              <w:jc w:val="center"/>
              <w:ind w:left="591"/>
              <w:spacing w:after="0" w:line="139" w:lineRule="exact"/>
              <w:rPr>
                <w:sz w:val="20"/>
                <w:szCs w:val="20"/>
                <w:color w:val="auto"/>
              </w:rPr>
            </w:pPr>
            <w:r>
              <w:rPr>
                <w:rFonts w:ascii="Arial" w:cs="Arial" w:eastAsia="Arial" w:hAnsi="Arial"/>
                <w:sz w:val="14"/>
                <w:szCs w:val="14"/>
                <w:b w:val="1"/>
                <w:bCs w:val="1"/>
                <w:color w:val="auto"/>
                <w:w w:val="90"/>
              </w:rPr>
              <w:t>Services to be performed</w:t>
            </w:r>
          </w:p>
        </w:tc>
        <w:tc>
          <w:tcPr>
            <w:tcW w:w="680" w:type="dxa"/>
            <w:vAlign w:val="bottom"/>
          </w:tcPr>
          <w:p>
            <w:pPr>
              <w:spacing w:after="0" w:line="20" w:lineRule="exact"/>
              <w:rPr>
                <w:sz w:val="1"/>
                <w:szCs w:val="1"/>
                <w:color w:val="auto"/>
              </w:rPr>
            </w:pPr>
          </w:p>
        </w:tc>
        <w:tc>
          <w:tcPr>
            <w:tcW w:w="14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Supplier Affiliate, and/</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where services</w:t>
            </w:r>
          </w:p>
        </w:tc>
        <w:tc>
          <w:tcPr>
            <w:tcW w:w="224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“work-from-home” address is</w:t>
            </w:r>
          </w:p>
        </w:tc>
        <w:tc>
          <w:tcPr>
            <w:tcW w:w="1780" w:type="dxa"/>
            <w:vAlign w:val="bottom"/>
            <w:gridSpan w:val="4"/>
          </w:tcPr>
          <w:p>
            <w:pPr>
              <w:jc w:val="center"/>
              <w:ind w:left="591"/>
              <w:spacing w:after="0" w:line="149" w:lineRule="exact"/>
              <w:rPr>
                <w:sz w:val="20"/>
                <w:szCs w:val="20"/>
                <w:color w:val="auto"/>
              </w:rPr>
            </w:pPr>
            <w:r>
              <w:rPr>
                <w:rFonts w:ascii="Arial" w:cs="Arial" w:eastAsia="Arial" w:hAnsi="Arial"/>
                <w:sz w:val="14"/>
                <w:szCs w:val="14"/>
                <w:b w:val="1"/>
                <w:bCs w:val="1"/>
                <w:color w:val="auto"/>
                <w:w w:val="94"/>
              </w:rPr>
              <w:t>will be performed</w:t>
            </w:r>
          </w:p>
        </w:tc>
        <w:tc>
          <w:tcPr>
            <w:tcW w:w="7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at approved Physical</w:t>
            </w:r>
          </w:p>
        </w:tc>
        <w:tc>
          <w:tcPr>
            <w:tcW w:w="6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Subcontractor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68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for AT&amp;T</w:t>
            </w:r>
          </w:p>
        </w:tc>
        <w:tc>
          <w:tcPr>
            <w:tcW w:w="7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2140" w:type="dxa"/>
            <w:vAlign w:val="bottom"/>
            <w:gridSpan w:val="2"/>
          </w:tcPr>
          <w:p>
            <w:pPr>
              <w:jc w:val="center"/>
              <w:ind w:left="591"/>
              <w:spacing w:after="0"/>
              <w:rPr>
                <w:sz w:val="20"/>
                <w:szCs w:val="20"/>
                <w:color w:val="auto"/>
              </w:rPr>
            </w:pPr>
            <w:r>
              <w:rPr>
                <w:rFonts w:ascii="Arial" w:cs="Arial" w:eastAsia="Arial" w:hAnsi="Arial"/>
                <w:sz w:val="14"/>
                <w:szCs w:val="14"/>
                <w:b w:val="1"/>
                <w:bCs w:val="1"/>
                <w:color w:val="auto"/>
                <w:w w:val="91"/>
              </w:rPr>
              <w:t>performing the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India</w:t>
            </w:r>
          </w:p>
        </w:tc>
        <w:tc>
          <w:tcPr>
            <w:tcW w:w="64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center"/>
              <w:ind w:left="22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shd w:val="clear" w:color="auto" w:fill="CCEEFF"/>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2960" w:type="dxa"/>
            <w:vAlign w:val="bottom"/>
            <w:gridSpan w:val="2"/>
          </w:tcPr>
          <w:p>
            <w:pPr>
              <w:jc w:val="center"/>
              <w:ind w:left="53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00"/>
          </w:cols>
          <w:pgMar w:left="660" w:top="274" w:right="4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Country(ies) where services are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940" w:type="dxa"/>
            <w:vAlign w:val="bottom"/>
            <w:gridSpan w:val="2"/>
          </w:tcPr>
          <w:p>
            <w:pPr>
              <w:jc w:val="center"/>
              <w:ind w:left="511"/>
              <w:spacing w:after="0" w:line="149" w:lineRule="exact"/>
              <w:rPr>
                <w:sz w:val="20"/>
                <w:szCs w:val="20"/>
                <w:color w:val="auto"/>
              </w:rPr>
            </w:pPr>
            <w:r>
              <w:rPr>
                <w:rFonts w:ascii="Arial" w:cs="Arial" w:eastAsia="Arial" w:hAnsi="Arial"/>
                <w:sz w:val="14"/>
                <w:szCs w:val="14"/>
                <w:b w:val="1"/>
                <w:bCs w:val="1"/>
                <w:color w:val="auto"/>
                <w:w w:val="94"/>
              </w:rPr>
              <w:t>authorized by AT&amp;T to be performed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(physical location address is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also required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if the Services involve Information</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City(ies)</w:t>
            </w: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Supplier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Technology-related work or if a</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9"/>
              </w:rPr>
              <w:t>“virtual”</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2"/>
            <w:vMerge w:val="restart"/>
          </w:tcPr>
          <w:p>
            <w:pPr>
              <w:jc w:val="center"/>
              <w:ind w:left="591"/>
              <w:spacing w:after="0" w:line="139" w:lineRule="exact"/>
              <w:rPr>
                <w:sz w:val="20"/>
                <w:szCs w:val="20"/>
                <w:color w:val="auto"/>
              </w:rPr>
            </w:pPr>
            <w:r>
              <w:rPr>
                <w:rFonts w:ascii="Arial" w:cs="Arial" w:eastAsia="Arial" w:hAnsi="Arial"/>
                <w:sz w:val="14"/>
                <w:szCs w:val="14"/>
                <w:b w:val="1"/>
                <w:bCs w:val="1"/>
                <w:color w:val="auto"/>
                <w:w w:val="90"/>
              </w:rPr>
              <w:t>Services to be performed</w:t>
            </w:r>
          </w:p>
        </w:tc>
        <w:tc>
          <w:tcPr>
            <w:tcW w:w="680" w:type="dxa"/>
            <w:vAlign w:val="bottom"/>
          </w:tcPr>
          <w:p>
            <w:pPr>
              <w:spacing w:after="0" w:line="20" w:lineRule="exact"/>
              <w:rPr>
                <w:sz w:val="1"/>
                <w:szCs w:val="1"/>
                <w:color w:val="auto"/>
              </w:rPr>
            </w:pPr>
          </w:p>
        </w:tc>
        <w:tc>
          <w:tcPr>
            <w:tcW w:w="14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Supplier Affiliate, and/</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where services</w:t>
            </w:r>
          </w:p>
        </w:tc>
        <w:tc>
          <w:tcPr>
            <w:tcW w:w="224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“work-from-home” address is</w:t>
            </w:r>
          </w:p>
        </w:tc>
        <w:tc>
          <w:tcPr>
            <w:tcW w:w="1780" w:type="dxa"/>
            <w:vAlign w:val="bottom"/>
            <w:gridSpan w:val="4"/>
          </w:tcPr>
          <w:p>
            <w:pPr>
              <w:jc w:val="center"/>
              <w:ind w:left="591"/>
              <w:spacing w:after="0" w:line="149" w:lineRule="exact"/>
              <w:rPr>
                <w:sz w:val="20"/>
                <w:szCs w:val="20"/>
                <w:color w:val="auto"/>
              </w:rPr>
            </w:pPr>
            <w:r>
              <w:rPr>
                <w:rFonts w:ascii="Arial" w:cs="Arial" w:eastAsia="Arial" w:hAnsi="Arial"/>
                <w:sz w:val="14"/>
                <w:szCs w:val="14"/>
                <w:b w:val="1"/>
                <w:bCs w:val="1"/>
                <w:color w:val="auto"/>
                <w:w w:val="94"/>
              </w:rPr>
              <w:t>will be performed</w:t>
            </w:r>
          </w:p>
        </w:tc>
        <w:tc>
          <w:tcPr>
            <w:tcW w:w="7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at approved Physical</w:t>
            </w:r>
          </w:p>
        </w:tc>
        <w:tc>
          <w:tcPr>
            <w:tcW w:w="6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Subcontractor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68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for AT&amp;T</w:t>
            </w:r>
          </w:p>
        </w:tc>
        <w:tc>
          <w:tcPr>
            <w:tcW w:w="7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2140" w:type="dxa"/>
            <w:vAlign w:val="bottom"/>
            <w:gridSpan w:val="2"/>
          </w:tcPr>
          <w:p>
            <w:pPr>
              <w:jc w:val="center"/>
              <w:ind w:left="591"/>
              <w:spacing w:after="0"/>
              <w:rPr>
                <w:sz w:val="20"/>
                <w:szCs w:val="20"/>
                <w:color w:val="auto"/>
              </w:rPr>
            </w:pPr>
            <w:r>
              <w:rPr>
                <w:rFonts w:ascii="Arial" w:cs="Arial" w:eastAsia="Arial" w:hAnsi="Arial"/>
                <w:sz w:val="14"/>
                <w:szCs w:val="14"/>
                <w:b w:val="1"/>
                <w:bCs w:val="1"/>
                <w:color w:val="auto"/>
                <w:w w:val="91"/>
              </w:rPr>
              <w:t>performing the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India</w:t>
            </w:r>
          </w:p>
        </w:tc>
        <w:tc>
          <w:tcPr>
            <w:tcW w:w="6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center"/>
              <w:ind w:left="22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India</w:t>
            </w:r>
          </w:p>
        </w:tc>
        <w:tc>
          <w:tcPr>
            <w:tcW w:w="2940" w:type="dxa"/>
            <w:vAlign w:val="bottom"/>
            <w:gridSpan w:val="2"/>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940" w:type="dxa"/>
            <w:vAlign w:val="bottom"/>
            <w:gridSpan w:val="2"/>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center"/>
              <w:ind w:left="89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00"/>
          </w:cols>
          <w:pgMar w:left="660" w:top="274" w:right="4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Country(ies) where services are</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900" w:type="dxa"/>
            <w:vAlign w:val="bottom"/>
            <w:gridSpan w:val="2"/>
          </w:tcPr>
          <w:p>
            <w:pPr>
              <w:jc w:val="center"/>
              <w:ind w:left="491"/>
              <w:spacing w:after="0" w:line="149" w:lineRule="exact"/>
              <w:rPr>
                <w:sz w:val="20"/>
                <w:szCs w:val="20"/>
                <w:color w:val="auto"/>
              </w:rPr>
            </w:pPr>
            <w:r>
              <w:rPr>
                <w:rFonts w:ascii="Arial" w:cs="Arial" w:eastAsia="Arial" w:hAnsi="Arial"/>
                <w:sz w:val="14"/>
                <w:szCs w:val="14"/>
                <w:b w:val="1"/>
                <w:bCs w:val="1"/>
                <w:color w:val="auto"/>
                <w:w w:val="95"/>
              </w:rPr>
              <w:t>authorized by AT&amp;T to be performed</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(physical location address is</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also required</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if the Services involve Information</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City(ies)</w:t>
            </w: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Supplier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Technology-related work or if a</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9"/>
              </w:rPr>
              <w:t>“virtual”</w:t>
            </w: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gridSpan w:val="2"/>
            <w:vMerge w:val="restart"/>
          </w:tcPr>
          <w:p>
            <w:pPr>
              <w:jc w:val="center"/>
              <w:ind w:left="531"/>
              <w:spacing w:after="0" w:line="139" w:lineRule="exact"/>
              <w:rPr>
                <w:sz w:val="20"/>
                <w:szCs w:val="20"/>
                <w:color w:val="auto"/>
              </w:rPr>
            </w:pPr>
            <w:r>
              <w:rPr>
                <w:rFonts w:ascii="Arial" w:cs="Arial" w:eastAsia="Arial" w:hAnsi="Arial"/>
                <w:sz w:val="14"/>
                <w:szCs w:val="14"/>
                <w:b w:val="1"/>
                <w:bCs w:val="1"/>
                <w:color w:val="auto"/>
                <w:w w:val="91"/>
              </w:rPr>
              <w:t>Services to be performed</w:t>
            </w:r>
          </w:p>
        </w:tc>
        <w:tc>
          <w:tcPr>
            <w:tcW w:w="660" w:type="dxa"/>
            <w:vAlign w:val="bottom"/>
          </w:tcPr>
          <w:p>
            <w:pPr>
              <w:spacing w:after="0" w:line="20" w:lineRule="exact"/>
              <w:rPr>
                <w:sz w:val="1"/>
                <w:szCs w:val="1"/>
                <w:color w:val="auto"/>
              </w:rPr>
            </w:pPr>
          </w:p>
        </w:tc>
        <w:tc>
          <w:tcPr>
            <w:tcW w:w="14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Supplier Affiliate, and/</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where services</w:t>
            </w:r>
          </w:p>
        </w:tc>
        <w:tc>
          <w:tcPr>
            <w:tcW w:w="22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“work-from-home” address is</w:t>
            </w:r>
          </w:p>
        </w:tc>
        <w:tc>
          <w:tcPr>
            <w:tcW w:w="1780" w:type="dxa"/>
            <w:vAlign w:val="bottom"/>
            <w:gridSpan w:val="4"/>
          </w:tcPr>
          <w:p>
            <w:pPr>
              <w:jc w:val="center"/>
              <w:ind w:left="551"/>
              <w:spacing w:after="0" w:line="149" w:lineRule="exact"/>
              <w:rPr>
                <w:sz w:val="20"/>
                <w:szCs w:val="20"/>
                <w:color w:val="auto"/>
              </w:rPr>
            </w:pPr>
            <w:r>
              <w:rPr>
                <w:rFonts w:ascii="Arial" w:cs="Arial" w:eastAsia="Arial" w:hAnsi="Arial"/>
                <w:sz w:val="14"/>
                <w:szCs w:val="14"/>
                <w:b w:val="1"/>
                <w:bCs w:val="1"/>
                <w:color w:val="auto"/>
                <w:w w:val="94"/>
              </w:rPr>
              <w:t>will be performed</w:t>
            </w:r>
          </w:p>
        </w:tc>
        <w:tc>
          <w:tcPr>
            <w:tcW w:w="6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at approved Physical</w:t>
            </w:r>
          </w:p>
        </w:tc>
        <w:tc>
          <w:tcPr>
            <w:tcW w:w="6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Subcontractor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66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for AT&amp;T</w:t>
            </w:r>
          </w:p>
        </w:tc>
        <w:tc>
          <w:tcPr>
            <w:tcW w:w="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120" w:type="dxa"/>
            <w:vAlign w:val="bottom"/>
            <w:gridSpan w:val="2"/>
          </w:tcPr>
          <w:p>
            <w:pPr>
              <w:jc w:val="center"/>
              <w:ind w:left="571"/>
              <w:spacing w:after="0"/>
              <w:rPr>
                <w:sz w:val="20"/>
                <w:szCs w:val="20"/>
                <w:color w:val="auto"/>
              </w:rPr>
            </w:pPr>
            <w:r>
              <w:rPr>
                <w:rFonts w:ascii="Arial" w:cs="Arial" w:eastAsia="Arial" w:hAnsi="Arial"/>
                <w:sz w:val="14"/>
                <w:szCs w:val="14"/>
                <w:b w:val="1"/>
                <w:bCs w:val="1"/>
                <w:color w:val="auto"/>
                <w:w w:val="91"/>
              </w:rPr>
              <w:t>performing the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Israel</w:t>
            </w:r>
          </w:p>
        </w:tc>
        <w:tc>
          <w:tcPr>
            <w:tcW w:w="6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center"/>
              <w:ind w:left="224"/>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Israel</w:t>
            </w:r>
          </w:p>
        </w:tc>
        <w:tc>
          <w:tcPr>
            <w:tcW w:w="2900" w:type="dxa"/>
            <w:vAlign w:val="bottom"/>
            <w:gridSpan w:val="2"/>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0" w:type="dxa"/>
            <w:vAlign w:val="bottom"/>
            <w:gridSpan w:val="2"/>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900" w:type="dxa"/>
            <w:vAlign w:val="bottom"/>
            <w:gridSpan w:val="2"/>
            <w:shd w:val="clear" w:color="auto" w:fill="CCEEFF"/>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Israel</w:t>
            </w:r>
          </w:p>
        </w:tc>
        <w:tc>
          <w:tcPr>
            <w:tcW w:w="2900" w:type="dxa"/>
            <w:vAlign w:val="bottom"/>
            <w:gridSpan w:val="2"/>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0" w:type="dxa"/>
            <w:vAlign w:val="bottom"/>
            <w:gridSpan w:val="2"/>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900" w:type="dxa"/>
            <w:vAlign w:val="bottom"/>
            <w:gridSpan w:val="2"/>
            <w:shd w:val="clear" w:color="auto" w:fill="CCEEFF"/>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Israel</w:t>
            </w:r>
          </w:p>
        </w:tc>
        <w:tc>
          <w:tcPr>
            <w:tcW w:w="2900" w:type="dxa"/>
            <w:vAlign w:val="bottom"/>
            <w:gridSpan w:val="2"/>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0" w:type="dxa"/>
            <w:vAlign w:val="bottom"/>
            <w:gridSpan w:val="2"/>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900" w:type="dxa"/>
            <w:vAlign w:val="bottom"/>
            <w:gridSpan w:val="2"/>
            <w:shd w:val="clear" w:color="auto" w:fill="CCEEFF"/>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Israel</w:t>
            </w:r>
          </w:p>
        </w:tc>
        <w:tc>
          <w:tcPr>
            <w:tcW w:w="2900" w:type="dxa"/>
            <w:vAlign w:val="bottom"/>
            <w:gridSpan w:val="2"/>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0" w:type="dxa"/>
            <w:vAlign w:val="bottom"/>
            <w:gridSpan w:val="2"/>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shd w:val="clear" w:color="auto" w:fill="CCEEFF"/>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0" w:type="dxa"/>
            <w:vAlign w:val="bottom"/>
            <w:gridSpan w:val="2"/>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shd w:val="clear" w:color="auto" w:fill="CCEEFF"/>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0" w:type="dxa"/>
            <w:vAlign w:val="bottom"/>
            <w:gridSpan w:val="2"/>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shd w:val="clear" w:color="auto" w:fill="CCEEFF"/>
          </w:tcPr>
          <w:p>
            <w:pPr>
              <w:jc w:val="center"/>
              <w:ind w:left="491"/>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center"/>
              <w:ind w:left="8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left="551"/>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00"/>
          </w:cols>
          <w:pgMar w:left="660" w:top="274" w:right="4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Country(ies) where services are</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900" w:type="dxa"/>
            <w:vAlign w:val="bottom"/>
            <w:gridSpan w:val="2"/>
          </w:tcPr>
          <w:p>
            <w:pPr>
              <w:jc w:val="center"/>
              <w:ind w:left="493"/>
              <w:spacing w:after="0" w:line="149" w:lineRule="exact"/>
              <w:rPr>
                <w:sz w:val="20"/>
                <w:szCs w:val="20"/>
                <w:color w:val="auto"/>
              </w:rPr>
            </w:pPr>
            <w:r>
              <w:rPr>
                <w:rFonts w:ascii="Arial" w:cs="Arial" w:eastAsia="Arial" w:hAnsi="Arial"/>
                <w:sz w:val="14"/>
                <w:szCs w:val="14"/>
                <w:b w:val="1"/>
                <w:bCs w:val="1"/>
                <w:color w:val="auto"/>
                <w:w w:val="95"/>
              </w:rPr>
              <w:t>authorized by AT&amp;T to be performed</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(physical location address is</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also required</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if the Services involve Information</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City(ies)</w:t>
            </w: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Supplier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Technology-related work or if a</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9"/>
              </w:rPr>
              <w:t>“virtual”</w:t>
            </w: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gridSpan w:val="2"/>
            <w:vMerge w:val="restart"/>
          </w:tcPr>
          <w:p>
            <w:pPr>
              <w:jc w:val="center"/>
              <w:ind w:left="533"/>
              <w:spacing w:after="0" w:line="139" w:lineRule="exact"/>
              <w:rPr>
                <w:sz w:val="20"/>
                <w:szCs w:val="20"/>
                <w:color w:val="auto"/>
              </w:rPr>
            </w:pPr>
            <w:r>
              <w:rPr>
                <w:rFonts w:ascii="Arial" w:cs="Arial" w:eastAsia="Arial" w:hAnsi="Arial"/>
                <w:sz w:val="14"/>
                <w:szCs w:val="14"/>
                <w:b w:val="1"/>
                <w:bCs w:val="1"/>
                <w:color w:val="auto"/>
                <w:w w:val="91"/>
              </w:rPr>
              <w:t>Services to be performed</w:t>
            </w:r>
          </w:p>
        </w:tc>
        <w:tc>
          <w:tcPr>
            <w:tcW w:w="660" w:type="dxa"/>
            <w:vAlign w:val="bottom"/>
          </w:tcPr>
          <w:p>
            <w:pPr>
              <w:spacing w:after="0" w:line="20" w:lineRule="exact"/>
              <w:rPr>
                <w:sz w:val="1"/>
                <w:szCs w:val="1"/>
                <w:color w:val="auto"/>
              </w:rPr>
            </w:pPr>
          </w:p>
        </w:tc>
        <w:tc>
          <w:tcPr>
            <w:tcW w:w="14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Supplier Affiliate, and/</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where services</w:t>
            </w:r>
          </w:p>
        </w:tc>
        <w:tc>
          <w:tcPr>
            <w:tcW w:w="22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“work-from-home” address is</w:t>
            </w:r>
          </w:p>
        </w:tc>
        <w:tc>
          <w:tcPr>
            <w:tcW w:w="1780" w:type="dxa"/>
            <w:vAlign w:val="bottom"/>
            <w:gridSpan w:val="4"/>
          </w:tcPr>
          <w:p>
            <w:pPr>
              <w:jc w:val="center"/>
              <w:ind w:left="553"/>
              <w:spacing w:after="0" w:line="149" w:lineRule="exact"/>
              <w:rPr>
                <w:sz w:val="20"/>
                <w:szCs w:val="20"/>
                <w:color w:val="auto"/>
              </w:rPr>
            </w:pPr>
            <w:r>
              <w:rPr>
                <w:rFonts w:ascii="Arial" w:cs="Arial" w:eastAsia="Arial" w:hAnsi="Arial"/>
                <w:sz w:val="14"/>
                <w:szCs w:val="14"/>
                <w:b w:val="1"/>
                <w:bCs w:val="1"/>
                <w:color w:val="auto"/>
                <w:w w:val="94"/>
              </w:rPr>
              <w:t>will be performed</w:t>
            </w:r>
          </w:p>
        </w:tc>
        <w:tc>
          <w:tcPr>
            <w:tcW w:w="6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at approved Physical</w:t>
            </w:r>
          </w:p>
        </w:tc>
        <w:tc>
          <w:tcPr>
            <w:tcW w:w="6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Subcontractor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66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for AT&amp;T</w:t>
            </w:r>
          </w:p>
        </w:tc>
        <w:tc>
          <w:tcPr>
            <w:tcW w:w="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120" w:type="dxa"/>
            <w:vAlign w:val="bottom"/>
            <w:gridSpan w:val="2"/>
          </w:tcPr>
          <w:p>
            <w:pPr>
              <w:jc w:val="center"/>
              <w:ind w:left="573"/>
              <w:spacing w:after="0"/>
              <w:rPr>
                <w:sz w:val="20"/>
                <w:szCs w:val="20"/>
                <w:color w:val="auto"/>
              </w:rPr>
            </w:pPr>
            <w:r>
              <w:rPr>
                <w:rFonts w:ascii="Arial" w:cs="Arial" w:eastAsia="Arial" w:hAnsi="Arial"/>
                <w:sz w:val="14"/>
                <w:szCs w:val="14"/>
                <w:b w:val="1"/>
                <w:bCs w:val="1"/>
                <w:color w:val="auto"/>
                <w:w w:val="91"/>
              </w:rPr>
              <w:t>performing the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Mexico</w:t>
            </w:r>
          </w:p>
        </w:tc>
        <w:tc>
          <w:tcPr>
            <w:tcW w:w="6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center"/>
              <w:ind w:left="224"/>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tcPr>
          <w:p>
            <w:pPr>
              <w:jc w:val="center"/>
              <w:ind w:left="493"/>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8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0" w:type="dxa"/>
            <w:vAlign w:val="bottom"/>
            <w:gridSpan w:val="2"/>
          </w:tcPr>
          <w:p>
            <w:pPr>
              <w:jc w:val="center"/>
              <w:ind w:left="553"/>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shd w:val="clear" w:color="auto" w:fill="CCEEFF"/>
          </w:tcPr>
          <w:p>
            <w:pPr>
              <w:jc w:val="center"/>
              <w:ind w:left="493"/>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center"/>
              <w:ind w:left="8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left="553"/>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tcPr>
          <w:p>
            <w:pPr>
              <w:jc w:val="center"/>
              <w:ind w:left="493"/>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8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0" w:type="dxa"/>
            <w:vAlign w:val="bottom"/>
            <w:gridSpan w:val="2"/>
          </w:tcPr>
          <w:p>
            <w:pPr>
              <w:jc w:val="center"/>
              <w:ind w:left="553"/>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shd w:val="clear" w:color="auto" w:fill="CCEEFF"/>
          </w:tcPr>
          <w:p>
            <w:pPr>
              <w:jc w:val="center"/>
              <w:ind w:left="493"/>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center"/>
              <w:ind w:left="8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left="553"/>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center"/>
              <w:ind w:left="5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Mexico</w:t>
            </w:r>
          </w:p>
        </w:tc>
        <w:tc>
          <w:tcPr>
            <w:tcW w:w="2900" w:type="dxa"/>
            <w:vAlign w:val="bottom"/>
            <w:gridSpan w:val="2"/>
          </w:tcPr>
          <w:p>
            <w:pPr>
              <w:jc w:val="center"/>
              <w:ind w:left="493"/>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center"/>
              <w:ind w:left="8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200" w:type="dxa"/>
            <w:vAlign w:val="bottom"/>
            <w:gridSpan w:val="2"/>
          </w:tcPr>
          <w:p>
            <w:pPr>
              <w:jc w:val="center"/>
              <w:ind w:left="553"/>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center"/>
              <w:ind w:left="5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00"/>
          </w:cols>
          <w:pgMar w:left="660" w:top="274" w:right="4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Country(ies) where services are</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0" w:type="dxa"/>
            <w:vAlign w:val="bottom"/>
            <w:gridSpan w:val="2"/>
          </w:tcPr>
          <w:p>
            <w:pPr>
              <w:jc w:val="center"/>
              <w:ind w:left="579"/>
              <w:spacing w:after="0" w:line="149" w:lineRule="exact"/>
              <w:rPr>
                <w:sz w:val="20"/>
                <w:szCs w:val="20"/>
                <w:color w:val="auto"/>
              </w:rPr>
            </w:pPr>
            <w:r>
              <w:rPr>
                <w:rFonts w:ascii="Arial" w:cs="Arial" w:eastAsia="Arial" w:hAnsi="Arial"/>
                <w:sz w:val="14"/>
                <w:szCs w:val="14"/>
                <w:b w:val="1"/>
                <w:bCs w:val="1"/>
                <w:color w:val="auto"/>
                <w:w w:val="94"/>
              </w:rPr>
              <w:t>authorized by AT&amp;T to be performed</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(physical location address is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also required</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if the Services involve Information</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City(ies)</w:t>
            </w: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Supplier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Technology-related work or if a</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9"/>
              </w:rPr>
              <w:t>“virtual”</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2"/>
            <w:vMerge w:val="restart"/>
          </w:tcPr>
          <w:p>
            <w:pPr>
              <w:jc w:val="center"/>
              <w:ind w:left="619"/>
              <w:spacing w:after="0" w:line="139" w:lineRule="exact"/>
              <w:rPr>
                <w:sz w:val="20"/>
                <w:szCs w:val="20"/>
                <w:color w:val="auto"/>
              </w:rPr>
            </w:pPr>
            <w:r>
              <w:rPr>
                <w:rFonts w:ascii="Arial" w:cs="Arial" w:eastAsia="Arial" w:hAnsi="Arial"/>
                <w:sz w:val="14"/>
                <w:szCs w:val="14"/>
                <w:b w:val="1"/>
                <w:bCs w:val="1"/>
                <w:color w:val="auto"/>
                <w:w w:val="91"/>
              </w:rPr>
              <w:t>Services to be performed</w:t>
            </w:r>
          </w:p>
        </w:tc>
        <w:tc>
          <w:tcPr>
            <w:tcW w:w="700" w:type="dxa"/>
            <w:vAlign w:val="bottom"/>
          </w:tcPr>
          <w:p>
            <w:pPr>
              <w:spacing w:after="0" w:line="20" w:lineRule="exact"/>
              <w:rPr>
                <w:sz w:val="1"/>
                <w:szCs w:val="1"/>
                <w:color w:val="auto"/>
              </w:rPr>
            </w:pPr>
          </w:p>
        </w:tc>
        <w:tc>
          <w:tcPr>
            <w:tcW w:w="14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Supplier Affiliate, and/</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4"/>
              </w:rPr>
              <w:t>where services</w:t>
            </w:r>
          </w:p>
        </w:tc>
        <w:tc>
          <w:tcPr>
            <w:tcW w:w="22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“work-from-home” address is</w:t>
            </w:r>
          </w:p>
        </w:tc>
        <w:tc>
          <w:tcPr>
            <w:tcW w:w="1800" w:type="dxa"/>
            <w:vAlign w:val="bottom"/>
            <w:gridSpan w:val="4"/>
          </w:tcPr>
          <w:p>
            <w:pPr>
              <w:jc w:val="center"/>
              <w:ind w:left="599"/>
              <w:spacing w:after="0" w:line="149" w:lineRule="exact"/>
              <w:rPr>
                <w:sz w:val="20"/>
                <w:szCs w:val="20"/>
                <w:color w:val="auto"/>
              </w:rPr>
            </w:pPr>
            <w:r>
              <w:rPr>
                <w:rFonts w:ascii="Arial" w:cs="Arial" w:eastAsia="Arial" w:hAnsi="Arial"/>
                <w:sz w:val="14"/>
                <w:szCs w:val="14"/>
                <w:b w:val="1"/>
                <w:bCs w:val="1"/>
                <w:color w:val="auto"/>
                <w:w w:val="93"/>
              </w:rPr>
              <w:t>will be performed</w:t>
            </w:r>
          </w:p>
        </w:tc>
        <w:tc>
          <w:tcPr>
            <w:tcW w:w="7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at approved Physical</w:t>
            </w:r>
          </w:p>
        </w:tc>
        <w:tc>
          <w:tcPr>
            <w:tcW w:w="7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Subcontractor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700" w:type="dxa"/>
            <w:vAlign w:val="bottom"/>
          </w:tcPr>
          <w:p>
            <w:pPr>
              <w:spacing w:after="0"/>
              <w:rPr>
                <w:sz w:val="14"/>
                <w:szCs w:val="1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for AT&amp;T</w:t>
            </w:r>
          </w:p>
        </w:tc>
        <w:tc>
          <w:tcPr>
            <w:tcW w:w="7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2160" w:type="dxa"/>
            <w:vAlign w:val="bottom"/>
            <w:gridSpan w:val="2"/>
          </w:tcPr>
          <w:p>
            <w:pPr>
              <w:jc w:val="center"/>
              <w:ind w:left="619"/>
              <w:spacing w:after="0"/>
              <w:rPr>
                <w:sz w:val="20"/>
                <w:szCs w:val="20"/>
                <w:color w:val="auto"/>
              </w:rPr>
            </w:pPr>
            <w:r>
              <w:rPr>
                <w:rFonts w:ascii="Arial" w:cs="Arial" w:eastAsia="Arial" w:hAnsi="Arial"/>
                <w:sz w:val="14"/>
                <w:szCs w:val="14"/>
                <w:b w:val="1"/>
                <w:bCs w:val="1"/>
                <w:color w:val="auto"/>
                <w:w w:val="91"/>
              </w:rPr>
              <w:t>performing the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UK</w:t>
            </w:r>
          </w:p>
        </w:tc>
        <w:tc>
          <w:tcPr>
            <w:tcW w:w="6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center"/>
              <w:ind w:left="20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UK</w:t>
            </w:r>
          </w:p>
        </w:tc>
        <w:tc>
          <w:tcPr>
            <w:tcW w:w="3000" w:type="dxa"/>
            <w:vAlign w:val="bottom"/>
            <w:gridSpan w:val="2"/>
          </w:tcPr>
          <w:p>
            <w:pPr>
              <w:jc w:val="center"/>
              <w:ind w:left="579"/>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center"/>
              <w:ind w:left="89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40" w:type="dxa"/>
            <w:vAlign w:val="bottom"/>
            <w:gridSpan w:val="2"/>
          </w:tcPr>
          <w:p>
            <w:pPr>
              <w:jc w:val="center"/>
              <w:ind w:left="619"/>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center"/>
              <w:ind w:left="6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00"/>
          </w:cols>
          <w:pgMar w:left="660" w:top="274" w:right="4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D – Security and Offshore Requirements:</w:t>
      </w:r>
    </w:p>
    <w:p>
      <w:pPr>
        <w:spacing w:after="0" w:line="229" w:lineRule="exact"/>
        <w:rPr>
          <w:sz w:val="20"/>
          <w:szCs w:val="20"/>
          <w:color w:val="auto"/>
        </w:rPr>
      </w:pPr>
    </w:p>
    <w:p>
      <w:pPr>
        <w:jc w:val="center"/>
        <w:ind w:left="460" w:right="420"/>
        <w:spacing w:after="0" w:line="277" w:lineRule="auto"/>
        <w:rPr>
          <w:sz w:val="20"/>
          <w:szCs w:val="20"/>
          <w:color w:val="auto"/>
        </w:rPr>
      </w:pPr>
      <w:r>
        <w:rPr>
          <w:rFonts w:ascii="Arial" w:cs="Arial" w:eastAsia="Arial" w:hAnsi="Arial"/>
          <w:sz w:val="18"/>
          <w:szCs w:val="18"/>
          <w:color w:val="auto"/>
        </w:rPr>
        <w:t>Supplier Information Security Requirements (“SISR”); Offshore Information Technology Services Requirements; Requirements for Offshore Information Technology Services Requiring Elevated Rights; and Limited Offshore Remote Access (“LORA”)</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AT&amp;T Supplier Information Security Requirements (SISR) – v6.3, January 2018</w:t>
      </w:r>
    </w:p>
    <w:p>
      <w:pPr>
        <w:spacing w:after="0" w:line="22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following AT&amp;T Supplier Information Security Requirements (“Security Requirements”) apply to Supplier Entities (as defined below) when performing any action, activity or work under the Agreement where any of the following occur (</w:t>
      </w:r>
      <w:r>
        <w:rPr>
          <w:rFonts w:ascii="Arial" w:cs="Arial" w:eastAsia="Arial" w:hAnsi="Arial"/>
          <w:sz w:val="16"/>
          <w:szCs w:val="16"/>
          <w:b w:val="1"/>
          <w:bCs w:val="1"/>
          <w:color w:val="auto"/>
        </w:rPr>
        <w:t>hereinafter referred to as “In-Scope Work”</w:t>
      </w:r>
      <w:r>
        <w:rPr>
          <w:rFonts w:ascii="Arial" w:cs="Arial" w:eastAsia="Arial" w:hAnsi="Arial"/>
          <w:sz w:val="16"/>
          <w:szCs w:val="16"/>
          <w:color w:val="auto"/>
        </w:rPr>
        <w:t>):</w:t>
      </w:r>
    </w:p>
    <w:p>
      <w:pPr>
        <w:spacing w:after="0" w:line="29" w:lineRule="exact"/>
        <w:rPr>
          <w:sz w:val="20"/>
          <w:szCs w:val="20"/>
          <w:color w:val="auto"/>
        </w:rPr>
      </w:pPr>
    </w:p>
    <w:p>
      <w:pPr>
        <w:ind w:left="980" w:hanging="54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collection, storage, handling, backup, disposal, and/or access to In-Scope Information (as defined below);</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Providing or supporting AT&amp;T branded applications and/or services using non-AT&amp;T Information Resources (as defined below);</w:t>
      </w:r>
    </w:p>
    <w:p>
      <w:pPr>
        <w:spacing w:after="0" w:line="142" w:lineRule="exact"/>
        <w:rPr>
          <w:rFonts w:ascii="Arial" w:cs="Arial" w:eastAsia="Arial" w:hAnsi="Arial"/>
          <w:sz w:val="17"/>
          <w:szCs w:val="17"/>
          <w:color w:val="auto"/>
        </w:rPr>
      </w:pPr>
    </w:p>
    <w:p>
      <w:pPr>
        <w:ind w:left="980" w:hanging="54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Connectivity to AT&amp;T’s Nonpublic Information Resources (as defined below);</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development or customization of any software for AT&amp;T; 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Website hosting and development for AT&amp;T and/or AT&amp;T’s customers.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These Security Requirements (i) are not intended to apply to products or applications acquired from the Supplier by AT&amp;T for use by AT&amp;T, and (ii) shall not limit more stringent security or other obligations set forth elsewhere in the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set forth in these Security Requirements, defined terms shall have the same meaning as set forth in the 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“Cloud Service” is a service delivered via an “as a Service” cloud service model, e.g., Software as a Service (SaaS), Storage as a Service (STaaS), Database as a Service (DBaaS), Platform as a Service (PaaS), and Infrastructure as a Service (IaaS).</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“Demilitarized Zone” or “DMZ” is a network or sub-network that sits between a trusted internal network, such as a corporate private Local Area Network (LAN), and an untrusted external network, such as the Internet. A DMZ helps prevent outside users from gaining direct access to internal Information Resources. Inbound packets from the untrusted external network terminate within the DMZ and are not allowed to flow directly through to the trusted internal network. All inbound packets which flow to the trusted internal network originate within the DMZ.</w:t>
      </w:r>
    </w:p>
    <w:p>
      <w:pPr>
        <w:spacing w:after="0" w:line="10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73" w:name="page174"/>
    <w:bookmarkEnd w:id="173"/>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“Information Resource(s)” means systems, applications, websites, networks, network elements, and other computing and information storage devices, along with the underlying technologies and delivery methods (e.g., social networks, mobile technologies, cloud services, call and voice recording, Application Program Interfaces (APIs)), used in connection with In-Scope Work.</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“In-Scope Information” means confidential data, including, Sensitive Personal Information (SPI), Sensitive Customer Data (SCD), intellectual property, proprietary data and/or trade secret data of AT&amp;T, data of others that AT&amp;T is obligated to protect, general AT&amp;T internal operational information, network architecture and/or engineering information, Customer Proprietary Network Information (CPNI), software source code for software developed or customized for AT&amp;T, information security incident reports, nonpublic marketing and financial information, and AT&amp;T end user customer contact lists.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“Mobile and Portable Devices” means mobile and/or portable computers, devices, media and systems capable of being easily carried, moved, transported or conveyed that are used in connection with In-Scope Work. Examples of such devices include laptop computers, tablets, USB hard drives, USB memory sticks, Personal Digital Assistants (PDAs), and mobile phones, such as smartphones.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“Multi-Factor Authentication” (also known as Two-Factor Authentication and Strong Authentication) means the use of at least two of the following three types of authentication factors:</w:t>
      </w:r>
    </w:p>
    <w:p>
      <w:pPr>
        <w:spacing w:after="0" w:line="76" w:lineRule="exact"/>
        <w:rPr>
          <w:sz w:val="20"/>
          <w:szCs w:val="20"/>
          <w:color w:val="auto"/>
        </w:rPr>
      </w:pPr>
    </w:p>
    <w:p>
      <w:pPr>
        <w:ind w:left="980" w:hanging="436"/>
        <w:spacing w:after="0"/>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physical or logical credential the user has, such as an electronically readable badge, a token card or a digital certificate;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knowledge-based credential, such as a password or PIN; and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biometric credential, such as a fingerprint or retina image.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“Nonpublic Information Resources” means Information Resources used in connection with In-Scope Work that are not directly reachable from the public Internet.</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“Privileged User” means a user with enhanced administrative permissions and/or expanded or super user access greater than that of a general user. Examples of such access include: system administration; the management of accounts, log reviews, encryption, databases, Security Gateways, Intrusion Detection Systems/Intrusion Prevention Systems (IDS/IPS), virtual machines (VM), networks, image instances, and APIs; Cloud Service Provider (CSP) management and security portals; and development and operations (DevOps) privileged activities. Privileged access by privileged users is applicable regardless of the types of devices and environments managed, including environments that are production, development, and test, within Supplier’s facilities and/or within CSP cloud environments.</w:t>
      </w:r>
    </w:p>
    <w:p>
      <w:pPr>
        <w:spacing w:after="0" w:line="12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174" w:name="page175"/>
    <w:bookmarkEnd w:id="174"/>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“Sensitive Customer Data” or “SCD” means the data elements listed in the “Table 2—AT&amp;T SCD Data Elements” located at the end of these Security Requirements. All data elements in Table 2 are considered In-Scope Information.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“Sensitive Personal Information” or “SPI” means the data elements listed in the “Table of AT&amp;T SPI Data Elements” located at the end of these Security Requirements. All SPI Data Elements are considered In-Scope Information.</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“Security Gateway” means a set of control mechanisms between two or more networks having different trust levels which filter and log traffic passing, or attempting to pass, between networks, and the associated administrative and management servers. Examples include firewalls, firewall management servers, hop boxes, session border controllers, proxy servers, and intrusion prevention devices.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“Strong Encryption” means the use of encryption technologies with minimum key lengths of 128-bits for symmetric encryption and 2048-bits for asymmetric encryption whose strength provides reasonable assurance that it will protect the encrypted information from unauthorized access and is adequate to protect the confidentiality and privacy of the encrypted information, and which incorporates a documented policy for the management of the encryption keys, including the expiration of encryption keys at least once every two years, and associated processes adequate to protect the confidentiality and privacy of the keys and credentials used as inputs to the encryption algorithm. Supplier must ensure that the rule of least privilege and separation of duties are properly implemented and maintained.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“Supplier Entity” or “Supplier Entities” means Supplier, its affiliates and subcontractors.</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left="460" w:right="20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accordance with the foregoing, Supplier shall, and shall cause Supplier Entities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System Security</w:t>
      </w:r>
    </w:p>
    <w:p>
      <w:pPr>
        <w:spacing w:after="0" w:line="135" w:lineRule="exact"/>
        <w:rPr>
          <w:sz w:val="20"/>
          <w:szCs w:val="20"/>
          <w:color w:val="auto"/>
        </w:rPr>
      </w:pPr>
    </w:p>
    <w:p>
      <w:pPr>
        <w:ind w:left="440" w:right="80" w:hanging="436"/>
        <w:spacing w:after="0" w:line="277"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Actively monitor industry resources (e.g., www.cert.org, pertinent software vendor mailing lists and websites, and information from subscriptions to automated notifications) for timely notification of all applicable security alerts that pertain to Information Resources.</w:t>
      </w:r>
    </w:p>
    <w:p>
      <w:pPr>
        <w:spacing w:after="0" w:line="75" w:lineRule="exact"/>
        <w:rPr>
          <w:rFonts w:ascii="Arial" w:cs="Arial" w:eastAsia="Arial" w:hAnsi="Arial"/>
          <w:sz w:val="18"/>
          <w:szCs w:val="18"/>
          <w:color w:val="auto"/>
        </w:rPr>
      </w:pPr>
    </w:p>
    <w:p>
      <w:pPr>
        <w:ind w:left="440" w:right="80" w:hanging="436"/>
        <w:spacing w:after="0" w:line="264"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At least quarterly scan Information Resources with industry-standard security vulnerability scanning software to detect security vulnerabilities, and remediate all critical, high, and medium risk security vulnerabilities identified. Scan must cover all Information Resources utilized to perform In-Scope Work.</w:t>
      </w:r>
    </w:p>
    <w:p>
      <w:pPr>
        <w:spacing w:after="0" w:line="86" w:lineRule="exact"/>
        <w:rPr>
          <w:rFonts w:ascii="Arial" w:cs="Arial" w:eastAsia="Arial" w:hAnsi="Arial"/>
          <w:sz w:val="18"/>
          <w:szCs w:val="18"/>
          <w:color w:val="auto"/>
        </w:rPr>
      </w:pPr>
    </w:p>
    <w:p>
      <w:pPr>
        <w:ind w:left="440" w:right="760" w:hanging="436"/>
        <w:spacing w:after="0" w:line="277"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Install and use Intrusion Detection Systems (IDS) and/or Intrusion Prevention Systems (IPS) that monitor all traffic entering and leaving Information Resources in connection with In-Scope Work.</w:t>
      </w:r>
    </w:p>
    <w:p>
      <w:pPr>
        <w:spacing w:after="0" w:line="75" w:lineRule="exact"/>
        <w:rPr>
          <w:rFonts w:ascii="Arial" w:cs="Arial" w:eastAsia="Arial" w:hAnsi="Arial"/>
          <w:sz w:val="18"/>
          <w:szCs w:val="18"/>
          <w:color w:val="auto"/>
        </w:rPr>
      </w:pPr>
    </w:p>
    <w:p>
      <w:pPr>
        <w:ind w:left="440" w:right="320" w:hanging="436"/>
        <w:spacing w:after="0" w:line="264"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Maintain and adhere to a documented process to remediate security vulnerabilities that may impact Information Resources, including those discovered through industry publications, vulnerability scanning, virus scanning, IDS/IPS alerts, and the review of security logs, and promptly apply appropriate security patches.</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Assign security administration responsibilities for configuring the security parameters of host operating systems to authorized users only.</w:t>
      </w:r>
    </w:p>
    <w:p>
      <w:pPr>
        <w:spacing w:after="0" w:line="142" w:lineRule="exact"/>
        <w:rPr>
          <w:rFonts w:ascii="Arial" w:cs="Arial" w:eastAsia="Arial" w:hAnsi="Arial"/>
          <w:sz w:val="17"/>
          <w:szCs w:val="17"/>
          <w:color w:val="auto"/>
        </w:rPr>
      </w:pPr>
    </w:p>
    <w:p>
      <w:pPr>
        <w:ind w:left="440" w:right="20" w:hanging="436"/>
        <w:spacing w:after="0" w:line="259"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Harden Information Resources by utilizing a minimum security baseline configuration based upon industry best practices to reduce available ways of attack. This typically includes changing default passwords, the removal of unnecessary software, unnecessary UserIDs, usernames or logins, and the disabling or removal of unnecessary services. Such hardening of the system’s security configurations, operating system software, firmware and applications are to prevent exploits that attack flaws in the underlying code.</w:t>
      </w:r>
    </w:p>
    <w:p>
      <w:pPr>
        <w:spacing w:after="0" w:line="92" w:lineRule="exact"/>
        <w:rPr>
          <w:rFonts w:ascii="Arial" w:cs="Arial" w:eastAsia="Arial" w:hAnsi="Arial"/>
          <w:sz w:val="18"/>
          <w:szCs w:val="18"/>
          <w:color w:val="auto"/>
        </w:rPr>
      </w:pPr>
    </w:p>
    <w:p>
      <w:pPr>
        <w:ind w:left="440" w:right="20" w:hanging="436"/>
        <w:spacing w:after="0" w:line="259" w:lineRule="auto"/>
        <w:tabs>
          <w:tab w:leader="none" w:pos="4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Enforce the rule of least privilege by requiring application, database, network and system administrators to restrict access of all users to only the commands, In-Scope Information and Information Resources necessary for them to perform authorized functions. Log all successful and unsuccessful login attempts along with logoffs. Supplier shall ensure that the use of AT&amp;T’s Information Resources by Supplier Entities shall only be for the performance of In-Scope Work.</w:t>
      </w:r>
    </w:p>
    <w:p>
      <w:pPr>
        <w:spacing w:after="0" w:line="92" w:lineRule="exact"/>
        <w:rPr>
          <w:rFonts w:ascii="Arial" w:cs="Arial" w:eastAsia="Arial" w:hAnsi="Arial"/>
          <w:sz w:val="18"/>
          <w:szCs w:val="18"/>
          <w:color w:val="auto"/>
        </w:rPr>
      </w:pPr>
    </w:p>
    <w:p>
      <w:pPr>
        <w:ind w:left="980" w:right="2140" w:hanging="560"/>
        <w:spacing w:after="0" w:line="383" w:lineRule="auto"/>
        <w:rPr>
          <w:rFonts w:ascii="Arial" w:cs="Arial" w:eastAsia="Arial" w:hAnsi="Arial"/>
          <w:sz w:val="18"/>
          <w:szCs w:val="18"/>
          <w:color w:val="auto"/>
        </w:rPr>
      </w:pPr>
      <w:r>
        <w:rPr>
          <w:rFonts w:ascii="Arial" w:cs="Arial" w:eastAsia="Arial" w:hAnsi="Arial"/>
          <w:sz w:val="18"/>
          <w:szCs w:val="18"/>
          <w:color w:val="auto"/>
        </w:rPr>
        <w:t>b.Ensure that controls are in-place to limit, protect, monitor, detect and respond to all Privileged User activities. Examples of such controls include enforcing:</w:t>
      </w:r>
    </w:p>
    <w:p>
      <w:pPr>
        <w:spacing w:after="0" w:line="1" w:lineRule="exact"/>
        <w:rPr>
          <w:rFonts w:ascii="Arial" w:cs="Arial" w:eastAsia="Arial" w:hAnsi="Arial"/>
          <w:sz w:val="18"/>
          <w:szCs w:val="18"/>
          <w:color w:val="auto"/>
        </w:rPr>
      </w:pPr>
    </w:p>
    <w:p>
      <w:pPr>
        <w:ind w:left="1980" w:hanging="545"/>
        <w:spacing w:after="0"/>
        <w:tabs>
          <w:tab w:leader="none" w:pos="198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 rule of least privilege;</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Separation of duties;</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Individual accountability;</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Change management;</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8" w:lineRule="exact"/>
        <w:rPr>
          <w:sz w:val="20"/>
          <w:szCs w:val="20"/>
          <w:color w:val="auto"/>
        </w:rPr>
      </w:pPr>
    </w:p>
    <w:p>
      <w:pPr>
        <w:ind w:left="1760" w:right="20" w:hanging="545"/>
        <w:spacing w:after="0" w:line="277" w:lineRule="auto"/>
        <w:tabs>
          <w:tab w:leader="none" w:pos="17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Auditability of Privileged User accounts and their activities in production environments since we do not store end customer’s data in non-production environments; and</w:t>
      </w:r>
    </w:p>
    <w:p>
      <w:pPr>
        <w:spacing w:after="0" w:line="75" w:lineRule="exact"/>
        <w:rPr>
          <w:rFonts w:ascii="Arial" w:cs="Arial" w:eastAsia="Arial" w:hAnsi="Arial"/>
          <w:sz w:val="18"/>
          <w:szCs w:val="18"/>
          <w:color w:val="auto"/>
        </w:rPr>
      </w:pPr>
    </w:p>
    <w:p>
      <w:pPr>
        <w:ind w:left="1760" w:hanging="545"/>
        <w:spacing w:after="0"/>
        <w:tabs>
          <w:tab w:leader="none" w:pos="17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Audit log retention for a minimum of (6) six months.</w:t>
      </w:r>
    </w:p>
    <w:p>
      <w:pPr>
        <w:spacing w:after="0" w:line="15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00"/>
          </w:cols>
          <w:pgMar w:left="660" w:top="274" w:right="4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Physical Security</w:t>
      </w:r>
    </w:p>
    <w:p>
      <w:pPr>
        <w:spacing w:after="0" w:line="229" w:lineRule="exact"/>
        <w:rPr>
          <w:sz w:val="20"/>
          <w:szCs w:val="20"/>
          <w:color w:val="auto"/>
        </w:rPr>
      </w:pPr>
    </w:p>
    <w:p>
      <w:pPr>
        <w:ind w:right="300" w:firstLine="4"/>
        <w:spacing w:after="0" w:line="277" w:lineRule="auto"/>
        <w:tabs>
          <w:tab w:leader="none" w:pos="1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Ensure all Information Resources intended for use by multiple users are located in secure physical facilities with access limited and restricted to authorized individuals only.</w:t>
      </w:r>
    </w:p>
    <w:p>
      <w:pPr>
        <w:spacing w:after="0" w:line="62" w:lineRule="exact"/>
        <w:rPr>
          <w:rFonts w:ascii="Arial" w:cs="Arial" w:eastAsia="Arial" w:hAnsi="Arial"/>
          <w:sz w:val="18"/>
          <w:szCs w:val="18"/>
          <w:color w:val="auto"/>
        </w:rPr>
      </w:pPr>
    </w:p>
    <w:p>
      <w:pPr>
        <w:ind w:left="440" w:right="120"/>
        <w:spacing w:after="0" w:line="277" w:lineRule="auto"/>
        <w:rPr>
          <w:rFonts w:ascii="Arial" w:cs="Arial" w:eastAsia="Arial" w:hAnsi="Arial"/>
          <w:sz w:val="18"/>
          <w:szCs w:val="18"/>
          <w:color w:val="auto"/>
        </w:rPr>
      </w:pPr>
      <w:r>
        <w:rPr>
          <w:rFonts w:ascii="Arial" w:cs="Arial" w:eastAsia="Arial" w:hAnsi="Arial"/>
          <w:sz w:val="18"/>
          <w:szCs w:val="18"/>
          <w:color w:val="auto"/>
        </w:rPr>
        <w:t>b. Monitor and record, for audit purposes, access to the physical facilities containing Information Resources intended for use by multiple users in connection with Supplier’s performance of In-Scope Work.</w:t>
      </w:r>
    </w:p>
    <w:p>
      <w:pPr>
        <w:spacing w:after="0" w:line="75" w:lineRule="exact"/>
        <w:rPr>
          <w:rFonts w:ascii="Arial" w:cs="Arial" w:eastAsia="Arial" w:hAnsi="Arial"/>
          <w:sz w:val="18"/>
          <w:szCs w:val="18"/>
          <w:color w:val="auto"/>
        </w:rPr>
      </w:pPr>
    </w:p>
    <w:p>
      <w:pPr>
        <w:ind w:left="440" w:hanging="436"/>
        <w:spacing w:after="0" w:line="342" w:lineRule="auto"/>
        <w:tabs>
          <w:tab w:leader="none" w:pos="4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Physically secure any area where In-Scope Information is accessible to prevent access by unauthorized persons. In addition, Supplier shall monitor and record the physical access to any facilities where In-Scope Information is accessible to prevent access by unauthorized persons.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Network Security</w:t>
      </w:r>
    </w:p>
    <w:p>
      <w:pPr>
        <w:spacing w:after="0" w:line="135" w:lineRule="exact"/>
        <w:rPr>
          <w:sz w:val="20"/>
          <w:szCs w:val="20"/>
          <w:color w:val="auto"/>
        </w:rPr>
      </w:pPr>
    </w:p>
    <w:p>
      <w:pPr>
        <w:ind w:left="440" w:right="20" w:hanging="436"/>
        <w:spacing w:after="0" w:line="264" w:lineRule="auto"/>
        <w:tabs>
          <w:tab w:leader="none" w:pos="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When providing Internet accessible services to AT&amp;T, have Denial of Service (DoS/DDoS) and gateway security protections in place. Web servers must reside in a DMZ and Information Resources storing In-Scope Information (such as application and database servers) must reside in a trusted internal network.</w:t>
      </w:r>
    </w:p>
    <w:p>
      <w:pPr>
        <w:spacing w:after="0" w:line="86" w:lineRule="exact"/>
        <w:rPr>
          <w:rFonts w:ascii="Arial" w:cs="Arial" w:eastAsia="Arial" w:hAnsi="Arial"/>
          <w:sz w:val="18"/>
          <w:szCs w:val="18"/>
          <w:color w:val="auto"/>
        </w:rPr>
      </w:pPr>
    </w:p>
    <w:p>
      <w:pPr>
        <w:ind w:left="440" w:right="40" w:hanging="436"/>
        <w:spacing w:after="0" w:line="257" w:lineRule="auto"/>
        <w:tabs>
          <w:tab w:leader="none" w:pos="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the purpose of demonstrating compliance with certain Security Requirements applicable to network architecture and network topology, if requested by AT&amp;T, provide AT&amp;T with a high-level copy of their logical network diagram. The network diagram needs to provide information regarding placement of Information Resources and security devices (such as Security Gateways, servers, DMZs, IDS/IPS, DoS/DDoS protections, databases, application servers, virtual private clouds (VPCs), and instances, etc.) used by Supplier Entities to perform or support AT&amp;T In-Scope Work.</w:t>
      </w:r>
    </w:p>
    <w:p>
      <w:pPr>
        <w:spacing w:after="0" w:line="93" w:lineRule="exact"/>
        <w:rPr>
          <w:rFonts w:ascii="Arial" w:cs="Arial" w:eastAsia="Arial" w:hAnsi="Arial"/>
          <w:sz w:val="18"/>
          <w:szCs w:val="18"/>
          <w:color w:val="auto"/>
        </w:rPr>
      </w:pPr>
    </w:p>
    <w:p>
      <w:pPr>
        <w:ind w:left="440" w:right="80" w:hanging="436"/>
        <w:spacing w:after="0" w:line="342" w:lineRule="auto"/>
        <w:tabs>
          <w:tab w:leader="none" w:pos="4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Use Strong Encryption for the transmission of In-Scope Information outside of AT&amp;T-controlled or Supplier-controlled networks or when transmitting In-Scope Information over any untrusted network. This applies to all technologies used for the transmission of In-Scope Information.</w:t>
      </w:r>
    </w:p>
    <w:p>
      <w:pPr>
        <w:spacing w:after="0" w:line="29" w:lineRule="exact"/>
        <w:rPr>
          <w:rFonts w:ascii="Arial" w:cs="Arial" w:eastAsia="Arial" w:hAnsi="Arial"/>
          <w:sz w:val="16"/>
          <w:szCs w:val="16"/>
          <w:color w:val="auto"/>
        </w:rPr>
      </w:pPr>
    </w:p>
    <w:p>
      <w:pPr>
        <w:ind w:left="440" w:hanging="436"/>
        <w:spacing w:after="0"/>
        <w:tabs>
          <w:tab w:leader="none" w:pos="4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Require Multi-Factor Authentication for any remote access use of Nonpublic Information Resources.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Security</w:t>
      </w:r>
    </w:p>
    <w:p>
      <w:pPr>
        <w:spacing w:after="0" w:line="135" w:lineRule="exact"/>
        <w:rPr>
          <w:sz w:val="20"/>
          <w:szCs w:val="20"/>
          <w:color w:val="auto"/>
        </w:rPr>
      </w:pPr>
    </w:p>
    <w:p>
      <w:pPr>
        <w:ind w:left="440" w:right="300" w:hanging="436"/>
        <w:spacing w:after="0" w:line="308" w:lineRule="auto"/>
        <w:tabs>
          <w:tab w:leader="none" w:pos="4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Segregate AT&amp;T’s applications and In-Scope Information from any other customer’s or Supplier’s own applications and information, either by using logical access controls and/or physical access controls to provide protection from unauthorized access.</w:t>
      </w:r>
    </w:p>
    <w:p>
      <w:pPr>
        <w:spacing w:after="0" w:line="51" w:lineRule="exact"/>
        <w:rPr>
          <w:rFonts w:ascii="Arial" w:cs="Arial" w:eastAsia="Arial" w:hAnsi="Arial"/>
          <w:sz w:val="17"/>
          <w:szCs w:val="17"/>
          <w:color w:val="auto"/>
        </w:rPr>
      </w:pPr>
    </w:p>
    <w:p>
      <w:pPr>
        <w:ind w:left="440" w:hanging="436"/>
        <w:spacing w:after="0"/>
        <w:tabs>
          <w:tab w:leader="none" w:pos="4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Maintain and adhere to documented processes for:</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backup and recovery of In-Scope Information and Information Resources in accordance with any disaster recovery requirements; and</w:t>
      </w:r>
    </w:p>
    <w:p>
      <w:pPr>
        <w:spacing w:after="0" w:line="153" w:lineRule="exact"/>
        <w:rPr>
          <w:rFonts w:ascii="Arial" w:cs="Arial" w:eastAsia="Arial" w:hAnsi="Arial"/>
          <w:sz w:val="16"/>
          <w:szCs w:val="16"/>
          <w:color w:val="auto"/>
        </w:rPr>
      </w:pPr>
    </w:p>
    <w:p>
      <w:pPr>
        <w:ind w:left="980" w:right="400" w:hanging="544"/>
        <w:spacing w:after="0" w:line="277" w:lineRule="auto"/>
        <w:tabs>
          <w:tab w:leader="none" w:pos="9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timely destruction and/or return of In-Scope Information in accordance with any retention, return, and/or destruction requirements under this Agreement.</w:t>
      </w:r>
    </w:p>
    <w:p>
      <w:pPr>
        <w:spacing w:after="0" w:line="9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8" w:lineRule="exact"/>
        <w:rPr>
          <w:sz w:val="20"/>
          <w:szCs w:val="20"/>
          <w:color w:val="auto"/>
        </w:rPr>
      </w:pPr>
    </w:p>
    <w:p>
      <w:pPr>
        <w:ind w:left="440" w:hanging="436"/>
        <w:spacing w:after="0"/>
        <w:tabs>
          <w:tab w:leader="none" w:pos="4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Limit access to In-Scope Information only to authorized users or systems on a need to know basis.</w:t>
      </w:r>
    </w:p>
    <w:p>
      <w:pPr>
        <w:spacing w:after="0" w:line="130" w:lineRule="exact"/>
        <w:rPr>
          <w:rFonts w:ascii="Arial" w:cs="Arial" w:eastAsia="Arial" w:hAnsi="Arial"/>
          <w:sz w:val="18"/>
          <w:szCs w:val="18"/>
          <w:color w:val="auto"/>
        </w:rPr>
      </w:pPr>
    </w:p>
    <w:p>
      <w:pPr>
        <w:ind w:left="440" w:right="60" w:hanging="436"/>
        <w:spacing w:after="0" w:line="279" w:lineRule="auto"/>
        <w:tabs>
          <w:tab w:leader="none" w:pos="4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Maintain documented processes and controls to detect and terminate unauthorized attempts to access, collect, modify, store, handle and/or dispose of In-Scope Information; and monitor, and remediate unauthorized access and/or changes to system and application configuration files in production environments. Supplier does not store end customer data in non-production environments. Supplier is managing the access in all environments and access with wrong credentials/passwords will be blocked to address unauthorized access.</w:t>
      </w:r>
    </w:p>
    <w:p>
      <w:pPr>
        <w:spacing w:after="0" w:line="10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Identification and Authentication</w:t>
      </w:r>
    </w:p>
    <w:p>
      <w:pPr>
        <w:spacing w:after="0" w:line="256" w:lineRule="exact"/>
        <w:rPr>
          <w:sz w:val="20"/>
          <w:szCs w:val="20"/>
          <w:color w:val="auto"/>
        </w:rPr>
      </w:pPr>
    </w:p>
    <w:p>
      <w:pPr>
        <w:ind w:left="440" w:right="380" w:hanging="436"/>
        <w:spacing w:after="0" w:line="277" w:lineRule="auto"/>
        <w:tabs>
          <w:tab w:leader="none" w:pos="4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Assign unique UserIDs to authorized individual users, assign individual ownership to system service accounts, and ensure that system service accounts are not shared.</w:t>
      </w:r>
    </w:p>
    <w:p>
      <w:pPr>
        <w:spacing w:after="0" w:line="75" w:lineRule="exact"/>
        <w:rPr>
          <w:rFonts w:ascii="Arial" w:cs="Arial" w:eastAsia="Arial" w:hAnsi="Arial"/>
          <w:sz w:val="18"/>
          <w:szCs w:val="18"/>
          <w:color w:val="auto"/>
        </w:rPr>
      </w:pPr>
    </w:p>
    <w:p>
      <w:pPr>
        <w:ind w:left="440" w:right="200" w:hanging="436"/>
        <w:spacing w:after="0" w:line="286" w:lineRule="auto"/>
        <w:tabs>
          <w:tab w:leader="none" w:pos="4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Maintain a documented UserID lifecycle management process that includes manual and/or automated processes for approved account creation, account removal within one (1) business day, and account modification for all Information Resources and across all environments. Such process shall include review of access privileges and account validity to be performed at least each calendar year.</w:t>
      </w:r>
    </w:p>
    <w:p>
      <w:pPr>
        <w:spacing w:after="0" w:line="70" w:lineRule="exact"/>
        <w:rPr>
          <w:rFonts w:ascii="Arial" w:cs="Arial" w:eastAsia="Arial" w:hAnsi="Arial"/>
          <w:sz w:val="17"/>
          <w:szCs w:val="17"/>
          <w:color w:val="auto"/>
        </w:rPr>
      </w:pPr>
    </w:p>
    <w:p>
      <w:pPr>
        <w:ind w:left="440" w:right="200" w:hanging="436"/>
        <w:spacing w:after="0" w:line="264" w:lineRule="auto"/>
        <w:tabs>
          <w:tab w:leader="none" w:pos="4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Limit failed login attempts by no more than six (6) consecutive failed login attempts by locking the user account. Access to the user account can be reactivated through the use of a manual process requiring verification of the user’s identity or, where such capability exists, can be automatically reactivated after at least three (3) minutes from the last failed login attempt.</w:t>
      </w:r>
    </w:p>
    <w:p>
      <w:pPr>
        <w:spacing w:after="0" w:line="86" w:lineRule="exact"/>
        <w:rPr>
          <w:rFonts w:ascii="Arial" w:cs="Arial" w:eastAsia="Arial" w:hAnsi="Arial"/>
          <w:sz w:val="18"/>
          <w:szCs w:val="18"/>
          <w:color w:val="auto"/>
        </w:rPr>
      </w:pPr>
    </w:p>
    <w:p>
      <w:pPr>
        <w:ind w:left="440" w:right="560" w:hanging="436"/>
        <w:spacing w:after="0" w:line="291" w:lineRule="auto"/>
        <w:tabs>
          <w:tab w:leader="none" w:pos="4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Terminate interactive sessions on a user’s workstation, or activate a secure, locking screensaver requiring authentication, after a period of inactivity not to exceed fifteen (15) minutes. On all other Information Resources terminate inactive interactive sessions not to exceed thirty</w:t>
      </w:r>
    </w:p>
    <w:p>
      <w:pPr>
        <w:ind w:left="780" w:hanging="344"/>
        <w:spacing w:after="0"/>
        <w:tabs>
          <w:tab w:leader="none" w:pos="7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minutes, excluding inactive scenarios where processing is needed to be ran in the background.</w:t>
      </w:r>
    </w:p>
    <w:p>
      <w:pPr>
        <w:spacing w:after="0" w:line="116" w:lineRule="exact"/>
        <w:rPr>
          <w:rFonts w:ascii="Arial" w:cs="Arial" w:eastAsia="Arial" w:hAnsi="Arial"/>
          <w:sz w:val="18"/>
          <w:szCs w:val="18"/>
          <w:color w:val="auto"/>
        </w:rPr>
      </w:pPr>
    </w:p>
    <w:p>
      <w:pPr>
        <w:ind w:left="540" w:right="120" w:hanging="536"/>
        <w:spacing w:after="0" w:line="277"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a.Use an authentication method based on the sensitivity of In-Scope Information. Whenever authentication credentials are stored, Supplier shall use Strong Encryption and/or one-way hashing based upon strong cryptography.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1019810</wp:posOffset>
            </wp:positionH>
            <wp:positionV relativeFrom="paragraph">
              <wp:posOffset>-1905635</wp:posOffset>
            </wp:positionV>
            <wp:extent cx="285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56" w:lineRule="exact"/>
        <w:rPr>
          <w:sz w:val="20"/>
          <w:szCs w:val="20"/>
          <w:color w:val="auto"/>
        </w:rPr>
      </w:pPr>
    </w:p>
    <w:p>
      <w:pPr>
        <w:ind w:left="980" w:hanging="544"/>
        <w:spacing w:after="0"/>
        <w:tabs>
          <w:tab w:leader="none" w:pos="9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Passwords must be complex and meet the following password construction requirements: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Be a minimum of eight (8) characters in length.</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Include characters from at least two (2) of these groupings: alpha, numeric, and special characters.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Not be the same as the UserID with which they are associated.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PINs must meet the following:</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Be a minimum of four (4) numbers; and</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Effective June 30, 2019, PINs shall not contain repeating or sequential numbers.</w:t>
      </w:r>
    </w:p>
    <w:p>
      <w:pPr>
        <w:spacing w:after="0" w:line="130" w:lineRule="exact"/>
        <w:rPr>
          <w:rFonts w:ascii="Arial" w:cs="Arial" w:eastAsia="Arial" w:hAnsi="Arial"/>
          <w:sz w:val="18"/>
          <w:szCs w:val="18"/>
          <w:color w:val="auto"/>
        </w:rPr>
      </w:pPr>
    </w:p>
    <w:p>
      <w:pPr>
        <w:ind w:left="980" w:right="140" w:hanging="544"/>
        <w:spacing w:after="0" w:line="277" w:lineRule="auto"/>
        <w:tabs>
          <w:tab w:leader="none" w:pos="9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Require expiration of password and, effective June 30, 2019 also expiration of PIN, at regular intervals not to exceed ninety (90) calendar days.</w:t>
      </w:r>
    </w:p>
    <w:p>
      <w:pPr>
        <w:spacing w:after="0" w:line="75" w:lineRule="exact"/>
        <w:rPr>
          <w:rFonts w:ascii="Arial" w:cs="Arial" w:eastAsia="Arial" w:hAnsi="Arial"/>
          <w:sz w:val="18"/>
          <w:szCs w:val="18"/>
          <w:color w:val="auto"/>
        </w:rPr>
      </w:pPr>
    </w:p>
    <w:p>
      <w:pPr>
        <w:ind w:left="440" w:right="440" w:hanging="436"/>
        <w:spacing w:after="0" w:line="277" w:lineRule="auto"/>
        <w:tabs>
          <w:tab w:leader="none" w:pos="4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When providing users with a new or reset password, or other authentication credentials, use a secure method to provide this information, and require reset at first login whenever a temporary credential is used.</w:t>
      </w:r>
    </w:p>
    <w:p>
      <w:pPr>
        <w:spacing w:after="0" w:line="9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Warning Notice</w:t>
      </w:r>
    </w:p>
    <w:p>
      <w:pPr>
        <w:spacing w:after="0" w:line="256" w:lineRule="exact"/>
        <w:rPr>
          <w:sz w:val="20"/>
          <w:szCs w:val="20"/>
          <w:color w:val="auto"/>
        </w:rPr>
      </w:pPr>
    </w:p>
    <w:p>
      <w:pPr>
        <w:ind w:left="440" w:right="660" w:hanging="436"/>
        <w:spacing w:after="0" w:line="277" w:lineRule="auto"/>
        <w:tabs>
          <w:tab w:leader="none" w:pos="4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jurisdictions where unauthorized access to Information Resources and In-Scope Information is a violation of the law, add the following statement to the warning notice: “Unauthorized access is a violation of law” or similar warning language.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Software, Software Code, and Data Integrity</w:t>
      </w:r>
    </w:p>
    <w:p>
      <w:pPr>
        <w:spacing w:after="0" w:line="256" w:lineRule="exact"/>
        <w:rPr>
          <w:sz w:val="20"/>
          <w:szCs w:val="20"/>
          <w:color w:val="auto"/>
        </w:rPr>
      </w:pPr>
    </w:p>
    <w:p>
      <w:pPr>
        <w:ind w:left="440" w:hanging="436"/>
        <w:spacing w:after="0"/>
        <w:tabs>
          <w:tab w:leader="none" w:pos="4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Have and use documented procedures to:</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Install and run current antivirus software to scan for and promptly remove or quarantine viruses and other malware.</w:t>
      </w:r>
    </w:p>
    <w:p>
      <w:pPr>
        <w:spacing w:after="0" w:line="130" w:lineRule="exact"/>
        <w:rPr>
          <w:rFonts w:ascii="Arial" w:cs="Arial" w:eastAsia="Arial" w:hAnsi="Arial"/>
          <w:sz w:val="18"/>
          <w:szCs w:val="18"/>
          <w:color w:val="auto"/>
        </w:rPr>
      </w:pPr>
    </w:p>
    <w:p>
      <w:pPr>
        <w:ind w:left="1420" w:right="440" w:hanging="430"/>
        <w:spacing w:after="0" w:line="277" w:lineRule="auto"/>
        <w:tabs>
          <w:tab w:leader="none" w:pos="14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Configure end user devices to ensure users are restricted from the ability to install unauthorized software, or to disable required software.</w:t>
      </w:r>
    </w:p>
    <w:p>
      <w:pPr>
        <w:spacing w:after="0" w:line="75" w:lineRule="exact"/>
        <w:rPr>
          <w:rFonts w:ascii="Arial" w:cs="Arial" w:eastAsia="Arial" w:hAnsi="Arial"/>
          <w:sz w:val="18"/>
          <w:szCs w:val="18"/>
          <w:color w:val="auto"/>
        </w:rPr>
      </w:pPr>
    </w:p>
    <w:p>
      <w:pPr>
        <w:ind w:left="440" w:right="80" w:hanging="436"/>
        <w:spacing w:after="0" w:line="277" w:lineRule="auto"/>
        <w:tabs>
          <w:tab w:leader="none" w:pos="4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Separate non-production Information Resources from production Information Resources, and separate In-Scope Information from non-production Information Resources.</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Maintain a documented change control process including back-out procedures for all production environments.</w:t>
      </w:r>
    </w:p>
    <w:p>
      <w:pPr>
        <w:spacing w:after="0" w:line="130" w:lineRule="exact"/>
        <w:rPr>
          <w:rFonts w:ascii="Arial" w:cs="Arial" w:eastAsia="Arial" w:hAnsi="Arial"/>
          <w:sz w:val="18"/>
          <w:szCs w:val="18"/>
          <w:color w:val="auto"/>
        </w:rPr>
      </w:pPr>
    </w:p>
    <w:p>
      <w:pPr>
        <w:ind w:left="440" w:right="220" w:hanging="436"/>
        <w:spacing w:after="0" w:line="277" w:lineRule="auto"/>
        <w:tabs>
          <w:tab w:leader="none" w:pos="4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For applications which utilize a database that allows modifications to In-Scope Information, logs for forensic analysis purposes shall be created, retained and available to AT&amp;T for a minimum of six (6) months either on-line or on backup media as follows: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where transaction logging is supported have database transaction logging features enabled; or</w:t>
      </w:r>
    </w:p>
    <w:p>
      <w:pPr>
        <w:spacing w:after="0" w:line="130" w:lineRule="exact"/>
        <w:rPr>
          <w:rFonts w:ascii="Arial" w:cs="Arial" w:eastAsia="Arial" w:hAnsi="Arial"/>
          <w:sz w:val="18"/>
          <w:szCs w:val="18"/>
          <w:color w:val="auto"/>
        </w:rPr>
      </w:pPr>
    </w:p>
    <w:p>
      <w:pPr>
        <w:ind w:left="1420" w:right="260" w:hanging="430"/>
        <w:spacing w:after="0" w:line="277" w:lineRule="auto"/>
        <w:tabs>
          <w:tab w:leader="none" w:pos="14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where transaction logging is not supported have some other mechanism that logs all modifications to In-Scope Information stored within the database including timestamp, UserID and information modified.</w:t>
      </w:r>
    </w:p>
    <w:p>
      <w:pPr>
        <w:spacing w:after="0" w:line="75" w:lineRule="exact"/>
        <w:rPr>
          <w:rFonts w:ascii="Arial" w:cs="Arial" w:eastAsia="Arial" w:hAnsi="Arial"/>
          <w:sz w:val="18"/>
          <w:szCs w:val="18"/>
          <w:color w:val="auto"/>
        </w:rPr>
      </w:pPr>
    </w:p>
    <w:p>
      <w:pPr>
        <w:ind w:left="540" w:right="240" w:hanging="536"/>
        <w:spacing w:after="0" w:line="264"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For all software developed or customized for AT&amp;T under the Agreement, review and scan such software to find and remediate malicious code and/or security vulnerabilities prior to initial deployment, upon code changes and/or at least annually, based on potential risk that a given vulnerability is or can be exploited as follows:</w:t>
      </w:r>
    </w:p>
    <w:p>
      <w:pPr>
        <w:spacing w:after="0" w:line="86" w:lineRule="exact"/>
        <w:rPr>
          <w:rFonts w:ascii="Arial" w:cs="Arial" w:eastAsia="Arial" w:hAnsi="Arial"/>
          <w:sz w:val="18"/>
          <w:szCs w:val="18"/>
          <w:color w:val="auto"/>
        </w:rPr>
      </w:pPr>
    </w:p>
    <w:p>
      <w:pPr>
        <w:ind w:left="1420" w:right="540" w:hanging="430"/>
        <w:spacing w:after="0" w:line="308" w:lineRule="auto"/>
        <w:tabs>
          <w:tab w:leader="none" w:pos="142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Source code vulnerability scanning must be performed where such tools are commercially available. Where such tools are not commercially available, automated and/or manual processes and procedures must be documented and used.</w:t>
      </w:r>
    </w:p>
    <w:p>
      <w:pPr>
        <w:spacing w:after="0" w:line="52" w:lineRule="exact"/>
        <w:rPr>
          <w:sz w:val="20"/>
          <w:szCs w:val="20"/>
          <w:color w:val="auto"/>
        </w:rPr>
      </w:pPr>
    </w:p>
    <w:p>
      <w:pPr>
        <w:ind w:left="1420" w:hanging="430"/>
        <w:spacing w:after="0"/>
        <w:tabs>
          <w:tab w:leader="none" w:pos="14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Scan results and remediation plans must be made available to AT&amp;T upon request.</w:t>
      </w:r>
    </w:p>
    <w:p>
      <w:pPr>
        <w:spacing w:after="0" w:line="130" w:lineRule="exact"/>
        <w:rPr>
          <w:rFonts w:ascii="Arial" w:cs="Arial" w:eastAsia="Arial" w:hAnsi="Arial"/>
          <w:sz w:val="18"/>
          <w:szCs w:val="18"/>
          <w:color w:val="auto"/>
        </w:rPr>
      </w:pPr>
    </w:p>
    <w:p>
      <w:pPr>
        <w:jc w:val="both"/>
        <w:ind w:left="980" w:right="120" w:hanging="544"/>
        <w:spacing w:after="0" w:line="264" w:lineRule="auto"/>
        <w:tabs>
          <w:tab w:leader="none" w:pos="9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Where technically feasible, for all software used, furnished and/or supported under the Agreement, review and scan such software to find and remediate security vulnerabilities prior to initial deployment, upon code changes and/or at least annually based on potential risk that a given vulnerability is or can be exploited.</w:t>
      </w:r>
    </w:p>
    <w:p>
      <w:pPr>
        <w:spacing w:after="0" w:line="86" w:lineRule="exact"/>
        <w:rPr>
          <w:rFonts w:ascii="Arial" w:cs="Arial" w:eastAsia="Arial" w:hAnsi="Arial"/>
          <w:sz w:val="18"/>
          <w:szCs w:val="18"/>
          <w:color w:val="auto"/>
        </w:rPr>
      </w:pPr>
    </w:p>
    <w:p>
      <w:pPr>
        <w:ind w:left="440" w:right="20" w:hanging="436"/>
        <w:spacing w:after="0" w:line="342" w:lineRule="auto"/>
        <w:tabs>
          <w:tab w:leader="none" w:pos="4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Perform quality assurance testing for the security components (e.g., testing of identification, authentication and authorization functions), as well as any other activity designed to validate the security architecture, during initial implementation and upon any modifications and updates.</w:t>
      </w:r>
    </w:p>
    <w:p>
      <w:pPr>
        <w:spacing w:after="0" w:line="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Monitoring and Auditing Controls</w:t>
      </w:r>
    </w:p>
    <w:p>
      <w:pPr>
        <w:spacing w:after="0" w:line="256" w:lineRule="exact"/>
        <w:rPr>
          <w:sz w:val="20"/>
          <w:szCs w:val="20"/>
          <w:color w:val="auto"/>
        </w:rPr>
      </w:pPr>
    </w:p>
    <w:p>
      <w:pPr>
        <w:ind w:left="440" w:hanging="436"/>
        <w:spacing w:after="0"/>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Restrict access to security logs to authorized individuals, and protect security logs from unauthorized modification.</w:t>
      </w:r>
    </w:p>
    <w:p>
      <w:pPr>
        <w:spacing w:after="0" w:line="130" w:lineRule="exact"/>
        <w:rPr>
          <w:rFonts w:ascii="Arial" w:cs="Arial" w:eastAsia="Arial" w:hAnsi="Arial"/>
          <w:sz w:val="18"/>
          <w:szCs w:val="18"/>
          <w:color w:val="auto"/>
        </w:rPr>
      </w:pPr>
    </w:p>
    <w:p>
      <w:pPr>
        <w:ind w:left="440" w:right="440" w:hanging="436"/>
        <w:spacing w:after="0" w:line="277" w:lineRule="auto"/>
        <w:tabs>
          <w:tab w:leader="none" w:pos="4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Review, on no less than a weekly basis, all anomalies from security and security-related audit logs and document and resolve logged security problems in a timely manner.</w:t>
      </w:r>
    </w:p>
    <w:p>
      <w:pPr>
        <w:spacing w:after="0" w:line="75" w:lineRule="exact"/>
        <w:rPr>
          <w:rFonts w:ascii="Arial" w:cs="Arial" w:eastAsia="Arial" w:hAnsi="Arial"/>
          <w:sz w:val="18"/>
          <w:szCs w:val="18"/>
          <w:color w:val="auto"/>
        </w:rPr>
      </w:pPr>
    </w:p>
    <w:p>
      <w:pPr>
        <w:ind w:left="980" w:right="160" w:hanging="544"/>
        <w:spacing w:after="0" w:line="264" w:lineRule="auto"/>
        <w:tabs>
          <w:tab w:leader="none" w:pos="9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Such reviews may initially be performed by automated processes that promptly issue alarms and/or alerts when such processes detect significant anomalies so that the issuance of such alarms and/or alerts causes prompt investigation and review by responsible individuals; and</w:t>
      </w:r>
    </w:p>
    <w:p>
      <w:pPr>
        <w:spacing w:after="0" w:line="86" w:lineRule="exact"/>
        <w:rPr>
          <w:rFonts w:ascii="Arial" w:cs="Arial" w:eastAsia="Arial" w:hAnsi="Arial"/>
          <w:sz w:val="18"/>
          <w:szCs w:val="18"/>
          <w:color w:val="auto"/>
        </w:rPr>
      </w:pPr>
    </w:p>
    <w:p>
      <w:pPr>
        <w:ind w:left="980" w:hanging="544"/>
        <w:spacing w:after="0"/>
        <w:tabs>
          <w:tab w:leader="none" w:pos="98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If automated processes successfully resolve a logged security problem, no further action by responsible individuals is required.</w:t>
      </w:r>
    </w:p>
    <w:p>
      <w:pPr>
        <w:spacing w:after="0" w:line="142" w:lineRule="exact"/>
        <w:rPr>
          <w:rFonts w:ascii="Arial" w:cs="Arial" w:eastAsia="Arial" w:hAnsi="Arial"/>
          <w:sz w:val="17"/>
          <w:szCs w:val="17"/>
          <w:color w:val="auto"/>
        </w:rPr>
      </w:pPr>
    </w:p>
    <w:p>
      <w:pPr>
        <w:ind w:left="980" w:right="140" w:hanging="976"/>
        <w:spacing w:after="0" w:line="259" w:lineRule="auto"/>
        <w:tabs>
          <w:tab w:leader="none" w:pos="39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a.When presented with evidence by AT&amp;T of a threat to AT&amp;T or AT&amp;T’s customers’ Nonpublic Information Resources originating from the Supplier’s network (e.g., worm, virus or other malware, bot infection, Advanced Persistent Threat (APT), DoS/DDoS attack, etc.), Supplier shall promptly cooperate with AT&amp;T and take all reasonable and necessary steps to isolate, mitigate, and/or terminate all known or suspected threats.</w:t>
      </w:r>
    </w:p>
    <w:p>
      <w:pPr>
        <w:spacing w:after="0" w:line="11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8" w:lineRule="exact"/>
        <w:rPr>
          <w:sz w:val="20"/>
          <w:szCs w:val="20"/>
          <w:color w:val="auto"/>
        </w:rPr>
      </w:pPr>
    </w:p>
    <w:p>
      <w:pPr>
        <w:ind w:left="980" w:right="40" w:hanging="544"/>
        <w:spacing w:after="0" w:line="312" w:lineRule="auto"/>
        <w:tabs>
          <w:tab w:leader="none" w:pos="9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When Supplier learns of or discovers a known or suspected threat/vulnerability impacting AT&amp;T (including but not limited to notifications received from security researchers or industry resources, bug bounty program, etc.), Supplier must promptly notify and cooperate with AT&amp;T, and take all reasonable and necessary steps to isolate, mitigate, and/or remediate such known or suspected threat/vulnerability.</w:t>
      </w:r>
    </w:p>
    <w:p>
      <w:pPr>
        <w:spacing w:after="0" w:line="52" w:lineRule="exact"/>
        <w:rPr>
          <w:rFonts w:ascii="Arial" w:cs="Arial" w:eastAsia="Arial" w:hAnsi="Arial"/>
          <w:sz w:val="16"/>
          <w:szCs w:val="16"/>
          <w:color w:val="auto"/>
        </w:rPr>
      </w:pPr>
    </w:p>
    <w:p>
      <w:pPr>
        <w:ind w:left="980" w:right="420" w:hanging="544"/>
        <w:spacing w:after="0" w:line="264" w:lineRule="auto"/>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event Supplier discovers that it is non-compliant with, or AT&amp;T finds Supplier to be non-compliant with these Security Requirements, then Supplier shall implement corrective action promptly, but in no less than the earlier of [*] days of Supplier’s initial discovery of, or AT&amp;T’s initial notification to Supplier of such non-compliance.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Reporting Violations</w:t>
      </w:r>
    </w:p>
    <w:p>
      <w:pPr>
        <w:spacing w:after="0" w:line="256" w:lineRule="exact"/>
        <w:rPr>
          <w:sz w:val="20"/>
          <w:szCs w:val="20"/>
          <w:color w:val="auto"/>
        </w:rPr>
      </w:pPr>
    </w:p>
    <w:p>
      <w:pPr>
        <w:ind w:left="440" w:right="140" w:hanging="436"/>
        <w:spacing w:after="0" w:line="277" w:lineRule="auto"/>
        <w:tabs>
          <w:tab w:leader="none" w:pos="4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Maintain a documented procedure to be followed in the event of a suspected attack upon, intrusion upon, unauthorized access to, loss of, or other security breach involving In-Scope Information in which Supplier shall:</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Promptly investigate and determine if such an attack has occurred; and</w:t>
      </w:r>
    </w:p>
    <w:p>
      <w:pPr>
        <w:spacing w:after="0" w:line="130" w:lineRule="exact"/>
        <w:rPr>
          <w:rFonts w:ascii="Arial" w:cs="Arial" w:eastAsia="Arial" w:hAnsi="Arial"/>
          <w:sz w:val="18"/>
          <w:szCs w:val="18"/>
          <w:color w:val="auto"/>
        </w:rPr>
      </w:pPr>
    </w:p>
    <w:p>
      <w:pPr>
        <w:ind w:left="980" w:right="140" w:hanging="544"/>
        <w:spacing w:after="0" w:line="277" w:lineRule="auto"/>
        <w:tabs>
          <w:tab w:leader="none" w:pos="9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If a successful attack has occurred involving In-Scope Information or it is impossible to determine whether the attack was successful then Supplier shall promptly notify AT&amp;T by contacting:</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Asset Protection by telephone at 1-800-807-4205 from within the US and at 1-908-658-0380 from elsewhere;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Supplier’s contact within AT&amp;T for service-related issues.</w:t>
      </w:r>
    </w:p>
    <w:p>
      <w:pPr>
        <w:spacing w:after="0" w:line="130" w:lineRule="exact"/>
        <w:rPr>
          <w:rFonts w:ascii="Arial" w:cs="Arial" w:eastAsia="Arial" w:hAnsi="Arial"/>
          <w:sz w:val="18"/>
          <w:szCs w:val="18"/>
          <w:color w:val="auto"/>
        </w:rPr>
      </w:pPr>
    </w:p>
    <w:p>
      <w:pPr>
        <w:ind w:left="440" w:right="60" w:hanging="436"/>
        <w:spacing w:after="0" w:line="302" w:lineRule="auto"/>
        <w:tabs>
          <w:tab w:leader="none" w:pos="4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After notifying AT&amp;T whenever there is a successful attack upon, intrusion upon, unauthorized access to, loss of, or other breach of In-Scope Information, provide AT&amp;T with regular status updates, including, actions taken to resolve such incident, at mutually agreed intervals or times for the duration of the incident and, within seven (7) calendar days of the closure of the incident, provide AT&amp;T with a written report describing the incident, actions taken by the Supplier during its response and Supplier’s plans for future actions to prevent a similar incident from occurring.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Mobile and Portable Devices</w:t>
      </w:r>
    </w:p>
    <w:p>
      <w:pPr>
        <w:spacing w:after="0" w:line="256" w:lineRule="exact"/>
        <w:rPr>
          <w:sz w:val="20"/>
          <w:szCs w:val="20"/>
          <w:color w:val="auto"/>
        </w:rPr>
      </w:pPr>
    </w:p>
    <w:p>
      <w:pPr>
        <w:ind w:left="440" w:hanging="436"/>
        <w:spacing w:after="0"/>
        <w:tabs>
          <w:tab w:leader="none" w:pos="4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Use Strong Encryption to protect all In-Scope Information stored on Mobile and Portable Devices.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Use Strong Encryption to protect all In-Scope Information transmitted using or remotely accessed by network-aware Mobile and Portable Devices.</w:t>
      </w:r>
    </w:p>
    <w:p>
      <w:pPr>
        <w:spacing w:after="0" w:line="17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8" w:lineRule="exact"/>
        <w:rPr>
          <w:sz w:val="20"/>
          <w:szCs w:val="20"/>
          <w:color w:val="auto"/>
        </w:rPr>
      </w:pPr>
    </w:p>
    <w:p>
      <w:pPr>
        <w:ind w:left="440" w:right="220" w:hanging="436"/>
        <w:spacing w:after="0" w:line="277" w:lineRule="auto"/>
        <w:tabs>
          <w:tab w:leader="none" w:pos="4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Maintain documented policies, standards and procedures for Mobile and Portable Devices used to access and/or store In-Scope Information that include the following requirements: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users must be authorized for such access and their identity authenticated;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Mobile and Portable devices must be physically secured and/or in the physical possession of authorized individuals;</w:t>
      </w:r>
    </w:p>
    <w:p>
      <w:pPr>
        <w:spacing w:after="0" w:line="130" w:lineRule="exact"/>
        <w:rPr>
          <w:rFonts w:ascii="Arial" w:cs="Arial" w:eastAsia="Arial" w:hAnsi="Arial"/>
          <w:sz w:val="18"/>
          <w:szCs w:val="18"/>
          <w:color w:val="auto"/>
        </w:rPr>
      </w:pPr>
    </w:p>
    <w:p>
      <w:pPr>
        <w:ind w:left="980" w:right="20" w:hanging="544"/>
        <w:spacing w:after="0" w:line="308" w:lineRule="auto"/>
        <w:tabs>
          <w:tab w:leader="none" w:pos="98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Where technically feasible, use a remote wipe capability on such devices to promptly and securely delete In-Scope Information, when such devices are not in the physical possession of authorized individuals nor otherwise physically secured; and</w:t>
      </w:r>
    </w:p>
    <w:p>
      <w:pPr>
        <w:spacing w:after="0" w:line="51" w:lineRule="exact"/>
        <w:rPr>
          <w:rFonts w:ascii="Arial" w:cs="Arial" w:eastAsia="Arial" w:hAnsi="Arial"/>
          <w:sz w:val="17"/>
          <w:szCs w:val="17"/>
          <w:color w:val="auto"/>
        </w:rPr>
      </w:pPr>
    </w:p>
    <w:p>
      <w:pPr>
        <w:ind w:left="980" w:hanging="544"/>
        <w:spacing w:after="0"/>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Jailbroken or rooted smartphones cannot be used to perform In-Scope Work.</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Implement and maintain a documented policy that prohibits the use of any:</w:t>
      </w:r>
    </w:p>
    <w:p>
      <w:pPr>
        <w:spacing w:after="0" w:line="130" w:lineRule="exact"/>
        <w:rPr>
          <w:rFonts w:ascii="Arial" w:cs="Arial" w:eastAsia="Arial" w:hAnsi="Arial"/>
          <w:sz w:val="18"/>
          <w:szCs w:val="18"/>
          <w:color w:val="auto"/>
        </w:rPr>
      </w:pPr>
    </w:p>
    <w:p>
      <w:pPr>
        <w:ind w:left="980" w:right="680" w:hanging="544"/>
        <w:spacing w:after="0" w:line="277"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Supplier-issued Mobile and Portable Devices to access and/or store In-Scope Information unless the device is administered and/or managed by Supplier; and</w:t>
      </w:r>
    </w:p>
    <w:p>
      <w:pPr>
        <w:spacing w:after="0" w:line="75" w:lineRule="exact"/>
        <w:rPr>
          <w:rFonts w:ascii="Arial" w:cs="Arial" w:eastAsia="Arial" w:hAnsi="Arial"/>
          <w:sz w:val="18"/>
          <w:szCs w:val="18"/>
          <w:color w:val="auto"/>
        </w:rPr>
      </w:pPr>
    </w:p>
    <w:p>
      <w:pPr>
        <w:ind w:left="980" w:right="80" w:hanging="544"/>
        <w:spacing w:after="0" w:line="277"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Non-Supplier issued Mobile and Portable Devices to access and/or store In-Scope Information unless adequately segregated and protected by utilizing a Supplier administered and/or managed secure container-based and/or sandbox solution.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Gateways</w:t>
      </w:r>
    </w:p>
    <w:p>
      <w:pPr>
        <w:spacing w:after="0" w:line="256" w:lineRule="exact"/>
        <w:rPr>
          <w:sz w:val="20"/>
          <w:szCs w:val="20"/>
          <w:color w:val="auto"/>
        </w:rPr>
      </w:pPr>
    </w:p>
    <w:p>
      <w:pPr>
        <w:ind w:left="440" w:right="140" w:hanging="436"/>
        <w:spacing w:after="0" w:line="277" w:lineRule="auto"/>
        <w:tabs>
          <w:tab w:leader="none" w:pos="4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Require Multi-Factor Authentication for administrative and/or management access to Security Gateways, including any access for the purpose of reviewing log files.</w:t>
      </w:r>
    </w:p>
    <w:p>
      <w:pPr>
        <w:spacing w:after="0" w:line="75" w:lineRule="exact"/>
        <w:rPr>
          <w:rFonts w:ascii="Arial" w:cs="Arial" w:eastAsia="Arial" w:hAnsi="Arial"/>
          <w:sz w:val="18"/>
          <w:szCs w:val="18"/>
          <w:color w:val="auto"/>
        </w:rPr>
      </w:pPr>
    </w:p>
    <w:p>
      <w:pPr>
        <w:ind w:left="440" w:right="640" w:hanging="436"/>
        <w:spacing w:after="0" w:line="342" w:lineRule="auto"/>
        <w:tabs>
          <w:tab w:leader="none" w:pos="4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Maintain documented controls, policies, processes and procedures to ensure that unauthorized users do not have administrative and/or management access to Security Gateways, and that user authorization levels to administer and manage Security Gateways are appropriate.</w:t>
      </w:r>
    </w:p>
    <w:p>
      <w:pPr>
        <w:spacing w:after="0" w:line="29" w:lineRule="exact"/>
        <w:rPr>
          <w:rFonts w:ascii="Arial" w:cs="Arial" w:eastAsia="Arial" w:hAnsi="Arial"/>
          <w:sz w:val="16"/>
          <w:szCs w:val="16"/>
          <w:color w:val="auto"/>
        </w:rPr>
      </w:pPr>
    </w:p>
    <w:p>
      <w:pPr>
        <w:ind w:left="440" w:right="180" w:hanging="436"/>
        <w:spacing w:after="0" w:line="277" w:lineRule="auto"/>
        <w:tabs>
          <w:tab w:leader="none" w:pos="4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At least annually, ensure that each Security Gateway rule was properly authorized and is traceable to a specific business request, and that all rule sets either explicitly or implicitly end with a “DENY ALL” statement.</w:t>
      </w:r>
    </w:p>
    <w:p>
      <w:pPr>
        <w:spacing w:after="0" w:line="75" w:lineRule="exact"/>
        <w:rPr>
          <w:rFonts w:ascii="Arial" w:cs="Arial" w:eastAsia="Arial" w:hAnsi="Arial"/>
          <w:sz w:val="18"/>
          <w:szCs w:val="18"/>
          <w:color w:val="auto"/>
        </w:rPr>
      </w:pPr>
    </w:p>
    <w:p>
      <w:pPr>
        <w:ind w:left="440" w:right="180" w:hanging="436"/>
        <w:spacing w:after="0" w:line="277" w:lineRule="auto"/>
        <w:tabs>
          <w:tab w:leader="none" w:pos="4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Use monitoring tools to ensure that all aspects of Security Gateways (e.g., hardware, firmware, and software) are operational at all times. Ensure that all non-operational Security Gateways are configured to deny all access.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Wireless Networking</w:t>
      </w:r>
    </w:p>
    <w:p>
      <w:pPr>
        <w:spacing w:after="0" w:line="256" w:lineRule="exact"/>
        <w:rPr>
          <w:sz w:val="20"/>
          <w:szCs w:val="20"/>
          <w:color w:val="auto"/>
        </w:rPr>
      </w:pPr>
    </w:p>
    <w:p>
      <w:pPr>
        <w:jc w:val="both"/>
        <w:ind w:left="440" w:right="260" w:hanging="436"/>
        <w:spacing w:after="0" w:line="276" w:lineRule="auto"/>
        <w:tabs>
          <w:tab w:leader="none" w:pos="4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When using radio frequency (RF) based wireless networking technologies (e.g., Bluetooth and Wi-Fi) to perform or support In-Scope Work for AT&amp;T, ensure that all In-Scope Information transmitted must use appropriate encryption technologies sufficient to protect the confidentiality of In-Scope Information; provided, however, in any event such encryption shall use no less than key lengths of 256-bits for symmetric encryption and 2048-bits for asymmetric encryption. The use of RF-based wireless headsets, keyboards, microphones, and pointing devices, such as mice, touch pads, and digital drawing tablets, is excluded from this requirement.</w:t>
      </w:r>
    </w:p>
    <w:p>
      <w:pPr>
        <w:spacing w:after="0" w:line="10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Connectivity Requirements</w:t>
      </w:r>
    </w:p>
    <w:p>
      <w:pPr>
        <w:spacing w:after="0" w:line="256" w:lineRule="exact"/>
        <w:rPr>
          <w:sz w:val="20"/>
          <w:szCs w:val="20"/>
          <w:color w:val="auto"/>
        </w:rPr>
      </w:pPr>
    </w:p>
    <w:p>
      <w:pPr>
        <w:ind w:left="440" w:right="40" w:hanging="436"/>
        <w:spacing w:after="0" w:line="264" w:lineRule="auto"/>
        <w:tabs>
          <w:tab w:leader="none" w:pos="4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that Supplier has, or will be provided, connectivity to AT&amp;T’s or AT&amp;T’s customers’ Nonpublic Information Resources in connection with In-Scope Work, then Supplier shall not establish additional interconnections to AT&amp;T’s and AT&amp;T’s customers’ Nonpublic Information Resources without the prior consent of AT&amp;T and shall:</w:t>
      </w:r>
    </w:p>
    <w:p>
      <w:pPr>
        <w:spacing w:after="0" w:line="86" w:lineRule="exact"/>
        <w:rPr>
          <w:rFonts w:ascii="Arial" w:cs="Arial" w:eastAsia="Arial" w:hAnsi="Arial"/>
          <w:sz w:val="18"/>
          <w:szCs w:val="18"/>
          <w:color w:val="auto"/>
        </w:rPr>
      </w:pPr>
    </w:p>
    <w:p>
      <w:pPr>
        <w:ind w:left="980" w:right="280" w:hanging="544"/>
        <w:spacing w:after="0" w:line="277" w:lineRule="auto"/>
        <w:tabs>
          <w:tab w:leader="none" w:pos="9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Use only the mutually agreed upon facilities and connection methodologies to interconnect AT&amp;T’s and AT&amp;T’s customers’ Nonpublic Information Resources with Supplier’s Information Resources.</w:t>
      </w:r>
    </w:p>
    <w:p>
      <w:pPr>
        <w:spacing w:after="0" w:line="75" w:lineRule="exact"/>
        <w:rPr>
          <w:rFonts w:ascii="Arial" w:cs="Arial" w:eastAsia="Arial" w:hAnsi="Arial"/>
          <w:sz w:val="18"/>
          <w:szCs w:val="18"/>
          <w:color w:val="auto"/>
        </w:rPr>
      </w:pPr>
    </w:p>
    <w:p>
      <w:pPr>
        <w:ind w:left="980" w:right="20" w:hanging="544"/>
        <w:spacing w:after="0" w:line="286" w:lineRule="auto"/>
        <w:tabs>
          <w:tab w:leader="none" w:pos="9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If the agreed upon connectivity methodology requires that Supplier implement a Security Gateway, maintain logs of all sessions using such Security Gateway. Such session logs must include sufficiently detailed information to assist with a security incident or a forensic investigation (e.g., identification of the end user or application accessing AT&amp;T). Such session logs must include origination IP address, destination IP address, ports/service protocols used and duration of access. Such session logs must be retained for a minimum of six</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(6) months.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Supplier Entity Compliance</w:t>
      </w:r>
    </w:p>
    <w:p>
      <w:pPr>
        <w:spacing w:after="0" w:line="256" w:lineRule="exact"/>
        <w:rPr>
          <w:sz w:val="20"/>
          <w:szCs w:val="20"/>
          <w:color w:val="auto"/>
        </w:rPr>
      </w:pPr>
    </w:p>
    <w:p>
      <w:pPr>
        <w:ind w:left="440" w:hanging="436"/>
        <w:spacing w:after="0"/>
        <w:tabs>
          <w:tab w:leader="none" w:pos="4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Supplier shall:</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Ensure all Supplier Entities performing In-Scope Work are aware of, and in compliance with, these Security Requirements.</w:t>
      </w:r>
    </w:p>
    <w:p>
      <w:pPr>
        <w:spacing w:after="0" w:line="142" w:lineRule="exact"/>
        <w:rPr>
          <w:rFonts w:ascii="Arial" w:cs="Arial" w:eastAsia="Arial" w:hAnsi="Arial"/>
          <w:sz w:val="17"/>
          <w:szCs w:val="17"/>
          <w:color w:val="auto"/>
        </w:rPr>
      </w:pPr>
    </w:p>
    <w:p>
      <w:pPr>
        <w:ind w:left="1420" w:right="80" w:hanging="430"/>
        <w:spacing w:after="0" w:line="277" w:lineRule="auto"/>
        <w:tabs>
          <w:tab w:leader="none" w:pos="14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Ensure all Supplier Entities performing any In-Scope Work are contractually obligated to comply with these Security Requirements, or in any event, requirements that are no less stringent.</w:t>
      </w:r>
    </w:p>
    <w:p>
      <w:pPr>
        <w:spacing w:after="0" w:line="75" w:lineRule="exact"/>
        <w:rPr>
          <w:rFonts w:ascii="Arial" w:cs="Arial" w:eastAsia="Arial" w:hAnsi="Arial"/>
          <w:sz w:val="18"/>
          <w:szCs w:val="18"/>
          <w:color w:val="auto"/>
        </w:rPr>
      </w:pPr>
    </w:p>
    <w:p>
      <w:pPr>
        <w:ind w:left="1420" w:right="80" w:hanging="430"/>
        <w:spacing w:after="0" w:line="277" w:lineRule="auto"/>
        <w:tabs>
          <w:tab w:leader="none" w:pos="14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Ensure the use of AT&amp;T’s Information Resources and In-Scope Information by Supplier Entities will only be for the performance of In-Scope Work.</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Upon AT&amp;T’s request, Supplier will provide documentation and/or evidence to adequately substantiate such compliance.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Protection of AT&amp;T’s SPI &amp; SCD</w:t>
      </w:r>
    </w:p>
    <w:p>
      <w:pPr>
        <w:spacing w:after="0" w:line="256" w:lineRule="exact"/>
        <w:rPr>
          <w:sz w:val="20"/>
          <w:szCs w:val="20"/>
          <w:color w:val="auto"/>
        </w:rPr>
      </w:pPr>
    </w:p>
    <w:p>
      <w:pPr>
        <w:ind w:left="440" w:right="100" w:hanging="436"/>
        <w:spacing w:after="0" w:line="277" w:lineRule="auto"/>
        <w:tabs>
          <w:tab w:leader="none" w:pos="4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Use Strong Encryption to protect AT&amp;T’s SPI and/or AT&amp;T’s SCD (see Table 1 and 2 below) when transmitted over all networks. This applies to all technologies used for the transmission of SPI and/or AT&amp;T’s SCD.</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Use Strong Encryption to protect AT&amp;T’s SPI and/or AT&amp;T’s SCD (see Table 1 and 2 below) when stored.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Cloud Services</w:t>
      </w:r>
    </w:p>
    <w:p>
      <w:pPr>
        <w:spacing w:after="0" w:line="256" w:lineRule="exact"/>
        <w:rPr>
          <w:sz w:val="20"/>
          <w:szCs w:val="20"/>
          <w:color w:val="auto"/>
        </w:rPr>
      </w:pPr>
    </w:p>
    <w:p>
      <w:pPr>
        <w:ind w:left="440" w:right="440" w:hanging="436"/>
        <w:spacing w:after="0" w:line="277" w:lineRule="auto"/>
        <w:tabs>
          <w:tab w:leader="none" w:pos="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When storing In-Scope Information in a Cloud Service, ensure all In-Scope Work performed by Supplier Entities is in compliance with these Security Requirements, or in any event, requirements that are no less stringent.</w:t>
      </w:r>
    </w:p>
    <w:p>
      <w:pPr>
        <w:spacing w:after="0" w:line="9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8" w:lineRule="exact"/>
        <w:rPr>
          <w:sz w:val="20"/>
          <w:szCs w:val="20"/>
          <w:color w:val="auto"/>
        </w:rPr>
      </w:pPr>
    </w:p>
    <w:p>
      <w:pPr>
        <w:ind w:left="440" w:hanging="436"/>
        <w:spacing w:after="0"/>
        <w:tabs>
          <w:tab w:leader="none" w:pos="4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When utilizing a Cloud Service enforce.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Multi-Factor Authentication for all Privileged Users.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 addition to Strong Encryption of SPI and SCD use Strong Encryption to protect all In-Scope Information when:</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Transmitted over all networks to, from, and within a Cloud Service.</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Stored within a Cloud Service.</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186" w:name="page187"/>
    <w:bookmarkEnd w:id="186"/>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Table 1—AT&amp;T SPI Data Elements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Data elements in the following tables must be treated as SPI when used in their entirety, unless explicitly stated in the following table. This applies to all data formats including scanned images, PDFs, JPGs and any other unified communication, and collaboration tools/content.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040" w:type="dxa"/>
            <w:vAlign w:val="bottom"/>
            <w:gridSpan w:val="3"/>
          </w:tcPr>
          <w:p>
            <w:pPr>
              <w:ind w:left="580"/>
              <w:spacing w:after="0"/>
              <w:rPr>
                <w:sz w:val="20"/>
                <w:szCs w:val="20"/>
                <w:color w:val="auto"/>
              </w:rPr>
            </w:pPr>
            <w:r>
              <w:rPr>
                <w:rFonts w:ascii="Arial" w:cs="Arial" w:eastAsia="Arial" w:hAnsi="Arial"/>
                <w:sz w:val="18"/>
                <w:szCs w:val="18"/>
                <w:b w:val="1"/>
                <w:bCs w:val="1"/>
                <w:color w:val="auto"/>
              </w:rPr>
              <w:t>Individual Identification</w:t>
            </w:r>
          </w:p>
        </w:tc>
      </w:tr>
      <w:tr>
        <w:trPr>
          <w:trHeight w:val="405"/>
        </w:trPr>
        <w:tc>
          <w:tcPr>
            <w:tcW w:w="400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ind w:left="2280"/>
              <w:spacing w:after="0"/>
              <w:rPr>
                <w:sz w:val="20"/>
                <w:szCs w:val="20"/>
                <w:color w:val="auto"/>
              </w:rPr>
            </w:pPr>
            <w:r>
              <w:rPr>
                <w:rFonts w:ascii="Arial" w:cs="Arial" w:eastAsia="Arial" w:hAnsi="Arial"/>
                <w:sz w:val="14"/>
                <w:szCs w:val="14"/>
                <w:color w:val="auto"/>
              </w:rPr>
              <w:t>Description</w:t>
            </w: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Driver’s License Number</w:t>
            </w:r>
          </w:p>
        </w:tc>
        <w:tc>
          <w:tcPr>
            <w:tcW w:w="1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19"/>
                <w:szCs w:val="19"/>
                <w:color w:val="auto"/>
              </w:rPr>
            </w:pPr>
          </w:p>
        </w:tc>
      </w:tr>
      <w:tr>
        <w:trPr>
          <w:trHeight w:val="310"/>
        </w:trPr>
        <w:tc>
          <w:tcPr>
            <w:tcW w:w="4000" w:type="dxa"/>
            <w:vAlign w:val="bottom"/>
            <w:gridSpan w:val="2"/>
          </w:tcPr>
          <w:p>
            <w:pPr>
              <w:spacing w:after="0"/>
              <w:rPr>
                <w:sz w:val="20"/>
                <w:szCs w:val="20"/>
                <w:color w:val="auto"/>
              </w:rPr>
            </w:pPr>
            <w:r>
              <w:rPr>
                <w:rFonts w:ascii="Arial" w:cs="Arial" w:eastAsia="Arial" w:hAnsi="Arial"/>
                <w:sz w:val="18"/>
                <w:szCs w:val="18"/>
                <w:color w:val="auto"/>
              </w:rPr>
              <w:t>Taxpayer Identification Number</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24"/>
        </w:trPr>
        <w:tc>
          <w:tcPr>
            <w:tcW w:w="4000" w:type="dxa"/>
            <w:vAlign w:val="bottom"/>
            <w:gridSpan w:val="2"/>
          </w:tcPr>
          <w:p>
            <w:pPr>
              <w:spacing w:after="0"/>
              <w:rPr>
                <w:sz w:val="20"/>
                <w:szCs w:val="20"/>
                <w:color w:val="auto"/>
              </w:rPr>
            </w:pPr>
            <w:r>
              <w:rPr>
                <w:rFonts w:ascii="Arial" w:cs="Arial" w:eastAsia="Arial" w:hAnsi="Arial"/>
                <w:sz w:val="18"/>
                <w:szCs w:val="18"/>
                <w:color w:val="auto"/>
              </w:rPr>
              <w:t>U.S. Social Security Number (SSN)</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310"/>
        </w:trPr>
        <w:tc>
          <w:tcPr>
            <w:tcW w:w="4000" w:type="dxa"/>
            <w:vAlign w:val="bottom"/>
            <w:gridSpan w:val="2"/>
          </w:tcPr>
          <w:p>
            <w:pPr>
              <w:spacing w:after="0"/>
              <w:rPr>
                <w:sz w:val="20"/>
                <w:szCs w:val="20"/>
                <w:color w:val="auto"/>
              </w:rPr>
            </w:pPr>
            <w:r>
              <w:rPr>
                <w:rFonts w:ascii="Arial" w:cs="Arial" w:eastAsia="Arial" w:hAnsi="Arial"/>
                <w:sz w:val="18"/>
                <w:szCs w:val="18"/>
                <w:color w:val="auto"/>
              </w:rPr>
              <w:t>Nationally-Issued Identification Number</w:t>
            </w:r>
          </w:p>
        </w:tc>
        <w:tc>
          <w:tcPr>
            <w:tcW w:w="164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89"/>
              </w:rPr>
              <w:t>Includes visa and/or passport values. Excludes any such numbers that are</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2"/>
              </w:rPr>
              <w:t>issued on the understanding that they must be a matter of public record,</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e.g. U.S. FCC Radio License.</w:t>
            </w:r>
          </w:p>
        </w:tc>
      </w:tr>
      <w:tr>
        <w:trPr>
          <w:trHeight w:val="324"/>
        </w:trPr>
        <w:tc>
          <w:tcPr>
            <w:tcW w:w="4000" w:type="dxa"/>
            <w:vAlign w:val="bottom"/>
            <w:gridSpan w:val="2"/>
          </w:tcPr>
          <w:p>
            <w:pPr>
              <w:spacing w:after="0"/>
              <w:rPr>
                <w:sz w:val="20"/>
                <w:szCs w:val="20"/>
                <w:color w:val="auto"/>
              </w:rPr>
            </w:pPr>
            <w:r>
              <w:rPr>
                <w:rFonts w:ascii="Arial" w:cs="Arial" w:eastAsia="Arial" w:hAnsi="Arial"/>
                <w:sz w:val="18"/>
                <w:szCs w:val="18"/>
                <w:color w:val="auto"/>
              </w:rPr>
              <w:t>State or Province-Issued Identification Number</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820" w:type="dxa"/>
            <w:vAlign w:val="bottom"/>
            <w:gridSpan w:val="3"/>
          </w:tcPr>
          <w:p>
            <w:pPr>
              <w:jc w:val="center"/>
              <w:ind w:right="3159"/>
              <w:spacing w:after="0"/>
              <w:rPr>
                <w:sz w:val="20"/>
                <w:szCs w:val="20"/>
                <w:color w:val="auto"/>
              </w:rPr>
            </w:pPr>
            <w:r>
              <w:rPr>
                <w:rFonts w:ascii="Arial" w:cs="Arial" w:eastAsia="Arial" w:hAnsi="Arial"/>
                <w:sz w:val="18"/>
                <w:szCs w:val="18"/>
                <w:b w:val="1"/>
                <w:bCs w:val="1"/>
                <w:color w:val="auto"/>
                <w:w w:val="93"/>
              </w:rPr>
              <w:t>Financial Data</w:t>
            </w:r>
          </w:p>
        </w:tc>
      </w:tr>
      <w:tr>
        <w:trPr>
          <w:trHeight w:val="405"/>
        </w:trPr>
        <w:tc>
          <w:tcPr>
            <w:tcW w:w="322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ind w:left="2280"/>
              <w:spacing w:after="0"/>
              <w:rPr>
                <w:sz w:val="20"/>
                <w:szCs w:val="20"/>
                <w:color w:val="auto"/>
              </w:rPr>
            </w:pPr>
            <w:r>
              <w:rPr>
                <w:rFonts w:ascii="Arial" w:cs="Arial" w:eastAsia="Arial" w:hAnsi="Arial"/>
                <w:sz w:val="14"/>
                <w:szCs w:val="14"/>
                <w:color w:val="auto"/>
              </w:rPr>
              <w:t>Description</w:t>
            </w:r>
          </w:p>
        </w:tc>
      </w:tr>
      <w:tr>
        <w:trPr>
          <w:trHeight w:val="195"/>
        </w:trPr>
        <w:tc>
          <w:tcPr>
            <w:tcW w:w="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Payment Card Number</w:t>
            </w:r>
          </w:p>
        </w:tc>
        <w:tc>
          <w:tcPr>
            <w:tcW w:w="2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Primary Account Number (PAN) for all types of payment card</w:t>
            </w: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(corporate, personal, etc.)</w:t>
            </w: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Payment Card Security Data</w:t>
            </w:r>
          </w:p>
        </w:tc>
        <w:tc>
          <w:tcPr>
            <w:tcW w:w="242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5"/>
              </w:rPr>
              <w:t>The security data used in association with a payment card (corporate,</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4"/>
              </w:rPr>
              <w:t>personal, etc.) in order to confirm legitimate use. Includes for example</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4"/>
              </w:rPr>
              <w:t>Card Security Codes and Personal Identification Numbers (PINs) used</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5"/>
              </w:rPr>
              <w:t>with payment cards but excludes PINs used to authenticate access to</w:t>
            </w: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AT&amp;T systems.</w:t>
            </w:r>
          </w:p>
        </w:tc>
      </w:tr>
      <w:tr>
        <w:trPr>
          <w:trHeight w:val="310"/>
        </w:trPr>
        <w:tc>
          <w:tcPr>
            <w:tcW w:w="3220" w:type="dxa"/>
            <w:vAlign w:val="bottom"/>
            <w:gridSpan w:val="2"/>
          </w:tcPr>
          <w:p>
            <w:pPr>
              <w:spacing w:after="0"/>
              <w:rPr>
                <w:sz w:val="20"/>
                <w:szCs w:val="20"/>
                <w:color w:val="auto"/>
              </w:rPr>
            </w:pPr>
            <w:r>
              <w:rPr>
                <w:rFonts w:ascii="Arial" w:cs="Arial" w:eastAsia="Arial" w:hAnsi="Arial"/>
                <w:sz w:val="18"/>
                <w:szCs w:val="18"/>
                <w:color w:val="auto"/>
              </w:rPr>
              <w:t>Bank Account Number</w:t>
            </w:r>
          </w:p>
        </w:tc>
        <w:tc>
          <w:tcPr>
            <w:tcW w:w="242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Includes all types of bank accounts (savings, checking, etc.) both</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5"/>
              </w:rPr>
              <w:t>personal and business in an individual’s name. Excludes bank routing</w:t>
            </w:r>
          </w:p>
        </w:tc>
      </w:tr>
      <w:tr>
        <w:trPr>
          <w:trHeight w:val="230"/>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number.</w:t>
            </w:r>
          </w:p>
        </w:tc>
      </w:tr>
      <w:tr>
        <w:trPr>
          <w:trHeight w:val="36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820" w:type="dxa"/>
            <w:vAlign w:val="bottom"/>
            <w:gridSpan w:val="3"/>
          </w:tcPr>
          <w:p>
            <w:pPr>
              <w:jc w:val="center"/>
              <w:ind w:right="3139"/>
              <w:spacing w:after="0"/>
              <w:rPr>
                <w:sz w:val="20"/>
                <w:szCs w:val="20"/>
                <w:color w:val="auto"/>
              </w:rPr>
            </w:pPr>
            <w:r>
              <w:rPr>
                <w:rFonts w:ascii="Arial" w:cs="Arial" w:eastAsia="Arial" w:hAnsi="Arial"/>
                <w:sz w:val="18"/>
                <w:szCs w:val="18"/>
                <w:b w:val="1"/>
                <w:bCs w:val="1"/>
                <w:color w:val="auto"/>
                <w:w w:val="92"/>
              </w:rPr>
              <w:t>Proprietary and Confidential</w:t>
            </w:r>
          </w:p>
        </w:tc>
      </w:tr>
    </w:tbl>
    <w:p>
      <w:pPr>
        <w:spacing w:after="0" w:line="94"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440" w:top="274" w:right="41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tcPr>
          <w:p>
            <w:pPr>
              <w:ind w:left="2940"/>
              <w:spacing w:after="0"/>
              <w:rPr>
                <w:sz w:val="20"/>
                <w:szCs w:val="20"/>
                <w:color w:val="auto"/>
              </w:rPr>
            </w:pPr>
            <w:r>
              <w:rPr>
                <w:rFonts w:ascii="Arial" w:cs="Arial" w:eastAsia="Arial" w:hAnsi="Arial"/>
                <w:sz w:val="18"/>
                <w:szCs w:val="18"/>
                <w:color w:val="auto"/>
                <w:w w:val="92"/>
              </w:rPr>
              <w:t>Agreement No. 53258.A.002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620" w:type="dxa"/>
            <w:vAlign w:val="bottom"/>
            <w:gridSpan w:val="4"/>
          </w:tcPr>
          <w:p>
            <w:pPr>
              <w:ind w:left="400"/>
              <w:spacing w:after="0"/>
              <w:rPr>
                <w:sz w:val="20"/>
                <w:szCs w:val="20"/>
                <w:color w:val="auto"/>
              </w:rPr>
            </w:pPr>
            <w:r>
              <w:rPr>
                <w:rFonts w:ascii="Arial" w:cs="Arial" w:eastAsia="Arial" w:hAnsi="Arial"/>
                <w:sz w:val="18"/>
                <w:szCs w:val="18"/>
                <w:b w:val="1"/>
                <w:bCs w:val="1"/>
                <w:color w:val="auto"/>
              </w:rPr>
              <w:t>Computer Identification and Authentication</w:t>
            </w:r>
          </w:p>
        </w:tc>
        <w:tc>
          <w:tcPr>
            <w:tcW w:w="0" w:type="dxa"/>
            <w:vAlign w:val="bottom"/>
          </w:tcPr>
          <w:p>
            <w:pPr>
              <w:spacing w:after="0"/>
              <w:rPr>
                <w:sz w:val="1"/>
                <w:szCs w:val="1"/>
                <w:color w:val="auto"/>
              </w:rPr>
            </w:pPr>
          </w:p>
        </w:tc>
      </w:tr>
      <w:tr>
        <w:trPr>
          <w:trHeight w:val="405"/>
        </w:trPr>
        <w:tc>
          <w:tcPr>
            <w:tcW w:w="342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60" w:type="dxa"/>
            <w:vAlign w:val="bottom"/>
          </w:tcPr>
          <w:p>
            <w:pPr>
              <w:ind w:left="20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Customer Authentication Credentials</w:t>
            </w:r>
          </w:p>
        </w:tc>
        <w:tc>
          <w:tcPr>
            <w:tcW w:w="2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Values used by customers to authenticate and permit access to:</w:t>
            </w:r>
          </w:p>
        </w:tc>
        <w:tc>
          <w:tcPr>
            <w:tcW w:w="0" w:type="dxa"/>
            <w:vAlign w:val="bottom"/>
          </w:tcPr>
          <w:p>
            <w:pPr>
              <w:spacing w:after="0"/>
              <w:rPr>
                <w:sz w:val="1"/>
                <w:szCs w:val="1"/>
                <w:color w:val="auto"/>
              </w:rPr>
            </w:pPr>
          </w:p>
        </w:tc>
      </w:tr>
      <w:tr>
        <w:trPr>
          <w:trHeight w:val="309"/>
        </w:trPr>
        <w:tc>
          <w:tcPr>
            <w:tcW w:w="3420" w:type="dxa"/>
            <w:vAlign w:val="bottom"/>
            <w:gridSpan w:val="2"/>
          </w:tcPr>
          <w:p>
            <w:pPr>
              <w:spacing w:after="0"/>
              <w:rPr>
                <w:sz w:val="20"/>
                <w:szCs w:val="20"/>
                <w:color w:val="auto"/>
              </w:rPr>
            </w:pPr>
            <w:r>
              <w:rPr>
                <w:rFonts w:ascii="Arial" w:cs="Arial" w:eastAsia="Arial" w:hAnsi="Arial"/>
                <w:sz w:val="18"/>
                <w:szCs w:val="18"/>
                <w:color w:val="auto"/>
              </w:rPr>
              <w:t>Applies to Customers only</w:t>
            </w: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Arial" w:cs="Arial" w:eastAsia="Arial" w:hAnsi="Arial"/>
                <w:sz w:val="18"/>
                <w:szCs w:val="18"/>
                <w:color w:val="auto"/>
                <w:w w:val="99"/>
              </w:rPr>
              <w:t>•  The customers’ personal information, including CPNI and AT&amp;T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Proprietary (Sensitive Personal Information)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 or —</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Arial" w:cs="Arial" w:eastAsia="Arial" w:hAnsi="Arial"/>
                <w:sz w:val="18"/>
                <w:szCs w:val="18"/>
                <w:color w:val="auto"/>
              </w:rPr>
              <w:t>•  An application enabling the customer to subscribe to,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unsubscribe from, AT&amp;T services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 or —</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Arial" w:cs="Arial" w:eastAsia="Arial" w:hAnsi="Arial"/>
                <w:sz w:val="18"/>
                <w:szCs w:val="18"/>
                <w:color w:val="auto"/>
              </w:rPr>
              <w:t>•  An AT&amp;T service the customer is subscribed to</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Includes: Personal Identification Numbers (PINs), passwords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1"/>
              </w:rPr>
              <w:t>passcodes. Excludes Card Security Codes and PINs used in association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with payment cards.</w:t>
            </w:r>
          </w:p>
        </w:tc>
        <w:tc>
          <w:tcPr>
            <w:tcW w:w="0" w:type="dxa"/>
            <w:vAlign w:val="bottom"/>
          </w:tcPr>
          <w:p>
            <w:pPr>
              <w:spacing w:after="0"/>
              <w:rPr>
                <w:sz w:val="1"/>
                <w:szCs w:val="1"/>
                <w:color w:val="auto"/>
              </w:rPr>
            </w:pPr>
          </w:p>
        </w:tc>
      </w:tr>
      <w:tr>
        <w:trPr>
          <w:trHeight w:val="323"/>
        </w:trPr>
        <w:tc>
          <w:tcPr>
            <w:tcW w:w="3420" w:type="dxa"/>
            <w:vAlign w:val="bottom"/>
            <w:gridSpan w:val="2"/>
          </w:tcPr>
          <w:p>
            <w:pPr>
              <w:spacing w:after="0"/>
              <w:rPr>
                <w:sz w:val="20"/>
                <w:szCs w:val="20"/>
                <w:color w:val="auto"/>
              </w:rPr>
            </w:pPr>
            <w:r>
              <w:rPr>
                <w:rFonts w:ascii="Arial" w:cs="Arial" w:eastAsia="Arial" w:hAnsi="Arial"/>
                <w:sz w:val="18"/>
                <w:szCs w:val="18"/>
                <w:color w:val="auto"/>
              </w:rPr>
              <w:t>Customer Authentication Credential Hints</w:t>
            </w:r>
          </w:p>
        </w:tc>
        <w:tc>
          <w:tcPr>
            <w:tcW w:w="222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Answers to questions used to retrieve customer authentication</w:t>
            </w:r>
          </w:p>
        </w:tc>
        <w:tc>
          <w:tcPr>
            <w:tcW w:w="0" w:type="dxa"/>
            <w:vAlign w:val="bottom"/>
          </w:tcPr>
          <w:p>
            <w:pPr>
              <w:spacing w:after="0"/>
              <w:rPr>
                <w:sz w:val="1"/>
                <w:szCs w:val="1"/>
                <w:color w:val="auto"/>
              </w:rPr>
            </w:pPr>
          </w:p>
        </w:tc>
      </w:tr>
      <w:tr>
        <w:trPr>
          <w:trHeight w:val="23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Applies to Customers only</w:t>
            </w:r>
          </w:p>
        </w:tc>
        <w:tc>
          <w:tcPr>
            <w:tcW w:w="2220" w:type="dxa"/>
            <w:vAlign w:val="bottom"/>
          </w:tcPr>
          <w:p>
            <w:pPr>
              <w:spacing w:after="0"/>
              <w:rPr>
                <w:sz w:val="20"/>
                <w:szCs w:val="20"/>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credentials, for example mother’s maiden name.</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3"/>
        </w:trPr>
        <w:tc>
          <w:tcPr>
            <w:tcW w:w="3420" w:type="dxa"/>
            <w:vAlign w:val="bottom"/>
            <w:gridSpan w:val="2"/>
          </w:tcPr>
          <w:p>
            <w:pPr>
              <w:spacing w:after="0"/>
              <w:rPr>
                <w:sz w:val="20"/>
                <w:szCs w:val="20"/>
                <w:color w:val="auto"/>
              </w:rPr>
            </w:pPr>
            <w:r>
              <w:rPr>
                <w:rFonts w:ascii="Arial" w:cs="Arial" w:eastAsia="Arial" w:hAnsi="Arial"/>
                <w:sz w:val="18"/>
                <w:szCs w:val="18"/>
                <w:color w:val="auto"/>
              </w:rPr>
              <w:t>Location-Based Information (LBI)</w:t>
            </w:r>
          </w:p>
        </w:tc>
        <w:tc>
          <w:tcPr>
            <w:tcW w:w="222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Information that identifies the current or past location of a specific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7"/>
              </w:rPr>
              <w:t>individuals’ mobile device. This element contains two factors both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which must be present and able to be associated with each other:</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gridSpan w:val="3"/>
          </w:tcPr>
          <w:p>
            <w:pPr>
              <w:ind w:left="2320"/>
              <w:spacing w:after="0"/>
              <w:rPr>
                <w:sz w:val="20"/>
                <w:szCs w:val="20"/>
                <w:color w:val="auto"/>
              </w:rPr>
            </w:pPr>
            <w:r>
              <w:rPr>
                <w:rFonts w:ascii="Arial" w:cs="Arial" w:eastAsia="Arial" w:hAnsi="Arial"/>
                <w:sz w:val="18"/>
                <w:szCs w:val="18"/>
                <w:color w:val="auto"/>
              </w:rPr>
              <w:t>1.</w:t>
            </w:r>
          </w:p>
        </w:tc>
        <w:tc>
          <w:tcPr>
            <w:tcW w:w="5060" w:type="dxa"/>
            <w:vAlign w:val="bottom"/>
          </w:tcPr>
          <w:p>
            <w:pPr>
              <w:ind w:left="100"/>
              <w:spacing w:after="0"/>
              <w:rPr>
                <w:sz w:val="20"/>
                <w:szCs w:val="20"/>
                <w:color w:val="auto"/>
              </w:rPr>
            </w:pPr>
            <w:r>
              <w:rPr>
                <w:rFonts w:ascii="Arial" w:cs="Arial" w:eastAsia="Arial" w:hAnsi="Arial"/>
                <w:sz w:val="18"/>
                <w:szCs w:val="18"/>
                <w:color w:val="auto"/>
                <w:w w:val="99"/>
              </w:rPr>
              <w:t>A mobile device’s location (e.g. a map address, or latitude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w w:val="99"/>
              </w:rPr>
              <w:t>longitude together with altitude where known) derived from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mobile device through activities such as GPS or network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w w:val="97"/>
              </w:rPr>
              <w:t>connectivity rather than as a result of user action (e.g. revealing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location in the content of an email, or SMS)</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-and -</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gridSpan w:val="3"/>
          </w:tcPr>
          <w:p>
            <w:pPr>
              <w:ind w:left="2320"/>
              <w:spacing w:after="0"/>
              <w:rPr>
                <w:sz w:val="20"/>
                <w:szCs w:val="20"/>
                <w:color w:val="auto"/>
              </w:rPr>
            </w:pPr>
            <w:r>
              <w:rPr>
                <w:rFonts w:ascii="Arial" w:cs="Arial" w:eastAsia="Arial" w:hAnsi="Arial"/>
                <w:sz w:val="18"/>
                <w:szCs w:val="18"/>
                <w:color w:val="auto"/>
              </w:rPr>
              <w:t>2.</w:t>
            </w:r>
          </w:p>
        </w:tc>
        <w:tc>
          <w:tcPr>
            <w:tcW w:w="5060" w:type="dxa"/>
            <w:vAlign w:val="bottom"/>
          </w:tcPr>
          <w:p>
            <w:pPr>
              <w:ind w:left="100"/>
              <w:spacing w:after="0"/>
              <w:rPr>
                <w:sz w:val="20"/>
                <w:szCs w:val="20"/>
                <w:color w:val="auto"/>
              </w:rPr>
            </w:pPr>
            <w:r>
              <w:rPr>
                <w:rFonts w:ascii="Arial" w:cs="Arial" w:eastAsia="Arial" w:hAnsi="Arial"/>
                <w:sz w:val="18"/>
                <w:szCs w:val="18"/>
                <w:color w:val="auto"/>
                <w:w w:val="93"/>
              </w:rPr>
              <w:t>An individual’s identity derived from a unique identifier assigned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w w:val="95"/>
              </w:rPr>
              <w:t>that mobile device such as customer name, MSISDN, IMSI, IMEI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or ICCID, or similar persistent identifier, e.g. VIN.</w:t>
            </w:r>
          </w:p>
        </w:tc>
        <w:tc>
          <w:tcPr>
            <w:tcW w:w="0" w:type="dxa"/>
            <w:vAlign w:val="bottom"/>
          </w:tcPr>
          <w:p>
            <w:pPr>
              <w:spacing w:after="0"/>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440" w:top="274" w:right="41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ind w:left="3160"/>
              <w:spacing w:after="0"/>
              <w:rPr>
                <w:sz w:val="20"/>
                <w:szCs w:val="20"/>
                <w:color w:val="auto"/>
              </w:rPr>
            </w:pPr>
            <w:r>
              <w:rPr>
                <w:rFonts w:ascii="Arial" w:cs="Arial" w:eastAsia="Arial" w:hAnsi="Arial"/>
                <w:sz w:val="18"/>
                <w:szCs w:val="18"/>
                <w:color w:val="auto"/>
                <w:w w:val="92"/>
              </w:rPr>
              <w:t>Agreement No. 53258.A.002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660" w:type="dxa"/>
            <w:vAlign w:val="bottom"/>
            <w:gridSpan w:val="3"/>
          </w:tcPr>
          <w:p>
            <w:pPr>
              <w:jc w:val="center"/>
              <w:ind w:right="3294"/>
              <w:spacing w:after="0"/>
              <w:rPr>
                <w:sz w:val="20"/>
                <w:szCs w:val="20"/>
                <w:color w:val="auto"/>
              </w:rPr>
            </w:pPr>
            <w:r>
              <w:rPr>
                <w:rFonts w:ascii="Arial" w:cs="Arial" w:eastAsia="Arial" w:hAnsi="Arial"/>
                <w:sz w:val="18"/>
                <w:szCs w:val="18"/>
                <w:b w:val="1"/>
                <w:bCs w:val="1"/>
                <w:color w:val="auto"/>
                <w:w w:val="95"/>
              </w:rPr>
              <w:t>Other Data</w:t>
            </w:r>
          </w:p>
        </w:tc>
        <w:tc>
          <w:tcPr>
            <w:tcW w:w="0" w:type="dxa"/>
            <w:vAlign w:val="bottom"/>
          </w:tcPr>
          <w:p>
            <w:pPr>
              <w:spacing w:after="0"/>
              <w:rPr>
                <w:sz w:val="1"/>
                <w:szCs w:val="1"/>
                <w:color w:val="auto"/>
              </w:rPr>
            </w:pPr>
          </w:p>
        </w:tc>
      </w:tr>
      <w:tr>
        <w:trPr>
          <w:trHeight w:val="405"/>
        </w:trPr>
        <w:tc>
          <w:tcPr>
            <w:tcW w:w="338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ind w:left="22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 of Birth (DOB)</w:t>
            </w:r>
          </w:p>
        </w:tc>
        <w:tc>
          <w:tcPr>
            <w:tcW w:w="2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An individual’s full and complete DOB, i.e. including Month, Day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1"/>
              </w:rPr>
              <w:t>Year. Excludes partial DOB where only Month and Day are used without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4"/>
              </w:rPr>
              <w:t>Year. This element contains two factors both of which must be present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and able to be associated with each other:</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1.   A full and complete DOB</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 and -</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7"/>
              </w:rPr>
              <w:t>2.   The individual’s identity, either explicitly or via a unique identifier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that can be linked to that individual.</w:t>
            </w:r>
          </w:p>
        </w:tc>
        <w:tc>
          <w:tcPr>
            <w:tcW w:w="0" w:type="dxa"/>
            <w:vAlign w:val="bottom"/>
          </w:tcPr>
          <w:p>
            <w:pPr>
              <w:spacing w:after="0"/>
              <w:rPr>
                <w:sz w:val="1"/>
                <w:szCs w:val="1"/>
                <w:color w:val="auto"/>
              </w:rPr>
            </w:pPr>
          </w:p>
        </w:tc>
      </w:tr>
      <w:tr>
        <w:trPr>
          <w:trHeight w:val="323"/>
        </w:trPr>
        <w:tc>
          <w:tcPr>
            <w:tcW w:w="3380" w:type="dxa"/>
            <w:vAlign w:val="bottom"/>
            <w:gridSpan w:val="2"/>
          </w:tcPr>
          <w:p>
            <w:pPr>
              <w:spacing w:after="0"/>
              <w:rPr>
                <w:sz w:val="20"/>
                <w:szCs w:val="20"/>
                <w:color w:val="auto"/>
              </w:rPr>
            </w:pPr>
            <w:r>
              <w:rPr>
                <w:rFonts w:ascii="Arial" w:cs="Arial" w:eastAsia="Arial" w:hAnsi="Arial"/>
                <w:sz w:val="18"/>
                <w:szCs w:val="18"/>
                <w:color w:val="auto"/>
              </w:rPr>
              <w:t>Biometric Data</w:t>
            </w:r>
          </w:p>
        </w:tc>
        <w:tc>
          <w:tcPr>
            <w:tcW w:w="226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7"/>
              </w:rPr>
              <w:t>Measures of human physical and behavioral characteristics used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2"/>
              </w:rPr>
              <w:t>authentication purposes, for example fingerprint, voiceprint, retina or iris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1"/>
              </w:rPr>
              <w:t>image. Excludes templates that contain discrete data points derived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2"/>
              </w:rPr>
              <w:t>biometric data that do not hold the complete biometric image, where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6"/>
              </w:rPr>
              <w:t>template cannot be reverse engineered back to the original biometric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image.</w:t>
            </w:r>
          </w:p>
        </w:tc>
        <w:tc>
          <w:tcPr>
            <w:tcW w:w="0" w:type="dxa"/>
            <w:vAlign w:val="bottom"/>
          </w:tcPr>
          <w:p>
            <w:pPr>
              <w:spacing w:after="0"/>
              <w:rPr>
                <w:sz w:val="1"/>
                <w:szCs w:val="1"/>
                <w:color w:val="auto"/>
              </w:rPr>
            </w:pPr>
          </w:p>
        </w:tc>
      </w:tr>
      <w:tr>
        <w:trPr>
          <w:trHeight w:val="310"/>
        </w:trPr>
        <w:tc>
          <w:tcPr>
            <w:tcW w:w="3380" w:type="dxa"/>
            <w:vAlign w:val="bottom"/>
            <w:gridSpan w:val="2"/>
          </w:tcPr>
          <w:p>
            <w:pPr>
              <w:spacing w:after="0"/>
              <w:rPr>
                <w:sz w:val="20"/>
                <w:szCs w:val="20"/>
                <w:color w:val="auto"/>
              </w:rPr>
            </w:pPr>
            <w:r>
              <w:rPr>
                <w:rFonts w:ascii="Arial" w:cs="Arial" w:eastAsia="Arial" w:hAnsi="Arial"/>
                <w:sz w:val="18"/>
                <w:szCs w:val="18"/>
                <w:color w:val="auto"/>
              </w:rPr>
              <w:t>Criminal History</w:t>
            </w:r>
          </w:p>
        </w:tc>
        <w:tc>
          <w:tcPr>
            <w:tcW w:w="226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7"/>
              </w:rPr>
              <w:t>Information about an individual’s criminal history, e.g. criminal check</w:t>
            </w:r>
          </w:p>
        </w:tc>
        <w:tc>
          <w:tcPr>
            <w:tcW w:w="0" w:type="dxa"/>
            <w:vAlign w:val="bottom"/>
          </w:tcPr>
          <w:p>
            <w:pPr>
              <w:spacing w:after="0"/>
              <w:rPr>
                <w:sz w:val="1"/>
                <w:szCs w:val="1"/>
                <w:color w:val="auto"/>
              </w:rPr>
            </w:pPr>
          </w:p>
        </w:tc>
      </w:tr>
      <w:tr>
        <w:trPr>
          <w:trHeight w:val="23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Subject to non-U.S. jurisdiction</w:t>
            </w:r>
            <w:r>
              <w:rPr>
                <w:rFonts w:ascii="Arial" w:cs="Arial" w:eastAsia="Arial" w:hAnsi="Arial"/>
                <w:sz w:val="15"/>
                <w:szCs w:val="15"/>
                <w:color w:val="auto"/>
              </w:rPr>
              <w:t>1</w:t>
            </w:r>
          </w:p>
        </w:tc>
        <w:tc>
          <w:tcPr>
            <w:tcW w:w="226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portion of a background check.</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660" w:type="dxa"/>
            <w:vAlign w:val="bottom"/>
            <w:gridSpan w:val="3"/>
          </w:tcPr>
          <w:p>
            <w:pPr>
              <w:jc w:val="center"/>
              <w:ind w:right="3294"/>
              <w:spacing w:after="0"/>
              <w:rPr>
                <w:sz w:val="20"/>
                <w:szCs w:val="20"/>
                <w:color w:val="auto"/>
              </w:rPr>
            </w:pPr>
            <w:r>
              <w:rPr>
                <w:rFonts w:ascii="Arial" w:cs="Arial" w:eastAsia="Arial" w:hAnsi="Arial"/>
                <w:sz w:val="18"/>
                <w:szCs w:val="18"/>
                <w:b w:val="1"/>
                <w:bCs w:val="1"/>
                <w:color w:val="auto"/>
                <w:w w:val="92"/>
              </w:rPr>
              <w:t>Proprietary and Confidential</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440" w:top="274" w:right="419" w:bottom="1440" w:gutter="0" w:footer="0" w:header="0"/>
        </w:sectPr>
      </w:pPr>
    </w:p>
    <w:bookmarkStart w:id="189" w:name="page190"/>
    <w:bookmarkEnd w:id="189"/>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28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Background Checks</w:t>
      </w:r>
      <w:r>
        <w:rPr>
          <w:sz w:val="20"/>
          <w:szCs w:val="20"/>
          <w:color w:val="auto"/>
        </w:rPr>
        <w:tab/>
      </w:r>
      <w:r>
        <w:rPr>
          <w:rFonts w:ascii="Arial" w:cs="Arial" w:eastAsia="Arial" w:hAnsi="Arial"/>
          <w:sz w:val="16"/>
          <w:szCs w:val="16"/>
          <w:color w:val="auto"/>
        </w:rPr>
        <w:t>Includes credit history, employment history, driving records. Excludes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Criminal History (see above).</w:t>
      </w:r>
    </w:p>
    <w:p>
      <w:pPr>
        <w:sectPr>
          <w:pgSz w:w="11900" w:h="16838" w:orient="portrait"/>
          <w:cols w:equalWidth="0" w:num="1">
            <w:col w:w="11020"/>
          </w:cols>
          <w:pgMar w:left="440" w:top="274" w:right="4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Racial or Ethnic Origin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Subject to non-U.S. jurisdiction</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Trade Union Membership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Subject to non-U.S. jurisdiction</w:t>
      </w:r>
      <w:r>
        <w:rPr>
          <w:rFonts w:ascii="Arial" w:cs="Arial" w:eastAsia="Arial" w:hAnsi="Arial"/>
          <w:sz w:val="15"/>
          <w:szCs w:val="15"/>
          <w:color w:val="auto"/>
        </w:rPr>
        <w:t>1</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Related to an Individual’s Political Affiliation, Religious Belief, or Sexual Orientation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Subject to non-U.S. jurisdiction</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Data specifying and/or confirming an individual’s racial or ethnic origin.</w:t>
      </w:r>
    </w:p>
    <w:p>
      <w:pPr>
        <w:spacing w:after="0" w:line="200" w:lineRule="exact"/>
        <w:rPr>
          <w:sz w:val="20"/>
          <w:szCs w:val="20"/>
          <w:color w:val="auto"/>
        </w:rPr>
      </w:pPr>
    </w:p>
    <w:p>
      <w:pPr>
        <w:spacing w:after="0" w:line="2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Data specifying and/or confirming an individual is a member of a trade union outside of the U.S.</w:t>
      </w:r>
    </w:p>
    <w:p>
      <w:pPr>
        <w:spacing w:after="0" w:line="19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Data specifying and/or confirming an individual’s political affiliation, religious or similar beliefs, or sexual life or orientation.</w:t>
      </w:r>
    </w:p>
    <w:p>
      <w:pPr>
        <w:spacing w:after="0" w:line="425" w:lineRule="exact"/>
        <w:rPr>
          <w:sz w:val="20"/>
          <w:szCs w:val="20"/>
          <w:color w:val="auto"/>
        </w:rPr>
      </w:pPr>
    </w:p>
    <w:p>
      <w:pPr>
        <w:sectPr>
          <w:pgSz w:w="11900" w:h="16838" w:orient="portrait"/>
          <w:cols w:equalWidth="0" w:num="2">
            <w:col w:w="5520" w:space="220"/>
            <w:col w:w="5280"/>
          </w:cols>
          <w:pgMar w:left="440" w:top="274" w:right="439" w:bottom="1440" w:gutter="0" w:footer="0" w:header="0"/>
          <w:type w:val="continuous"/>
        </w:sect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type w:val="continuous"/>
        </w:sectPr>
      </w:pPr>
    </w:p>
    <w:bookmarkStart w:id="190" w:name="page191"/>
    <w:bookmarkEnd w:id="190"/>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“Human Resources” data elements have been classified as AT&amp;T Proprietary (Sensitive Personal Information) when they apply to an employee, contractor, customer or supplier: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380" w:type="dxa"/>
            <w:vAlign w:val="bottom"/>
            <w:gridSpan w:val="3"/>
          </w:tcPr>
          <w:p>
            <w:pPr>
              <w:jc w:val="center"/>
              <w:ind w:right="3592"/>
              <w:spacing w:after="0"/>
              <w:rPr>
                <w:sz w:val="20"/>
                <w:szCs w:val="20"/>
                <w:color w:val="auto"/>
              </w:rPr>
            </w:pPr>
            <w:r>
              <w:rPr>
                <w:rFonts w:ascii="Arial" w:cs="Arial" w:eastAsia="Arial" w:hAnsi="Arial"/>
                <w:sz w:val="18"/>
                <w:szCs w:val="18"/>
                <w:b w:val="1"/>
                <w:bCs w:val="1"/>
                <w:color w:val="auto"/>
                <w:w w:val="94"/>
              </w:rPr>
              <w:t>Health Data</w:t>
            </w:r>
          </w:p>
        </w:tc>
        <w:tc>
          <w:tcPr>
            <w:tcW w:w="0" w:type="dxa"/>
            <w:vAlign w:val="bottom"/>
          </w:tcPr>
          <w:p>
            <w:pPr>
              <w:spacing w:after="0"/>
              <w:rPr>
                <w:sz w:val="1"/>
                <w:szCs w:val="1"/>
                <w:color w:val="auto"/>
              </w:rPr>
            </w:pPr>
          </w:p>
        </w:tc>
      </w:tr>
      <w:tr>
        <w:trPr>
          <w:trHeight w:val="405"/>
        </w:trPr>
        <w:tc>
          <w:tcPr>
            <w:tcW w:w="366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ind w:left="22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 Protected Health Information (PHI)</w:t>
            </w:r>
          </w:p>
        </w:tc>
        <w:tc>
          <w:tcPr>
            <w:tcW w:w="1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Includes any U.S. health information used in AT&amp;T’s Group Health Care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4"/>
              </w:rPr>
              <w:t>plans or belonging to AT&amp;T’s customers that identifies the individual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2"/>
              </w:rPr>
              <w:t>for which there is a reasonable basis to believe it can be used to identify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the individuals that include information about: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4"/>
              </w:rPr>
              <w:t>•  The individual’s past, present or future physical or mental health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condition,</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rPr>
              <w:t>•  The provision of health care to the individual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 or —</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ind w:left="80"/>
              <w:spacing w:after="0"/>
              <w:rPr>
                <w:sz w:val="20"/>
                <w:szCs w:val="20"/>
                <w:color w:val="auto"/>
              </w:rPr>
            </w:pPr>
            <w:r>
              <w:rPr>
                <w:rFonts w:ascii="Arial" w:cs="Arial" w:eastAsia="Arial" w:hAnsi="Arial"/>
                <w:sz w:val="18"/>
                <w:szCs w:val="18"/>
                <w:color w:val="auto"/>
                <w:w w:val="93"/>
              </w:rPr>
              <w:t>•  The past, present, or future payment for the provision of health care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 the individual.</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7"/>
              </w:rPr>
              <w:t>Health information of retirees, employees, or employee beneficiaries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5"/>
              </w:rPr>
              <w:t>used by AT&amp;T for purposes other than a group health plan is not PHI.</w:t>
            </w:r>
          </w:p>
        </w:tc>
        <w:tc>
          <w:tcPr>
            <w:tcW w:w="0" w:type="dxa"/>
            <w:vAlign w:val="bottom"/>
          </w:tcPr>
          <w:p>
            <w:pPr>
              <w:spacing w:after="0"/>
              <w:rPr>
                <w:sz w:val="1"/>
                <w:szCs w:val="1"/>
                <w:color w:val="auto"/>
              </w:rPr>
            </w:pPr>
          </w:p>
        </w:tc>
      </w:tr>
      <w:tr>
        <w:trPr>
          <w:trHeight w:val="323"/>
        </w:trPr>
        <w:tc>
          <w:tcPr>
            <w:tcW w:w="3660" w:type="dxa"/>
            <w:vAlign w:val="bottom"/>
            <w:gridSpan w:val="2"/>
          </w:tcPr>
          <w:p>
            <w:pPr>
              <w:spacing w:after="0"/>
              <w:rPr>
                <w:sz w:val="20"/>
                <w:szCs w:val="20"/>
                <w:color w:val="auto"/>
              </w:rPr>
            </w:pPr>
            <w:r>
              <w:rPr>
                <w:rFonts w:ascii="Arial" w:cs="Arial" w:eastAsia="Arial" w:hAnsi="Arial"/>
                <w:sz w:val="18"/>
                <w:szCs w:val="18"/>
                <w:color w:val="auto"/>
              </w:rPr>
              <w:t>Medical and Health Information</w:t>
            </w:r>
          </w:p>
        </w:tc>
        <w:tc>
          <w:tcPr>
            <w:tcW w:w="198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Any information concerning physical or mental health or condition.</w:t>
            </w:r>
          </w:p>
        </w:tc>
        <w:tc>
          <w:tcPr>
            <w:tcW w:w="0" w:type="dxa"/>
            <w:vAlign w:val="bottom"/>
          </w:tcPr>
          <w:p>
            <w:pPr>
              <w:spacing w:after="0"/>
              <w:rPr>
                <w:sz w:val="1"/>
                <w:szCs w:val="1"/>
                <w:color w:val="auto"/>
              </w:rPr>
            </w:pPr>
          </w:p>
        </w:tc>
      </w:tr>
      <w:tr>
        <w:trPr>
          <w:trHeight w:val="23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Subject to non-U.S. jurisdiction</w:t>
            </w:r>
            <w:r>
              <w:rPr>
                <w:rFonts w:ascii="Arial" w:cs="Arial" w:eastAsia="Arial" w:hAnsi="Arial"/>
                <w:sz w:val="15"/>
                <w:szCs w:val="15"/>
                <w:color w:val="auto"/>
              </w:rPr>
              <w:t>1</w:t>
            </w:r>
          </w:p>
        </w:tc>
        <w:tc>
          <w:tcPr>
            <w:tcW w:w="198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Includes disability information.</w:t>
            </w:r>
          </w:p>
        </w:tc>
        <w:tc>
          <w:tcPr>
            <w:tcW w:w="0" w:type="dxa"/>
            <w:vAlign w:val="bottom"/>
          </w:tcPr>
          <w:p>
            <w:pPr>
              <w:spacing w:after="0"/>
              <w:rPr>
                <w:sz w:val="1"/>
                <w:szCs w:val="1"/>
                <w:color w:val="auto"/>
              </w:rPr>
            </w:pPr>
          </w:p>
        </w:tc>
      </w:tr>
      <w:tr>
        <w:trPr>
          <w:trHeight w:val="122"/>
        </w:trPr>
        <w:tc>
          <w:tcPr>
            <w:tcW w:w="366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660" w:type="dxa"/>
            <w:vAlign w:val="bottom"/>
            <w:gridSpan w:val="2"/>
          </w:tcPr>
          <w:p>
            <w:pPr>
              <w:spacing w:after="0"/>
              <w:rPr>
                <w:sz w:val="20"/>
                <w:szCs w:val="20"/>
                <w:color w:val="auto"/>
              </w:rPr>
            </w:pPr>
            <w:r>
              <w:rPr>
                <w:rFonts w:ascii="Arial" w:cs="Arial" w:eastAsia="Arial" w:hAnsi="Arial"/>
                <w:sz w:val="18"/>
                <w:szCs w:val="18"/>
                <w:color w:val="auto"/>
              </w:rPr>
              <w:t>Genetic Information</w:t>
            </w:r>
          </w:p>
        </w:tc>
        <w:tc>
          <w:tcPr>
            <w:tcW w:w="198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Includes information about an individual’s genetic tests.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380" w:type="dxa"/>
            <w:vAlign w:val="bottom"/>
            <w:gridSpan w:val="3"/>
          </w:tcPr>
          <w:p>
            <w:pPr>
              <w:jc w:val="center"/>
              <w:ind w:right="3572"/>
              <w:spacing w:after="0"/>
              <w:rPr>
                <w:sz w:val="20"/>
                <w:szCs w:val="20"/>
                <w:color w:val="auto"/>
              </w:rPr>
            </w:pPr>
            <w:r>
              <w:rPr>
                <w:rFonts w:ascii="Arial" w:cs="Arial" w:eastAsia="Arial" w:hAnsi="Arial"/>
                <w:sz w:val="18"/>
                <w:szCs w:val="18"/>
                <w:b w:val="1"/>
                <w:bCs w:val="1"/>
                <w:color w:val="auto"/>
                <w:w w:val="92"/>
              </w:rPr>
              <w:t>Proprietary and Confidential</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440" w:top="274" w:right="4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ind w:left="3160"/>
              <w:spacing w:after="0"/>
              <w:rPr>
                <w:sz w:val="20"/>
                <w:szCs w:val="20"/>
                <w:color w:val="auto"/>
              </w:rPr>
            </w:pPr>
            <w:r>
              <w:rPr>
                <w:rFonts w:ascii="Arial" w:cs="Arial" w:eastAsia="Arial" w:hAnsi="Arial"/>
                <w:sz w:val="18"/>
                <w:szCs w:val="18"/>
                <w:color w:val="auto"/>
                <w:w w:val="92"/>
              </w:rPr>
              <w:t>Agreement No. 53258.A.002</w:t>
            </w:r>
          </w:p>
        </w:tc>
      </w:tr>
      <w:tr>
        <w:trPr>
          <w:trHeight w:val="36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640" w:type="dxa"/>
            <w:vAlign w:val="bottom"/>
            <w:gridSpan w:val="3"/>
          </w:tcPr>
          <w:p>
            <w:pPr>
              <w:jc w:val="center"/>
              <w:ind w:right="3336"/>
              <w:spacing w:after="0"/>
              <w:rPr>
                <w:sz w:val="20"/>
                <w:szCs w:val="20"/>
                <w:color w:val="auto"/>
              </w:rPr>
            </w:pPr>
            <w:r>
              <w:rPr>
                <w:rFonts w:ascii="Arial" w:cs="Arial" w:eastAsia="Arial" w:hAnsi="Arial"/>
                <w:sz w:val="18"/>
                <w:szCs w:val="18"/>
                <w:b w:val="1"/>
                <w:bCs w:val="1"/>
                <w:color w:val="auto"/>
                <w:w w:val="92"/>
              </w:rPr>
              <w:t>Customer Privacy Data</w:t>
            </w:r>
          </w:p>
        </w:tc>
      </w:tr>
      <w:tr>
        <w:trPr>
          <w:trHeight w:val="405"/>
        </w:trPr>
        <w:tc>
          <w:tcPr>
            <w:tcW w:w="340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ind w:left="2280"/>
              <w:spacing w:after="0"/>
              <w:rPr>
                <w:sz w:val="20"/>
                <w:szCs w:val="20"/>
                <w:color w:val="auto"/>
              </w:rPr>
            </w:pPr>
            <w:r>
              <w:rPr>
                <w:rFonts w:ascii="Arial" w:cs="Arial" w:eastAsia="Arial" w:hAnsi="Arial"/>
                <w:sz w:val="14"/>
                <w:szCs w:val="14"/>
                <w:color w:val="auto"/>
              </w:rPr>
              <w:t>Description</w:t>
            </w:r>
          </w:p>
        </w:tc>
      </w:tr>
      <w:tr>
        <w:trPr>
          <w:trHeight w:val="195"/>
        </w:trPr>
        <w:tc>
          <w:tcPr>
            <w:tcW w:w="20" w:type="dxa"/>
            <w:vAlign w:val="bottom"/>
          </w:tcPr>
          <w:p>
            <w:pPr>
              <w:spacing w:after="0"/>
              <w:rPr>
                <w:sz w:val="16"/>
                <w:szCs w:val="16"/>
                <w:color w:val="auto"/>
              </w:rPr>
            </w:pPr>
          </w:p>
        </w:tc>
        <w:tc>
          <w:tcPr>
            <w:tcW w:w="3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Customer Web Browsing History</w:t>
            </w:r>
          </w:p>
        </w:tc>
        <w:tc>
          <w:tcPr>
            <w:tcW w:w="2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 xml:space="preserve">Information about what websites our customers visit and </w:t>
            </w:r>
            <w:r>
              <w:rPr>
                <w:rFonts w:ascii="Arial" w:cs="Arial" w:eastAsia="Arial" w:hAnsi="Arial"/>
                <w:sz w:val="18"/>
                <w:szCs w:val="18"/>
                <w:i w:val="1"/>
                <w:iCs w:val="1"/>
                <w:color w:val="auto"/>
                <w:w w:val="95"/>
              </w:rPr>
              <w:t>applications</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8"/>
              </w:rPr>
              <w:t xml:space="preserve">they use on our </w:t>
            </w:r>
            <w:r>
              <w:rPr>
                <w:rFonts w:ascii="Arial" w:cs="Arial" w:eastAsia="Arial" w:hAnsi="Arial"/>
                <w:sz w:val="18"/>
                <w:szCs w:val="18"/>
                <w:i w:val="1"/>
                <w:iCs w:val="1"/>
                <w:color w:val="auto"/>
                <w:w w:val="98"/>
              </w:rPr>
              <w:t>network</w:t>
            </w:r>
            <w:r>
              <w:rPr>
                <w:rFonts w:ascii="Arial" w:cs="Arial" w:eastAsia="Arial" w:hAnsi="Arial"/>
                <w:sz w:val="18"/>
                <w:szCs w:val="18"/>
                <w:color w:val="auto"/>
                <w:w w:val="98"/>
              </w:rPr>
              <w:t xml:space="preserve"> (wireline and wireless including Wi-Fi); this</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2"/>
              </w:rPr>
              <w:t>does not include browsing and activities associated with customers’ use</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5"/>
              </w:rPr>
              <w:t>of official AT&amp;T corporate websites or history captured at the network</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4"/>
              </w:rPr>
              <w:t>level prior to “processing” (e.g. raw data streams not associated with a</w:t>
            </w: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customer).</w:t>
            </w:r>
          </w:p>
        </w:tc>
      </w:tr>
      <w:tr>
        <w:trPr>
          <w:trHeight w:val="36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640" w:type="dxa"/>
            <w:vAlign w:val="bottom"/>
            <w:gridSpan w:val="3"/>
          </w:tcPr>
          <w:p>
            <w:pPr>
              <w:jc w:val="center"/>
              <w:ind w:right="3316"/>
              <w:spacing w:after="0"/>
              <w:rPr>
                <w:sz w:val="20"/>
                <w:szCs w:val="20"/>
                <w:color w:val="auto"/>
              </w:rPr>
            </w:pPr>
            <w:r>
              <w:rPr>
                <w:rFonts w:ascii="Arial" w:cs="Arial" w:eastAsia="Arial" w:hAnsi="Arial"/>
                <w:sz w:val="18"/>
                <w:szCs w:val="18"/>
                <w:b w:val="1"/>
                <w:bCs w:val="1"/>
                <w:color w:val="auto"/>
                <w:w w:val="92"/>
              </w:rPr>
              <w:t>Proprietary and Confidential</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40"/>
          </w:cols>
          <w:pgMar w:left="440" w:top="274" w:right="4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ind w:left="3160"/>
              <w:spacing w:after="0"/>
              <w:rPr>
                <w:sz w:val="20"/>
                <w:szCs w:val="20"/>
                <w:color w:val="auto"/>
              </w:rPr>
            </w:pPr>
            <w:r>
              <w:rPr>
                <w:rFonts w:ascii="Arial" w:cs="Arial" w:eastAsia="Arial" w:hAnsi="Arial"/>
                <w:sz w:val="18"/>
                <w:szCs w:val="18"/>
                <w:color w:val="auto"/>
                <w:w w:val="92"/>
              </w:rPr>
              <w:t>Agreement No. 53258.A.002</w:t>
            </w:r>
          </w:p>
        </w:tc>
      </w:tr>
      <w:tr>
        <w:trPr>
          <w:trHeight w:val="36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500" w:type="dxa"/>
            <w:vAlign w:val="bottom"/>
            <w:gridSpan w:val="3"/>
          </w:tcPr>
          <w:p>
            <w:pPr>
              <w:ind w:left="640"/>
              <w:spacing w:after="0"/>
              <w:rPr>
                <w:sz w:val="20"/>
                <w:szCs w:val="20"/>
                <w:color w:val="auto"/>
              </w:rPr>
            </w:pPr>
            <w:r>
              <w:rPr>
                <w:rFonts w:ascii="Arial" w:cs="Arial" w:eastAsia="Arial" w:hAnsi="Arial"/>
                <w:sz w:val="18"/>
                <w:szCs w:val="18"/>
                <w:b w:val="1"/>
                <w:bCs w:val="1"/>
                <w:color w:val="auto"/>
              </w:rPr>
              <w:t xml:space="preserve">Customer Privacy Data </w:t>
            </w:r>
            <w:r>
              <w:rPr>
                <w:rFonts w:ascii="Arial" w:cs="Arial" w:eastAsia="Arial" w:hAnsi="Arial"/>
                <w:sz w:val="18"/>
                <w:szCs w:val="18"/>
                <w:color w:val="auto"/>
              </w:rPr>
              <w:t>(continued)</w:t>
            </w:r>
          </w:p>
        </w:tc>
      </w:tr>
      <w:tr>
        <w:trPr>
          <w:trHeight w:val="405"/>
        </w:trPr>
        <w:tc>
          <w:tcPr>
            <w:tcW w:w="354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ind w:left="2280"/>
              <w:spacing w:after="0"/>
              <w:rPr>
                <w:sz w:val="20"/>
                <w:szCs w:val="20"/>
                <w:color w:val="auto"/>
              </w:rPr>
            </w:pPr>
            <w:r>
              <w:rPr>
                <w:rFonts w:ascii="Arial" w:cs="Arial" w:eastAsia="Arial" w:hAnsi="Arial"/>
                <w:sz w:val="14"/>
                <w:szCs w:val="14"/>
                <w:color w:val="auto"/>
              </w:rPr>
              <w:t>Description</w:t>
            </w:r>
          </w:p>
        </w:tc>
      </w:tr>
      <w:tr>
        <w:trPr>
          <w:trHeight w:val="195"/>
        </w:trPr>
        <w:tc>
          <w:tcPr>
            <w:tcW w:w="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Customer Viewing History</w:t>
            </w:r>
          </w:p>
        </w:tc>
        <w:tc>
          <w:tcPr>
            <w:tcW w:w="2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Information about programs watched or recorded, games and</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7"/>
              </w:rPr>
              <w:t xml:space="preserve">applications used, etc. (e.g. </w:t>
            </w:r>
            <w:r>
              <w:rPr>
                <w:rFonts w:ascii="Arial" w:cs="Arial" w:eastAsia="Arial" w:hAnsi="Arial"/>
                <w:sz w:val="18"/>
                <w:szCs w:val="18"/>
                <w:i w:val="1"/>
                <w:iCs w:val="1"/>
                <w:color w:val="auto"/>
                <w:w w:val="97"/>
              </w:rPr>
              <w:t>DIRECTV</w:t>
            </w:r>
            <w:r>
              <w:rPr>
                <w:rFonts w:ascii="Arial" w:cs="Arial" w:eastAsia="Arial" w:hAnsi="Arial"/>
                <w:sz w:val="15"/>
                <w:szCs w:val="15"/>
                <w:color w:val="auto"/>
                <w:w w:val="97"/>
              </w:rPr>
              <w:t>®</w:t>
            </w:r>
            <w:r>
              <w:rPr>
                <w:rFonts w:ascii="Arial" w:cs="Arial" w:eastAsia="Arial" w:hAnsi="Arial"/>
                <w:sz w:val="18"/>
                <w:szCs w:val="18"/>
                <w:color w:val="auto"/>
                <w:w w:val="97"/>
              </w:rPr>
              <w:t xml:space="preserve"> (DTV) Set Top Box viewing,</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DIRECTV NOW</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viewing)</w:t>
            </w: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Customer Web communications payload</w:t>
            </w:r>
          </w:p>
        </w:tc>
        <w:tc>
          <w:tcPr>
            <w:tcW w:w="2100" w:type="dxa"/>
            <w:vAlign w:val="bottom"/>
          </w:tcPr>
          <w:p>
            <w:pPr>
              <w:spacing w:after="0"/>
              <w:rPr>
                <w:sz w:val="24"/>
                <w:szCs w:val="24"/>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3"/>
              </w:rPr>
              <w:t>Limited to communication payload captured as part of service analysis,</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 xml:space="preserve">e.g. </w:t>
            </w:r>
            <w:r>
              <w:rPr>
                <w:rFonts w:ascii="Arial" w:cs="Arial" w:eastAsia="Arial" w:hAnsi="Arial"/>
                <w:sz w:val="18"/>
                <w:szCs w:val="18"/>
                <w:i w:val="1"/>
                <w:iCs w:val="1"/>
                <w:color w:val="auto"/>
              </w:rPr>
              <w:t>Deep Packet Inspection (DPI)</w:t>
            </w:r>
            <w:r>
              <w:rPr>
                <w:rFonts w:ascii="Arial" w:cs="Arial" w:eastAsia="Arial" w:hAnsi="Arial"/>
                <w:sz w:val="18"/>
                <w:szCs w:val="18"/>
                <w:color w:val="auto"/>
              </w:rPr>
              <w:t xml:space="preserve"> data. (AT&amp;T use)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Footnotes: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Where data elements have the term “Subject to non-U.S. jurisdiction” associated with them, that data element is to be classified as AT&amp;T Proprietary (Sensitive Personal Information) when applied to data elements subject to non-U.S. jurisdiction, irrespective of whether the data is created, handled, processed, destroyed or sanitized inside or outside the United States.</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Table 2—AT&amp;T SCD Data Elements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Data elements in the following table must be treated as SCD when used in their entirety, unless explicitly stated in the following table. This applies to all data formats including scanned images, PDFs, JPGs and any other unified communication, and collaboration tools/content.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20" w:type="dxa"/>
            <w:vAlign w:val="bottom"/>
            <w:gridSpan w:val="3"/>
          </w:tcPr>
          <w:p>
            <w:pPr>
              <w:ind w:left="760"/>
              <w:spacing w:after="0"/>
              <w:rPr>
                <w:sz w:val="20"/>
                <w:szCs w:val="20"/>
                <w:color w:val="auto"/>
              </w:rPr>
            </w:pPr>
            <w:r>
              <w:rPr>
                <w:rFonts w:ascii="Arial" w:cs="Arial" w:eastAsia="Arial" w:hAnsi="Arial"/>
                <w:sz w:val="18"/>
                <w:szCs w:val="18"/>
                <w:b w:val="1"/>
                <w:bCs w:val="1"/>
                <w:color w:val="auto"/>
              </w:rPr>
              <w:t>Sensitive Customer Data (Customer Privacy)</w:t>
            </w:r>
          </w:p>
        </w:tc>
      </w:tr>
      <w:tr>
        <w:trPr>
          <w:trHeight w:val="412"/>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Data Element</w:t>
            </w: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60" w:type="dxa"/>
            <w:vAlign w:val="bottom"/>
          </w:tcPr>
          <w:p>
            <w:pPr>
              <w:ind w:left="2040"/>
              <w:spacing w:after="0"/>
              <w:rPr>
                <w:sz w:val="20"/>
                <w:szCs w:val="20"/>
                <w:color w:val="auto"/>
              </w:rPr>
            </w:pPr>
            <w:r>
              <w:rPr>
                <w:rFonts w:ascii="Arial" w:cs="Arial" w:eastAsia="Arial" w:hAnsi="Arial"/>
                <w:sz w:val="14"/>
                <w:szCs w:val="14"/>
                <w:b w:val="1"/>
                <w:bCs w:val="1"/>
                <w:color w:val="auto"/>
              </w:rPr>
              <w:t>Description</w:t>
            </w:r>
          </w:p>
        </w:tc>
      </w:tr>
      <w:tr>
        <w:trPr>
          <w:trHeight w:val="217"/>
        </w:trPr>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Customer</w:t>
            </w:r>
          </w:p>
        </w:tc>
        <w:tc>
          <w:tcPr>
            <w:tcW w:w="2160" w:type="dxa"/>
            <w:vAlign w:val="bottom"/>
          </w:tcPr>
          <w:p>
            <w:pPr>
              <w:spacing w:after="0" w:line="190" w:lineRule="exact"/>
              <w:rPr>
                <w:sz w:val="20"/>
                <w:szCs w:val="20"/>
                <w:color w:val="auto"/>
              </w:rPr>
            </w:pPr>
            <w:r>
              <w:rPr>
                <w:rFonts w:ascii="Arial" w:cs="Arial" w:eastAsia="Arial" w:hAnsi="Arial"/>
                <w:sz w:val="18"/>
                <w:szCs w:val="18"/>
                <w:color w:val="auto"/>
              </w:rPr>
              <w:t>“messaging” content</w:t>
            </w:r>
          </w:p>
        </w:tc>
        <w:tc>
          <w:tcPr>
            <w:tcW w:w="2740" w:type="dxa"/>
            <w:vAlign w:val="bottom"/>
          </w:tcPr>
          <w:p>
            <w:pPr>
              <w:spacing w:after="0"/>
              <w:rPr>
                <w:sz w:val="18"/>
                <w:szCs w:val="18"/>
                <w:color w:val="auto"/>
              </w:rPr>
            </w:pP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Including:</w:t>
            </w:r>
          </w:p>
        </w:tc>
      </w:tr>
      <w:tr>
        <w:trPr>
          <w:trHeight w:val="309"/>
        </w:trPr>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20" w:type="dxa"/>
            <w:vAlign w:val="bottom"/>
            <w:gridSpan w:val="3"/>
          </w:tcPr>
          <w:p>
            <w:pPr>
              <w:ind w:left="2720"/>
              <w:spacing w:after="0"/>
              <w:rPr>
                <w:sz w:val="20"/>
                <w:szCs w:val="20"/>
                <w:color w:val="auto"/>
              </w:rPr>
            </w:pPr>
            <w:r>
              <w:rPr>
                <w:rFonts w:ascii="Arial" w:cs="Arial" w:eastAsia="Arial" w:hAnsi="Arial"/>
                <w:sz w:val="18"/>
                <w:szCs w:val="18"/>
                <w:i w:val="1"/>
                <w:iCs w:val="1"/>
                <w:color w:val="auto"/>
                <w:w w:val="97"/>
              </w:rPr>
              <w:t>Email</w:t>
            </w:r>
            <w:r>
              <w:rPr>
                <w:rFonts w:ascii="Arial" w:cs="Arial" w:eastAsia="Arial" w:hAnsi="Arial"/>
                <w:sz w:val="18"/>
                <w:szCs w:val="18"/>
                <w:color w:val="auto"/>
                <w:w w:val="97"/>
              </w:rPr>
              <w:t>, text messages, conference call recording, and voice mail call</w:t>
            </w:r>
          </w:p>
        </w:tc>
      </w:tr>
      <w:tr>
        <w:trPr>
          <w:trHeight w:val="230"/>
        </w:trPr>
        <w:tc>
          <w:tcPr>
            <w:tcW w:w="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20" w:type="dxa"/>
            <w:vAlign w:val="bottom"/>
            <w:gridSpan w:val="3"/>
          </w:tcPr>
          <w:p>
            <w:pPr>
              <w:ind w:left="2720"/>
              <w:spacing w:after="0"/>
              <w:rPr>
                <w:sz w:val="20"/>
                <w:szCs w:val="20"/>
                <w:color w:val="auto"/>
              </w:rPr>
            </w:pPr>
            <w:r>
              <w:rPr>
                <w:rFonts w:ascii="Arial" w:cs="Arial" w:eastAsia="Arial" w:hAnsi="Arial"/>
                <w:sz w:val="18"/>
                <w:szCs w:val="18"/>
                <w:color w:val="auto"/>
              </w:rPr>
              <w:t>recording.</w:t>
            </w:r>
          </w:p>
        </w:tc>
      </w:tr>
      <w:tr>
        <w:trPr>
          <w:trHeight w:val="338"/>
        </w:trPr>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20" w:type="dxa"/>
            <w:vAlign w:val="bottom"/>
            <w:gridSpan w:val="3"/>
          </w:tcPr>
          <w:p>
            <w:pPr>
              <w:ind w:left="2720"/>
              <w:spacing w:after="0"/>
              <w:rPr>
                <w:sz w:val="20"/>
                <w:szCs w:val="20"/>
                <w:color w:val="auto"/>
              </w:rPr>
            </w:pPr>
            <w:r>
              <w:rPr>
                <w:rFonts w:ascii="Arial" w:cs="Arial" w:eastAsia="Arial" w:hAnsi="Arial"/>
                <w:sz w:val="18"/>
                <w:szCs w:val="18"/>
                <w:color w:val="auto"/>
              </w:rPr>
              <w:t>Excluding:</w:t>
            </w:r>
          </w:p>
        </w:tc>
      </w:tr>
      <w:tr>
        <w:trPr>
          <w:trHeight w:val="323"/>
        </w:trPr>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960" w:type="dxa"/>
            <w:vAlign w:val="bottom"/>
            <w:gridSpan w:val="2"/>
          </w:tcPr>
          <w:p>
            <w:pPr>
              <w:ind w:left="2720"/>
              <w:spacing w:after="0"/>
              <w:rPr>
                <w:sz w:val="20"/>
                <w:szCs w:val="20"/>
                <w:color w:val="auto"/>
              </w:rPr>
            </w:pPr>
            <w:r>
              <w:rPr>
                <w:rFonts w:ascii="Arial" w:cs="Arial" w:eastAsia="Arial" w:hAnsi="Arial"/>
                <w:sz w:val="18"/>
                <w:szCs w:val="18"/>
                <w:color w:val="auto"/>
              </w:rPr>
              <w:t>1.</w:t>
            </w:r>
          </w:p>
        </w:tc>
        <w:tc>
          <w:tcPr>
            <w:tcW w:w="5060" w:type="dxa"/>
            <w:vAlign w:val="bottom"/>
          </w:tcPr>
          <w:p>
            <w:pPr>
              <w:ind w:left="120"/>
              <w:spacing w:after="0"/>
              <w:rPr>
                <w:sz w:val="20"/>
                <w:szCs w:val="20"/>
                <w:color w:val="auto"/>
              </w:rPr>
            </w:pPr>
            <w:r>
              <w:rPr>
                <w:rFonts w:ascii="Arial" w:cs="Arial" w:eastAsia="Arial" w:hAnsi="Arial"/>
                <w:sz w:val="18"/>
                <w:szCs w:val="18"/>
                <w:color w:val="auto"/>
                <w:w w:val="95"/>
              </w:rPr>
              <w:t>“Messaging” between customers and AT&amp;T in conducting official</w:t>
            </w:r>
          </w:p>
        </w:tc>
      </w:tr>
      <w:tr>
        <w:trPr>
          <w:trHeight w:val="230"/>
        </w:trPr>
        <w:tc>
          <w:tcPr>
            <w:tcW w:w="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AT&amp;T corporate business.</w:t>
            </w:r>
          </w:p>
        </w:tc>
      </w:tr>
      <w:tr>
        <w:trPr>
          <w:trHeight w:val="338"/>
        </w:trPr>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960" w:type="dxa"/>
            <w:vAlign w:val="bottom"/>
            <w:gridSpan w:val="2"/>
          </w:tcPr>
          <w:p>
            <w:pPr>
              <w:ind w:left="2720"/>
              <w:spacing w:after="0"/>
              <w:rPr>
                <w:sz w:val="20"/>
                <w:szCs w:val="20"/>
                <w:color w:val="auto"/>
              </w:rPr>
            </w:pPr>
            <w:r>
              <w:rPr>
                <w:rFonts w:ascii="Arial" w:cs="Arial" w:eastAsia="Arial" w:hAnsi="Arial"/>
                <w:sz w:val="18"/>
                <w:szCs w:val="18"/>
                <w:color w:val="auto"/>
              </w:rPr>
              <w:t>2.</w:t>
            </w:r>
          </w:p>
        </w:tc>
        <w:tc>
          <w:tcPr>
            <w:tcW w:w="5060" w:type="dxa"/>
            <w:vAlign w:val="bottom"/>
          </w:tcPr>
          <w:p>
            <w:pPr>
              <w:ind w:left="100"/>
              <w:spacing w:after="0"/>
              <w:rPr>
                <w:sz w:val="20"/>
                <w:szCs w:val="20"/>
                <w:color w:val="auto"/>
              </w:rPr>
            </w:pPr>
            <w:r>
              <w:rPr>
                <w:rFonts w:ascii="Arial" w:cs="Arial" w:eastAsia="Arial" w:hAnsi="Arial"/>
                <w:sz w:val="18"/>
                <w:szCs w:val="18"/>
                <w:color w:val="auto"/>
              </w:rPr>
              <w:t>Any other data.</w:t>
            </w:r>
          </w:p>
        </w:tc>
      </w:tr>
      <w:tr>
        <w:trPr>
          <w:trHeight w:val="323"/>
        </w:trPr>
        <w:tc>
          <w:tcPr>
            <w:tcW w:w="3020" w:type="dxa"/>
            <w:vAlign w:val="bottom"/>
            <w:gridSpan w:val="2"/>
          </w:tcPr>
          <w:p>
            <w:pPr>
              <w:spacing w:after="0"/>
              <w:rPr>
                <w:sz w:val="20"/>
                <w:szCs w:val="20"/>
                <w:color w:val="auto"/>
              </w:rPr>
            </w:pPr>
            <w:r>
              <w:rPr>
                <w:rFonts w:ascii="Arial" w:cs="Arial" w:eastAsia="Arial" w:hAnsi="Arial"/>
                <w:sz w:val="18"/>
                <w:szCs w:val="18"/>
                <w:color w:val="auto"/>
              </w:rPr>
              <w:t>Customer Telemetry Data</w:t>
            </w:r>
          </w:p>
        </w:tc>
        <w:tc>
          <w:tcPr>
            <w:tcW w:w="8020" w:type="dxa"/>
            <w:vAlign w:val="bottom"/>
            <w:gridSpan w:val="3"/>
          </w:tcPr>
          <w:p>
            <w:pPr>
              <w:ind w:left="2720"/>
              <w:spacing w:after="0"/>
              <w:rPr>
                <w:sz w:val="20"/>
                <w:szCs w:val="20"/>
                <w:color w:val="auto"/>
              </w:rPr>
            </w:pPr>
            <w:r>
              <w:rPr>
                <w:rFonts w:ascii="Arial" w:cs="Arial" w:eastAsia="Arial" w:hAnsi="Arial"/>
                <w:sz w:val="18"/>
                <w:szCs w:val="18"/>
                <w:color w:val="auto"/>
                <w:w w:val="92"/>
              </w:rPr>
              <w:t>Automated communications for monitoring by the customer (rather than</w:t>
            </w:r>
          </w:p>
        </w:tc>
      </w:tr>
      <w:tr>
        <w:trPr>
          <w:trHeight w:val="216"/>
        </w:trPr>
        <w:tc>
          <w:tcPr>
            <w:tcW w:w="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20" w:type="dxa"/>
            <w:vAlign w:val="bottom"/>
            <w:gridSpan w:val="3"/>
          </w:tcPr>
          <w:p>
            <w:pPr>
              <w:ind w:left="2720"/>
              <w:spacing w:after="0"/>
              <w:rPr>
                <w:sz w:val="20"/>
                <w:szCs w:val="20"/>
                <w:color w:val="auto"/>
              </w:rPr>
            </w:pPr>
            <w:r>
              <w:rPr>
                <w:rFonts w:ascii="Arial" w:cs="Arial" w:eastAsia="Arial" w:hAnsi="Arial"/>
                <w:sz w:val="18"/>
                <w:szCs w:val="18"/>
                <w:color w:val="auto"/>
                <w:w w:val="93"/>
              </w:rPr>
              <w:t>AT&amp;T). Including all data that is generated by our customers’ use of the</w:t>
            </w:r>
          </w:p>
        </w:tc>
      </w:tr>
      <w:tr>
        <w:trPr>
          <w:trHeight w:val="216"/>
        </w:trPr>
        <w:tc>
          <w:tcPr>
            <w:tcW w:w="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20" w:type="dxa"/>
            <w:vAlign w:val="bottom"/>
            <w:gridSpan w:val="3"/>
          </w:tcPr>
          <w:p>
            <w:pPr>
              <w:ind w:left="2720"/>
              <w:spacing w:after="0"/>
              <w:rPr>
                <w:sz w:val="20"/>
                <w:szCs w:val="20"/>
                <w:color w:val="auto"/>
              </w:rPr>
            </w:pPr>
            <w:r>
              <w:rPr>
                <w:rFonts w:ascii="Arial" w:cs="Arial" w:eastAsia="Arial" w:hAnsi="Arial"/>
                <w:sz w:val="18"/>
                <w:szCs w:val="18"/>
                <w:i w:val="1"/>
                <w:iCs w:val="1"/>
                <w:color w:val="auto"/>
              </w:rPr>
              <w:t>Digital Life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or any other</w:t>
            </w:r>
            <w:r>
              <w:rPr>
                <w:rFonts w:ascii="Arial" w:cs="Arial" w:eastAsia="Arial" w:hAnsi="Arial"/>
                <w:sz w:val="18"/>
                <w:szCs w:val="18"/>
                <w:i w:val="1"/>
                <w:iCs w:val="1"/>
                <w:color w:val="auto"/>
              </w:rPr>
              <w:t xml:space="preserve"> IoT </w:t>
            </w:r>
            <w:r>
              <w:rPr>
                <w:rFonts w:ascii="Arial" w:cs="Arial" w:eastAsia="Arial" w:hAnsi="Arial"/>
                <w:sz w:val="18"/>
                <w:szCs w:val="18"/>
                <w:color w:val="auto"/>
              </w:rPr>
              <w:t>service that is used by the</w:t>
            </w:r>
          </w:p>
        </w:tc>
      </w:tr>
      <w:tr>
        <w:trPr>
          <w:trHeight w:val="216"/>
        </w:trPr>
        <w:tc>
          <w:tcPr>
            <w:tcW w:w="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20" w:type="dxa"/>
            <w:vAlign w:val="bottom"/>
            <w:gridSpan w:val="3"/>
          </w:tcPr>
          <w:p>
            <w:pPr>
              <w:ind w:left="2720"/>
              <w:spacing w:after="0"/>
              <w:rPr>
                <w:sz w:val="20"/>
                <w:szCs w:val="20"/>
                <w:color w:val="auto"/>
              </w:rPr>
            </w:pPr>
            <w:r>
              <w:rPr>
                <w:rFonts w:ascii="Arial" w:cs="Arial" w:eastAsia="Arial" w:hAnsi="Arial"/>
                <w:sz w:val="18"/>
                <w:szCs w:val="18"/>
                <w:color w:val="auto"/>
                <w:w w:val="98"/>
              </w:rPr>
              <w:t>customer to monitor or control the service. For example, video files.</w:t>
            </w:r>
          </w:p>
        </w:tc>
      </w:tr>
      <w:tr>
        <w:trPr>
          <w:trHeight w:val="230"/>
        </w:trPr>
        <w:tc>
          <w:tcPr>
            <w:tcW w:w="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20" w:type="dxa"/>
            <w:vAlign w:val="bottom"/>
            <w:gridSpan w:val="3"/>
          </w:tcPr>
          <w:p>
            <w:pPr>
              <w:ind w:left="2720"/>
              <w:spacing w:after="0"/>
              <w:rPr>
                <w:sz w:val="20"/>
                <w:szCs w:val="20"/>
                <w:color w:val="auto"/>
              </w:rPr>
            </w:pPr>
            <w:r>
              <w:rPr>
                <w:rFonts w:ascii="Arial" w:cs="Arial" w:eastAsia="Arial" w:hAnsi="Arial"/>
                <w:sz w:val="18"/>
                <w:szCs w:val="18"/>
                <w:color w:val="auto"/>
              </w:rPr>
              <w:t>(Customer use)</w:t>
            </w:r>
          </w:p>
        </w:tc>
      </w:tr>
    </w:tbl>
    <w:p>
      <w:pPr>
        <w:spacing w:after="0" w:line="13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440" w:top="274" w:right="4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Offshore Information Technology Services Requirements</w:t>
      </w:r>
    </w:p>
    <w:p>
      <w:pPr>
        <w:spacing w:after="0" w:line="121"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In the event Supplier currently provides or will be providing Offshore Information Technology Services in conjunction with this Agreement, then, in addition to the foregoing, the following requirements shall apply to Supplier:</w:t>
      </w:r>
    </w:p>
    <w:p>
      <w:pPr>
        <w:spacing w:after="0" w:line="76" w:lineRule="exact"/>
        <w:rPr>
          <w:sz w:val="20"/>
          <w:szCs w:val="20"/>
          <w:color w:val="auto"/>
        </w:rPr>
      </w:pPr>
    </w:p>
    <w:p>
      <w:pPr>
        <w:ind w:left="980" w:right="180" w:hanging="544"/>
        <w:spacing w:after="0" w:line="308" w:lineRule="auto"/>
        <w:tabs>
          <w:tab w:leader="none" w:pos="9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Strong authentication controls must be established for firewalls, firewall management servers, and firewall hop boxes. Options for strong authentication may include two-factor authentication methods such as tokens, smart-cards and/or one-time passwords.</w:t>
      </w:r>
    </w:p>
    <w:p>
      <w:pPr>
        <w:spacing w:after="0" w:line="52" w:lineRule="exact"/>
        <w:rPr>
          <w:sz w:val="20"/>
          <w:szCs w:val="20"/>
          <w:color w:val="auto"/>
        </w:rPr>
      </w:pPr>
    </w:p>
    <w:p>
      <w:pPr>
        <w:ind w:left="980" w:right="380" w:hanging="544"/>
        <w:spacing w:after="0" w:line="277" w:lineRule="auto"/>
        <w:tabs>
          <w:tab w:leader="none" w:pos="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Supplier must ensure that firewall configurations are hardened by selecting a sample of firewalls and verifying that the default rule set ensures the following:</w:t>
      </w:r>
    </w:p>
    <w:p>
      <w:pPr>
        <w:spacing w:after="0" w:line="75" w:lineRule="exact"/>
        <w:rPr>
          <w:rFonts w:ascii="Arial" w:cs="Arial" w:eastAsia="Arial" w:hAnsi="Arial"/>
          <w:sz w:val="18"/>
          <w:szCs w:val="18"/>
          <w:color w:val="auto"/>
        </w:rPr>
      </w:pPr>
    </w:p>
    <w:p>
      <w:pPr>
        <w:ind w:left="1980" w:hanging="545"/>
        <w:spacing w:after="0"/>
        <w:tabs>
          <w:tab w:leader="none" w:pos="1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IP source routing is disabled.</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Loopback address is prohibited from entering the internal network,</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Anti-spoofing filters are implemented.</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Broadcast packets are disallowed from entering the network,</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ICMP redirects are disabled.</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Fragmented packets are dropped.</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Ruleset ends with a DENY ALL statement</w:t>
      </w:r>
    </w:p>
    <w:p>
      <w:pPr>
        <w:spacing w:after="0" w:line="131" w:lineRule="exact"/>
        <w:rPr>
          <w:sz w:val="20"/>
          <w:szCs w:val="20"/>
          <w:color w:val="auto"/>
        </w:rPr>
      </w:pPr>
    </w:p>
    <w:p>
      <w:pPr>
        <w:ind w:left="980" w:hanging="544"/>
        <w:spacing w:after="0"/>
        <w:tabs>
          <w:tab w:leader="none" w:pos="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Screen savers or connection timeouts are required to prevent unauthorized access to unattended workstations.</w:t>
      </w:r>
    </w:p>
    <w:p>
      <w:pPr>
        <w:spacing w:after="0" w:line="131" w:lineRule="exact"/>
        <w:rPr>
          <w:sz w:val="20"/>
          <w:szCs w:val="20"/>
          <w:color w:val="auto"/>
        </w:rPr>
      </w:pPr>
    </w:p>
    <w:p>
      <w:pPr>
        <w:ind w:left="980" w:right="20" w:hanging="544"/>
        <w:spacing w:after="0" w:line="264"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Perform monthly revalidations on the user account list on firewalls, firewall management servers, and firewall hop boxes to ensure that only those users authorized for access to manage these devices have an account. This includes the need to revalidate the authorization level of each user account to ensure appropriate permission levels are maintained.</w:t>
      </w:r>
    </w:p>
    <w:p>
      <w:pPr>
        <w:spacing w:after="0" w:line="87" w:lineRule="exact"/>
        <w:rPr>
          <w:sz w:val="20"/>
          <w:szCs w:val="20"/>
          <w:color w:val="auto"/>
        </w:rPr>
      </w:pPr>
    </w:p>
    <w:p>
      <w:pPr>
        <w:ind w:left="980" w:right="460" w:hanging="544"/>
        <w:spacing w:after="0" w:line="277" w:lineRule="auto"/>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Production support personnel and development personnel must have enough separation and auditable controls to ensure that standard change management procedures are always consistently followed.</w:t>
      </w:r>
    </w:p>
    <w:p>
      <w:pPr>
        <w:spacing w:after="0" w:line="9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8" w:lineRule="exact"/>
        <w:rPr>
          <w:sz w:val="20"/>
          <w:szCs w:val="20"/>
          <w:color w:val="auto"/>
        </w:rPr>
      </w:pPr>
    </w:p>
    <w:p>
      <w:pPr>
        <w:ind w:left="760" w:right="80" w:hanging="544"/>
        <w:spacing w:after="0" w:line="264" w:lineRule="auto"/>
        <w:tabs>
          <w:tab w:leader="none" w:pos="7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Developers cannot access production platforms “at will”. For some trouble-shooting situations, developers may be provided access to production platforms but only on an “as needed basis” and for a limited duration. All temporary access should be documented (who, what, when, where and why).</w:t>
      </w:r>
    </w:p>
    <w:p>
      <w:pPr>
        <w:spacing w:after="0" w:line="87" w:lineRule="exact"/>
        <w:rPr>
          <w:sz w:val="20"/>
          <w:szCs w:val="20"/>
          <w:color w:val="auto"/>
        </w:rPr>
      </w:pPr>
    </w:p>
    <w:p>
      <w:pPr>
        <w:ind w:left="760" w:right="460" w:hanging="544"/>
        <w:spacing w:after="0" w:line="277" w:lineRule="auto"/>
        <w:tabs>
          <w:tab w:leader="none" w:pos="7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Track and approve changes to firewall rules is required and must be validated annually. Inappropriate firewall rules must be removed immediately.</w:t>
      </w:r>
    </w:p>
    <w:p>
      <w:pPr>
        <w:spacing w:after="0" w:line="76" w:lineRule="exact"/>
        <w:rPr>
          <w:sz w:val="20"/>
          <w:szCs w:val="20"/>
          <w:color w:val="auto"/>
        </w:rPr>
      </w:pPr>
    </w:p>
    <w:p>
      <w:pPr>
        <w:ind w:left="760" w:hanging="544"/>
        <w:spacing w:after="0"/>
        <w:tabs>
          <w:tab w:leader="none" w:pos="7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Require a clean desk policy at the end of the day.</w:t>
      </w:r>
    </w:p>
    <w:p>
      <w:pPr>
        <w:spacing w:after="0" w:line="131"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color w:val="auto"/>
        </w:rPr>
        <w:t>Supplier resources shall be notified of the restriction that AT&amp;T Data may not be downloaded and taken offsite.</w:t>
      </w:r>
    </w:p>
    <w:p>
      <w:pPr>
        <w:spacing w:after="0" w:line="252" w:lineRule="exact"/>
        <w:rPr>
          <w:sz w:val="20"/>
          <w:szCs w:val="20"/>
          <w:color w:val="auto"/>
        </w:rPr>
      </w:pPr>
    </w:p>
    <w:p>
      <w:pPr>
        <w:ind w:left="760" w:right="180" w:hanging="539"/>
        <w:spacing w:after="0" w:line="264" w:lineRule="auto"/>
        <w:tabs>
          <w:tab w:leader="none" w:pos="740" w:val="left"/>
        </w:tabs>
        <w:rPr>
          <w:sz w:val="20"/>
          <w:szCs w:val="20"/>
          <w:color w:val="auto"/>
        </w:rPr>
      </w:pPr>
      <w:r>
        <w:rPr>
          <w:rFonts w:ascii="Arial" w:cs="Arial" w:eastAsia="Arial" w:hAnsi="Arial"/>
          <w:sz w:val="18"/>
          <w:szCs w:val="18"/>
          <w:color w:val="auto"/>
        </w:rPr>
        <w:t>9B</w:t>
      </w:r>
      <w:r>
        <w:rPr>
          <w:sz w:val="20"/>
          <w:szCs w:val="20"/>
          <w:color w:val="auto"/>
        </w:rPr>
        <w:tab/>
      </w:r>
      <w:r>
        <w:rPr>
          <w:rFonts w:ascii="Arial" w:cs="Arial" w:eastAsia="Arial" w:hAnsi="Arial"/>
          <w:sz w:val="18"/>
          <w:szCs w:val="18"/>
          <w:color w:val="auto"/>
        </w:rPr>
        <w:t>Wireless networking technologies must not be used for communicating unless the following steps are taken by Amdocs to maintain the confidentiality and integrity of the communication and to prevent unauthorized access to the transmitting device and/or receiving device. When wireless networking technologies are used:</w:t>
      </w:r>
    </w:p>
    <w:p>
      <w:pPr>
        <w:spacing w:after="0" w:line="73" w:lineRule="exact"/>
        <w:rPr>
          <w:sz w:val="20"/>
          <w:szCs w:val="20"/>
          <w:color w:val="auto"/>
        </w:rPr>
      </w:pPr>
    </w:p>
    <w:p>
      <w:pPr>
        <w:ind w:left="1000" w:hanging="224"/>
        <w:spacing w:after="0"/>
        <w:tabs>
          <w:tab w:leader="none" w:pos="10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All communications over wireless networks must be transmitted via Virtual Private Network (VPN) session(s) using Strong Encryption.</w:t>
      </w:r>
    </w:p>
    <w:p>
      <w:pPr>
        <w:spacing w:after="0" w:line="140" w:lineRule="exact"/>
        <w:rPr>
          <w:rFonts w:ascii="Arial" w:cs="Arial" w:eastAsia="Arial" w:hAnsi="Arial"/>
          <w:sz w:val="16"/>
          <w:szCs w:val="16"/>
          <w:color w:val="auto"/>
        </w:rPr>
      </w:pPr>
    </w:p>
    <w:p>
      <w:pPr>
        <w:ind w:left="1040" w:hanging="264"/>
        <w:spacing w:after="0"/>
        <w:tabs>
          <w:tab w:leader="none" w:pos="10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Strong authentication (e.g., two factor token or digital certificates) must be used for authenticating VPN access.</w:t>
      </w:r>
    </w:p>
    <w:p>
      <w:pPr>
        <w:spacing w:after="0" w:line="117" w:lineRule="exact"/>
        <w:rPr>
          <w:rFonts w:ascii="Arial" w:cs="Arial" w:eastAsia="Arial" w:hAnsi="Arial"/>
          <w:sz w:val="18"/>
          <w:szCs w:val="18"/>
          <w:color w:val="auto"/>
        </w:rPr>
      </w:pPr>
    </w:p>
    <w:p>
      <w:pPr>
        <w:ind w:left="780" w:right="160" w:hanging="4"/>
        <w:spacing w:after="0" w:line="277" w:lineRule="auto"/>
        <w:tabs>
          <w:tab w:leader="none" w:pos="10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Wireless hardware (with the exception of wireless network cards and access points) must be located in a physically secure area (e.g., in a locked wiring closet or locked machine room).</w:t>
      </w:r>
    </w:p>
    <w:p>
      <w:pPr>
        <w:spacing w:after="0" w:line="62" w:lineRule="exact"/>
        <w:rPr>
          <w:rFonts w:ascii="Arial" w:cs="Arial" w:eastAsia="Arial" w:hAnsi="Arial"/>
          <w:sz w:val="18"/>
          <w:szCs w:val="18"/>
          <w:color w:val="auto"/>
        </w:rPr>
      </w:pPr>
    </w:p>
    <w:p>
      <w:pPr>
        <w:ind w:left="1080" w:hanging="30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All services not being used on the access point, router, and VPN concentrator must be disabled.</w:t>
      </w:r>
    </w:p>
    <w:p>
      <w:pPr>
        <w:spacing w:after="0" w:line="117" w:lineRule="exact"/>
        <w:rPr>
          <w:rFonts w:ascii="Arial" w:cs="Arial" w:eastAsia="Arial" w:hAnsi="Arial"/>
          <w:sz w:val="18"/>
          <w:szCs w:val="18"/>
          <w:color w:val="auto"/>
        </w:rPr>
      </w:pPr>
    </w:p>
    <w:p>
      <w:pPr>
        <w:ind w:left="1040" w:hanging="264"/>
        <w:spacing w:after="0"/>
        <w:tabs>
          <w:tab w:leader="none" w:pos="10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Enable Media Access Control (MAC)-based filtering so that only specified wireless cards can communicate to the access point.</w:t>
      </w:r>
    </w:p>
    <w:p>
      <w:pPr>
        <w:spacing w:after="0" w:line="142" w:lineRule="exact"/>
        <w:rPr>
          <w:sz w:val="20"/>
          <w:szCs w:val="20"/>
          <w:color w:val="auto"/>
        </w:rPr>
      </w:pPr>
    </w:p>
    <w:p>
      <w:pPr>
        <w:ind w:left="760" w:right="280" w:hanging="544"/>
        <w:spacing w:after="0" w:line="286" w:lineRule="auto"/>
        <w:tabs>
          <w:tab w:leader="none" w:pos="7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Supplier must implement procedures to ensure that AT&amp;T Data is not downloaded and removed by Supplier. To the extent Supplier suspects that AT&amp;T Data may have been removed, Supplier agrees to conduct searches of suspected persons and their belongings when exiting AT&amp;T restricted areas and Supplier’s premises to the extent such searches are permissible by local law.</w:t>
      </w:r>
    </w:p>
    <w:p>
      <w:pPr>
        <w:spacing w:after="0" w:line="70" w:lineRule="exact"/>
        <w:rPr>
          <w:rFonts w:ascii="Arial" w:cs="Arial" w:eastAsia="Arial" w:hAnsi="Arial"/>
          <w:sz w:val="17"/>
          <w:szCs w:val="17"/>
          <w:color w:val="auto"/>
        </w:rPr>
      </w:pPr>
    </w:p>
    <w:p>
      <w:pPr>
        <w:ind w:left="760" w:right="100" w:hanging="544"/>
        <w:spacing w:after="0" w:line="264" w:lineRule="auto"/>
        <w:tabs>
          <w:tab w:leader="none" w:pos="7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Notify individuals that removal of AT&amp;T Data from the work area or Supplier’s premises is not allowed, to include signage that communicates this policy and that people and personal property including, without limitation, packages, briefcases, and purses are subject to inspection prior to exiting AT&amp;T restricted areas and Supplier’s premises.</w:t>
      </w:r>
    </w:p>
    <w:p>
      <w:pPr>
        <w:spacing w:after="0" w:line="1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00"/>
          </w:cols>
          <w:pgMar w:left="660" w:top="274" w:right="4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8" w:lineRule="exact"/>
        <w:rPr>
          <w:sz w:val="20"/>
          <w:szCs w:val="20"/>
          <w:color w:val="auto"/>
        </w:rPr>
      </w:pPr>
    </w:p>
    <w:p>
      <w:pPr>
        <w:ind w:left="760" w:right="80" w:hanging="544"/>
        <w:spacing w:after="0" w:line="257" w:lineRule="auto"/>
        <w:tabs>
          <w:tab w:leader="none" w:pos="7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Verify that all printed media containing AT&amp;T Data (any information obtained from or provided by AT&amp;T, including information about AT&amp;T Systems, its employees and its customers) is securely stored, and that a mechanism is in place to protect the security and privacy of AT&amp;T Data. Procedures are required to restrict access to AT&amp;T Data to authorized Supplier personnel only, and to ensure that all media containing AT&amp;T Data is accounted for and reconciled on a weekly basis to ensure that the information is not removed from Supplier’s premises.</w:t>
      </w:r>
    </w:p>
    <w:p>
      <w:pPr>
        <w:spacing w:after="0" w:line="93" w:lineRule="exact"/>
        <w:rPr>
          <w:rFonts w:ascii="Arial" w:cs="Arial" w:eastAsia="Arial" w:hAnsi="Arial"/>
          <w:sz w:val="18"/>
          <w:szCs w:val="18"/>
          <w:color w:val="auto"/>
        </w:rPr>
      </w:pPr>
    </w:p>
    <w:p>
      <w:pPr>
        <w:ind w:left="760" w:right="20" w:hanging="544"/>
        <w:spacing w:after="0" w:line="257" w:lineRule="auto"/>
        <w:tabs>
          <w:tab w:leader="none" w:pos="7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access to electronic documentation of AT&amp;T Data retained locally must be password protected and restricted to the very minimum number of Supplier personnel. Supplier must implement procedures to ensure that AT&amp;T Data is not downloaded and removed by Supplier personnel, including, at a minimum, searches. To the extent Supplier suspects that AT&amp;T Data may have been removed, Supplier agrees to conduct searches of persons and their belongings when exiting AT&amp;T restricted areas and Supplier’s premises to the extent searches are permissible under local law.</w:t>
      </w:r>
    </w:p>
    <w:p>
      <w:pPr>
        <w:spacing w:after="0" w:line="93" w:lineRule="exact"/>
        <w:rPr>
          <w:rFonts w:ascii="Arial" w:cs="Arial" w:eastAsia="Arial" w:hAnsi="Arial"/>
          <w:sz w:val="18"/>
          <w:szCs w:val="18"/>
          <w:color w:val="auto"/>
        </w:rPr>
      </w:pPr>
    </w:p>
    <w:p>
      <w:pPr>
        <w:ind w:left="760" w:right="400" w:hanging="544"/>
        <w:spacing w:after="0" w:line="342" w:lineRule="auto"/>
        <w:tabs>
          <w:tab w:leader="none" w:pos="7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All electronically stored or printed AT&amp;T Data no longer needed must be shredded onsite or destroyed onsite by authorized Supplier personnel assigned to AT&amp;T projects. Shred bins must be located in AT&amp;T restricted areas and locked until the shredding takes place.</w:t>
      </w:r>
    </w:p>
    <w:p>
      <w:pPr>
        <w:spacing w:after="0" w:line="29" w:lineRule="exact"/>
        <w:rPr>
          <w:rFonts w:ascii="Arial" w:cs="Arial" w:eastAsia="Arial" w:hAnsi="Arial"/>
          <w:sz w:val="16"/>
          <w:szCs w:val="16"/>
          <w:color w:val="auto"/>
        </w:rPr>
      </w:pPr>
    </w:p>
    <w:p>
      <w:pPr>
        <w:ind w:left="760" w:hanging="544"/>
        <w:spacing w:after="0"/>
        <w:tabs>
          <w:tab w:leader="none" w:pos="7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monthly Metric Report of Perimeter Security on the Supplier’s system should be reported to AT&amp;T that consists of:</w:t>
      </w:r>
    </w:p>
    <w:p>
      <w:pPr>
        <w:spacing w:after="0" w:line="130" w:lineRule="exact"/>
        <w:rPr>
          <w:rFonts w:ascii="Arial" w:cs="Arial" w:eastAsia="Arial" w:hAnsi="Arial"/>
          <w:sz w:val="18"/>
          <w:szCs w:val="18"/>
          <w:color w:val="auto"/>
        </w:rPr>
      </w:pPr>
    </w:p>
    <w:p>
      <w:pPr>
        <w:ind w:left="1200" w:hanging="322"/>
        <w:spacing w:after="0"/>
        <w:tabs>
          <w:tab w:leader="none" w:pos="12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Location</w:t>
      </w:r>
    </w:p>
    <w:p>
      <w:pPr>
        <w:spacing w:after="0" w:line="130" w:lineRule="exact"/>
        <w:rPr>
          <w:rFonts w:ascii="Arial" w:cs="Arial" w:eastAsia="Arial" w:hAnsi="Arial"/>
          <w:sz w:val="18"/>
          <w:szCs w:val="18"/>
          <w:color w:val="auto"/>
        </w:rPr>
      </w:pPr>
    </w:p>
    <w:p>
      <w:pPr>
        <w:ind w:left="1200" w:hanging="322"/>
        <w:spacing w:after="0"/>
        <w:tabs>
          <w:tab w:leader="none" w:pos="12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1200" w:hanging="322"/>
        <w:spacing w:after="0"/>
        <w:tabs>
          <w:tab w:leader="none" w:pos="12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of Intrusions</w:t>
      </w:r>
    </w:p>
    <w:p>
      <w:pPr>
        <w:spacing w:after="0" w:line="130" w:lineRule="exact"/>
        <w:rPr>
          <w:rFonts w:ascii="Arial" w:cs="Arial" w:eastAsia="Arial" w:hAnsi="Arial"/>
          <w:sz w:val="18"/>
          <w:szCs w:val="18"/>
          <w:color w:val="auto"/>
        </w:rPr>
      </w:pPr>
    </w:p>
    <w:p>
      <w:pPr>
        <w:ind w:left="1200" w:hanging="322"/>
        <w:spacing w:after="0"/>
        <w:tabs>
          <w:tab w:leader="none" w:pos="12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Type of Intrusions</w:t>
      </w:r>
    </w:p>
    <w:p>
      <w:pPr>
        <w:spacing w:after="0" w:line="130" w:lineRule="exact"/>
        <w:rPr>
          <w:rFonts w:ascii="Arial" w:cs="Arial" w:eastAsia="Arial" w:hAnsi="Arial"/>
          <w:sz w:val="18"/>
          <w:szCs w:val="18"/>
          <w:color w:val="auto"/>
        </w:rPr>
      </w:pPr>
    </w:p>
    <w:p>
      <w:pPr>
        <w:ind w:left="1200" w:hanging="322"/>
        <w:spacing w:after="0"/>
        <w:tabs>
          <w:tab w:leader="none" w:pos="12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Source</w:t>
      </w:r>
    </w:p>
    <w:p>
      <w:pPr>
        <w:spacing w:after="0" w:line="130" w:lineRule="exact"/>
        <w:rPr>
          <w:rFonts w:ascii="Arial" w:cs="Arial" w:eastAsia="Arial" w:hAnsi="Arial"/>
          <w:sz w:val="18"/>
          <w:szCs w:val="18"/>
          <w:color w:val="auto"/>
        </w:rPr>
      </w:pPr>
    </w:p>
    <w:p>
      <w:pPr>
        <w:ind w:left="1200" w:hanging="322"/>
        <w:spacing w:after="0"/>
        <w:tabs>
          <w:tab w:leader="none" w:pos="12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Destination</w:t>
      </w:r>
    </w:p>
    <w:p>
      <w:pPr>
        <w:spacing w:after="0" w:line="130" w:lineRule="exact"/>
        <w:rPr>
          <w:rFonts w:ascii="Arial" w:cs="Arial" w:eastAsia="Arial" w:hAnsi="Arial"/>
          <w:sz w:val="18"/>
          <w:szCs w:val="18"/>
          <w:color w:val="auto"/>
        </w:rPr>
      </w:pPr>
    </w:p>
    <w:p>
      <w:pPr>
        <w:ind w:left="1200" w:hanging="322"/>
        <w:spacing w:after="0"/>
        <w:tabs>
          <w:tab w:leader="none" w:pos="12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Detail</w:t>
      </w:r>
    </w:p>
    <w:p>
      <w:pPr>
        <w:spacing w:after="0" w:line="130" w:lineRule="exact"/>
        <w:rPr>
          <w:rFonts w:ascii="Arial" w:cs="Arial" w:eastAsia="Arial" w:hAnsi="Arial"/>
          <w:sz w:val="18"/>
          <w:szCs w:val="18"/>
          <w:color w:val="auto"/>
        </w:rPr>
      </w:pPr>
    </w:p>
    <w:p>
      <w:pPr>
        <w:ind w:left="1200" w:hanging="322"/>
        <w:spacing w:after="0"/>
        <w:tabs>
          <w:tab w:leader="none" w:pos="12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Actions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Security IDS audit logs must be retained online for thirty (30) days and offline for a period of at least one year.</w:t>
      </w:r>
    </w:p>
    <w:p>
      <w:pPr>
        <w:spacing w:after="0" w:line="15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right="20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00"/>
          </w:cols>
          <w:pgMar w:left="660" w:top="274" w:right="4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8" w:lineRule="exact"/>
        <w:rPr>
          <w:sz w:val="20"/>
          <w:szCs w:val="20"/>
          <w:color w:val="auto"/>
        </w:rPr>
      </w:pPr>
    </w:p>
    <w:p>
      <w:pPr>
        <w:jc w:val="both"/>
        <w:ind w:left="760" w:hanging="544"/>
        <w:spacing w:after="0" w:line="288" w:lineRule="auto"/>
        <w:tabs>
          <w:tab w:leader="none" w:pos="7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Remote access to AT&amp;T Networks or AT&amp;T Data is prohibited. All work on AT&amp;T projects must be performed within the AT&amp;T restricted area on Supplier’s premises and any exceptions must be in accordance with the Limited Offshore Remote Access in this Appendix D. Prior written exception to this prohibition must be obtained from the AT&amp;T Offshore Compliance &amp; Enablement team (</w:t>
      </w:r>
      <w:r>
        <w:rPr>
          <w:rFonts w:ascii="Arial" w:cs="Arial" w:eastAsia="Arial" w:hAnsi="Arial"/>
          <w:sz w:val="16"/>
          <w:szCs w:val="16"/>
          <w:u w:val="single" w:color="auto"/>
          <w:color w:val="auto"/>
        </w:rPr>
        <w:t>m58897@att.com</w:t>
      </w:r>
      <w:r>
        <w:rPr>
          <w:rFonts w:ascii="Arial" w:cs="Arial" w:eastAsia="Arial" w:hAnsi="Arial"/>
          <w:sz w:val="16"/>
          <w:szCs w:val="16"/>
          <w:color w:val="auto"/>
        </w:rPr>
        <w:t>).</w:t>
      </w:r>
    </w:p>
    <w:p>
      <w:pPr>
        <w:ind w:left="760" w:right="1500"/>
        <w:spacing w:after="0" w:line="261" w:lineRule="auto"/>
        <w:rPr>
          <w:rFonts w:ascii="Arial" w:cs="Arial" w:eastAsia="Arial" w:hAnsi="Arial"/>
          <w:sz w:val="16"/>
          <w:szCs w:val="16"/>
          <w:color w:val="auto"/>
        </w:rPr>
      </w:pPr>
      <w:r>
        <w:rPr>
          <w:rFonts w:ascii="Arial" w:cs="Arial" w:eastAsia="Arial" w:hAnsi="Arial"/>
          <w:sz w:val="18"/>
          <w:szCs w:val="18"/>
          <w:color w:val="auto"/>
        </w:rPr>
        <w:t>Supplier’s use of laptops offsite must have written approval from the AT&amp;T Offshore Compliance &amp; Enablement team (</w:t>
      </w:r>
      <w:r>
        <w:rPr>
          <w:rFonts w:ascii="Arial" w:cs="Arial" w:eastAsia="Arial" w:hAnsi="Arial"/>
          <w:sz w:val="18"/>
          <w:szCs w:val="18"/>
          <w:u w:val="single" w:color="auto"/>
          <w:color w:val="auto"/>
        </w:rPr>
        <w:t>m58897@att.com</w:t>
      </w:r>
      <w:r>
        <w:rPr>
          <w:rFonts w:ascii="Arial" w:cs="Arial" w:eastAsia="Arial" w:hAnsi="Arial"/>
          <w:sz w:val="18"/>
          <w:szCs w:val="18"/>
          <w:color w:val="auto"/>
        </w:rPr>
        <w:t>).</w:t>
      </w:r>
    </w:p>
    <w:p>
      <w:pPr>
        <w:spacing w:after="0" w:line="89" w:lineRule="exact"/>
        <w:rPr>
          <w:rFonts w:ascii="Arial" w:cs="Arial" w:eastAsia="Arial" w:hAnsi="Arial"/>
          <w:sz w:val="16"/>
          <w:szCs w:val="16"/>
          <w:color w:val="auto"/>
        </w:rPr>
      </w:pPr>
    </w:p>
    <w:p>
      <w:pPr>
        <w:ind w:left="760" w:right="80" w:hanging="544"/>
        <w:spacing w:after="0" w:line="257" w:lineRule="auto"/>
        <w:tabs>
          <w:tab w:leader="none" w:pos="7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Randomly check Supplier-based email and internet-based email so that AT&amp;T Data is not sent to an unauthorized recipient. Effective January 1, 2011, Amdocs must check for the AT&amp;T Proprietary – Restricted and AT&amp;T Proprietary – Sensitive Personal Information markings in emails and attachments sent from Amdocs to non-AT&amp;T personnel outside. Any unauthorized transmissions must be reported by Amdocs in an email to the AT&amp;T Offshore Compliance and Enablement team (</w:t>
      </w:r>
      <w:r>
        <w:rPr>
          <w:rFonts w:ascii="Arial" w:cs="Arial" w:eastAsia="Arial" w:hAnsi="Arial"/>
          <w:sz w:val="18"/>
          <w:szCs w:val="18"/>
          <w:u w:val="single" w:color="auto"/>
          <w:color w:val="auto"/>
        </w:rPr>
        <w:t>m58897@att.com</w:t>
      </w:r>
      <w:r>
        <w:rPr>
          <w:rFonts w:ascii="Arial" w:cs="Arial" w:eastAsia="Arial" w:hAnsi="Arial"/>
          <w:sz w:val="18"/>
          <w:szCs w:val="18"/>
          <w:color w:val="auto"/>
        </w:rPr>
        <w:t>) promptly but in any case within twenty four (24) hours.</w:t>
      </w:r>
    </w:p>
    <w:p>
      <w:pPr>
        <w:spacing w:after="0" w:line="93" w:lineRule="exact"/>
        <w:rPr>
          <w:rFonts w:ascii="Arial" w:cs="Arial" w:eastAsia="Arial" w:hAnsi="Arial"/>
          <w:sz w:val="18"/>
          <w:szCs w:val="18"/>
          <w:color w:val="auto"/>
        </w:rPr>
      </w:pPr>
    </w:p>
    <w:p>
      <w:pPr>
        <w:ind w:left="760" w:hanging="544"/>
        <w:spacing w:after="0"/>
        <w:tabs>
          <w:tab w:leader="none" w:pos="7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B2B VPN connections to AT&amp;T are required to be secured from other remote connections.</w:t>
      </w:r>
    </w:p>
    <w:p>
      <w:pPr>
        <w:spacing w:after="0" w:line="130" w:lineRule="exact"/>
        <w:rPr>
          <w:rFonts w:ascii="Arial" w:cs="Arial" w:eastAsia="Arial" w:hAnsi="Arial"/>
          <w:sz w:val="18"/>
          <w:szCs w:val="18"/>
          <w:color w:val="auto"/>
        </w:rPr>
      </w:pPr>
    </w:p>
    <w:p>
      <w:pPr>
        <w:ind w:left="760" w:hanging="544"/>
        <w:spacing w:after="0"/>
        <w:tabs>
          <w:tab w:leader="none" w:pos="7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Device-specific monitoring tools must be used to assure that firewall hardware is operational.</w:t>
      </w:r>
    </w:p>
    <w:p>
      <w:pPr>
        <w:spacing w:after="0" w:line="130" w:lineRule="exact"/>
        <w:rPr>
          <w:rFonts w:ascii="Arial" w:cs="Arial" w:eastAsia="Arial" w:hAnsi="Arial"/>
          <w:sz w:val="18"/>
          <w:szCs w:val="18"/>
          <w:color w:val="auto"/>
        </w:rPr>
      </w:pPr>
    </w:p>
    <w:p>
      <w:pPr>
        <w:ind w:left="760" w:right="340" w:hanging="544"/>
        <w:spacing w:after="0" w:line="277" w:lineRule="auto"/>
        <w:tabs>
          <w:tab w:leader="none" w:pos="7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minimize the risk exposure to visiting AT&amp;T employees in locations that are of medium-high risk of terrorist attacks, Supplier shall take necessary security measures customary for the location.</w:t>
      </w:r>
    </w:p>
    <w:p>
      <w:pPr>
        <w:spacing w:after="0" w:line="75" w:lineRule="exact"/>
        <w:rPr>
          <w:rFonts w:ascii="Arial" w:cs="Arial" w:eastAsia="Arial" w:hAnsi="Arial"/>
          <w:sz w:val="18"/>
          <w:szCs w:val="18"/>
          <w:color w:val="auto"/>
        </w:rPr>
      </w:pPr>
    </w:p>
    <w:p>
      <w:pPr>
        <w:ind w:left="760" w:right="120" w:hanging="544"/>
        <w:spacing w:after="0" w:line="257" w:lineRule="auto"/>
        <w:tabs>
          <w:tab w:leader="none" w:pos="7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access points into the Supplier’s building(s) where AT&amp;T work is being performed must be locked by either physical keys or a card key system, or controlled by a guard service to restrict access only to authorized individuals. These mechanisms must be in working order and utilized at all times. Proper identification must be worn by all persons inside the Supplier’s building and a procedure in place to challenge those not wearing appropriate identification in the Supplier’s building. The cable vault, electrical and telephone areas should be secured to give access only to those authorized.</w:t>
      </w:r>
    </w:p>
    <w:p>
      <w:pPr>
        <w:spacing w:after="0" w:line="93" w:lineRule="exact"/>
        <w:rPr>
          <w:rFonts w:ascii="Arial" w:cs="Arial" w:eastAsia="Arial" w:hAnsi="Arial"/>
          <w:sz w:val="18"/>
          <w:szCs w:val="18"/>
          <w:color w:val="auto"/>
        </w:rPr>
      </w:pPr>
    </w:p>
    <w:p>
      <w:pPr>
        <w:ind w:left="760" w:right="40" w:hanging="544"/>
        <w:spacing w:after="0" w:line="272" w:lineRule="auto"/>
        <w:tabs>
          <w:tab w:leader="none" w:pos="7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Card key access lists and event logs must be reviewed by Supplier at a minimum of weekly to validate that building card key access is limited to only those individuals with a need to be in the Supplier’s building and restricted area where AT&amp;T work is being performed. Ensure that all keys are accounted for and limited to those individuals with a need to be in the Supplier’s building and restricted areas and all locks are changed on a regular interval (at a minimum annually). Ensure that Supplier personnel surrender company identification, keys and access cards before leaving the premises when access to an area is no longer required or upon voluntarily or involuntarily ceasing to work for Supplier and that the access cards are deactivated. Weekly reviews should include employee, contractor and supplier termination records and any associated unauthorized access attempts in the event logs.</w:t>
      </w:r>
    </w:p>
    <w:p>
      <w:pPr>
        <w:spacing w:after="0" w:line="1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00"/>
          </w:cols>
          <w:pgMar w:left="660" w:top="274" w:right="4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8" w:lineRule="exact"/>
        <w:rPr>
          <w:sz w:val="20"/>
          <w:szCs w:val="20"/>
          <w:color w:val="auto"/>
        </w:rPr>
      </w:pPr>
    </w:p>
    <w:p>
      <w:pPr>
        <w:jc w:val="both"/>
        <w:ind w:left="760" w:right="260" w:hanging="544"/>
        <w:spacing w:after="0" w:line="264" w:lineRule="auto"/>
        <w:tabs>
          <w:tab w:leader="none" w:pos="7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Alarmed doors and monitored electronic systems are required to detect unauthorized access or access attempts with a plan to respond to and document incidents. 24/7 recorded video surveillance is required of the area where work on AT&amp;T projects is performed, including entry and exit points.</w:t>
      </w:r>
    </w:p>
    <w:p>
      <w:pPr>
        <w:spacing w:after="0" w:line="86" w:lineRule="exact"/>
        <w:rPr>
          <w:rFonts w:ascii="Arial" w:cs="Arial" w:eastAsia="Arial" w:hAnsi="Arial"/>
          <w:sz w:val="18"/>
          <w:szCs w:val="18"/>
          <w:color w:val="auto"/>
        </w:rPr>
      </w:pPr>
    </w:p>
    <w:p>
      <w:pPr>
        <w:ind w:left="760" w:right="240" w:hanging="544"/>
        <w:spacing w:after="0" w:line="259" w:lineRule="auto"/>
        <w:tabs>
          <w:tab w:leader="none" w:pos="7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Prior to permitting any person access to an AT&amp;T project source or origin code (for example, software development), and at annual intervals thereafter, Supplier must ensure that such person (employee, contractor, subcontractor) is not on the Denied Persons List or the Specially Designated Nationals List of the US Department of Commerce – Bureau of Industry and Security. – Those lists are located at </w:t>
      </w:r>
      <w:r>
        <w:rPr>
          <w:rFonts w:ascii="Arial" w:cs="Arial" w:eastAsia="Arial" w:hAnsi="Arial"/>
          <w:sz w:val="18"/>
          <w:szCs w:val="18"/>
          <w:u w:val="single" w:color="auto"/>
          <w:color w:val="auto"/>
        </w:rPr>
        <w:t>http://www.bis.doc.gov/ComplianceAndEnforcement/ListsToCheck.htm</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780" w:right="120"/>
        <w:spacing w:after="0" w:line="257" w:lineRule="auto"/>
        <w:rPr>
          <w:rFonts w:ascii="Arial" w:cs="Arial" w:eastAsia="Arial" w:hAnsi="Arial"/>
          <w:sz w:val="18"/>
          <w:szCs w:val="18"/>
          <w:color w:val="auto"/>
        </w:rPr>
      </w:pPr>
      <w:r>
        <w:rPr>
          <w:rFonts w:ascii="Arial" w:cs="Arial" w:eastAsia="Arial" w:hAnsi="Arial"/>
          <w:sz w:val="18"/>
          <w:szCs w:val="18"/>
          <w:color w:val="auto"/>
        </w:rPr>
        <w:t>Prior to permitting any person direct or indirect access, whether physical, virtual, or otherwise, to any of AT&amp;T’s company, employee, or customer information, or any of AT&amp;T’s or AT&amp;T’s customers’ premises, systems, software, or networks, Supplier must have a reputable security company perform a criminal background check and verification of the identity of such person (employee, contractor, or subcontractor including onsite security guards responsible for physical security of Supplier’s premises and AT&amp;T restricted areas, and unescorted cleaning/maintenance personnel).</w:t>
      </w:r>
    </w:p>
    <w:p>
      <w:pPr>
        <w:spacing w:after="0" w:line="215" w:lineRule="exact"/>
        <w:rPr>
          <w:rFonts w:ascii="Arial" w:cs="Arial" w:eastAsia="Arial" w:hAnsi="Arial"/>
          <w:sz w:val="18"/>
          <w:szCs w:val="18"/>
          <w:color w:val="auto"/>
        </w:rPr>
      </w:pPr>
    </w:p>
    <w:p>
      <w:pPr>
        <w:ind w:left="760" w:right="280" w:hanging="544"/>
        <w:spacing w:after="0" w:line="264" w:lineRule="auto"/>
        <w:tabs>
          <w:tab w:leader="none" w:pos="7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 security plan must be in place to include training of Supplier personnel to report suspicious activity/security incidents and complaints that did or could affect AT&amp;T, to include documentation, follow-up and reporting to the </w:t>
      </w:r>
      <w:r>
        <w:rPr>
          <w:rFonts w:ascii="Arial" w:cs="Arial" w:eastAsia="Arial" w:hAnsi="Arial"/>
          <w:sz w:val="18"/>
          <w:szCs w:val="18"/>
          <w:b w:val="1"/>
          <w:bCs w:val="1"/>
          <w:color w:val="auto"/>
        </w:rPr>
        <w:t>AT&amp;T IT:OFFSHORE</w:t>
      </w:r>
      <w:r>
        <w:rPr>
          <w:rFonts w:ascii="Arial" w:cs="Arial" w:eastAsia="Arial" w:hAnsi="Arial"/>
          <w:sz w:val="18"/>
          <w:szCs w:val="18"/>
          <w:color w:val="auto"/>
        </w:rPr>
        <w:t xml:space="preserve"> organization and, as necessary, law enforcement.</w:t>
      </w:r>
    </w:p>
    <w:p>
      <w:pPr>
        <w:spacing w:after="0" w:line="7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Information to be reported to the Executive Director of the IT:OFFSHORE organization would consist of at least:</w:t>
      </w:r>
    </w:p>
    <w:p>
      <w:pPr>
        <w:spacing w:after="0" w:line="130" w:lineRule="exact"/>
        <w:rPr>
          <w:rFonts w:ascii="Arial" w:cs="Arial" w:eastAsia="Arial" w:hAnsi="Arial"/>
          <w:sz w:val="18"/>
          <w:szCs w:val="18"/>
          <w:color w:val="auto"/>
        </w:rPr>
      </w:pPr>
    </w:p>
    <w:p>
      <w:pPr>
        <w:ind w:left="1860" w:hanging="537"/>
        <w:spacing w:after="0"/>
        <w:tabs>
          <w:tab w:leader="none" w:pos="18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Date of Incident</w:t>
      </w:r>
    </w:p>
    <w:p>
      <w:pPr>
        <w:spacing w:after="0" w:line="130" w:lineRule="exact"/>
        <w:rPr>
          <w:rFonts w:ascii="Arial" w:cs="Arial" w:eastAsia="Arial" w:hAnsi="Arial"/>
          <w:sz w:val="18"/>
          <w:szCs w:val="18"/>
          <w:color w:val="auto"/>
        </w:rPr>
      </w:pPr>
    </w:p>
    <w:p>
      <w:pPr>
        <w:ind w:left="1860" w:hanging="537"/>
        <w:spacing w:after="0"/>
        <w:tabs>
          <w:tab w:leader="none" w:pos="18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Who - Identify those involved and be descriptive (suspects, vehicles, property, license plate numbers, …)</w:t>
      </w:r>
    </w:p>
    <w:p>
      <w:pPr>
        <w:spacing w:after="0" w:line="130" w:lineRule="exact"/>
        <w:rPr>
          <w:rFonts w:ascii="Arial" w:cs="Arial" w:eastAsia="Arial" w:hAnsi="Arial"/>
          <w:sz w:val="18"/>
          <w:szCs w:val="18"/>
          <w:color w:val="auto"/>
        </w:rPr>
      </w:pPr>
    </w:p>
    <w:p>
      <w:pPr>
        <w:ind w:left="1860" w:hanging="537"/>
        <w:spacing w:after="0"/>
        <w:tabs>
          <w:tab w:leader="none" w:pos="18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What - What happened and how?</w:t>
      </w:r>
    </w:p>
    <w:p>
      <w:pPr>
        <w:spacing w:after="0" w:line="130" w:lineRule="exact"/>
        <w:rPr>
          <w:rFonts w:ascii="Arial" w:cs="Arial" w:eastAsia="Arial" w:hAnsi="Arial"/>
          <w:sz w:val="18"/>
          <w:szCs w:val="18"/>
          <w:color w:val="auto"/>
        </w:rPr>
      </w:pPr>
    </w:p>
    <w:p>
      <w:pPr>
        <w:ind w:left="1860" w:hanging="537"/>
        <w:spacing w:after="0"/>
        <w:tabs>
          <w:tab w:leader="none" w:pos="18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When - When did the incident occur?</w:t>
      </w:r>
    </w:p>
    <w:p>
      <w:pPr>
        <w:spacing w:after="0" w:line="15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00"/>
          </w:cols>
          <w:pgMar w:left="660" w:top="274" w:right="4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8" w:lineRule="exact"/>
        <w:rPr>
          <w:sz w:val="20"/>
          <w:szCs w:val="20"/>
          <w:color w:val="auto"/>
        </w:rPr>
      </w:pPr>
    </w:p>
    <w:p>
      <w:pPr>
        <w:ind w:left="2080" w:hanging="537"/>
        <w:spacing w:after="0"/>
        <w:tabs>
          <w:tab w:leader="none" w:pos="2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Where - Where did the incident take place?</w:t>
      </w:r>
    </w:p>
    <w:p>
      <w:pPr>
        <w:spacing w:after="0" w:line="130" w:lineRule="exact"/>
        <w:rPr>
          <w:rFonts w:ascii="Arial" w:cs="Arial" w:eastAsia="Arial" w:hAnsi="Arial"/>
          <w:sz w:val="18"/>
          <w:szCs w:val="18"/>
          <w:color w:val="auto"/>
        </w:rPr>
      </w:pPr>
    </w:p>
    <w:p>
      <w:pPr>
        <w:ind w:left="2080" w:hanging="537"/>
        <w:spacing w:after="0"/>
        <w:tabs>
          <w:tab w:leader="none" w:pos="2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Action Taken – What action was taken? Was law enforcement notified?</w:t>
      </w:r>
    </w:p>
    <w:p>
      <w:pPr>
        <w:spacing w:after="0" w:line="131" w:lineRule="exact"/>
        <w:rPr>
          <w:sz w:val="20"/>
          <w:szCs w:val="20"/>
          <w:color w:val="auto"/>
        </w:rPr>
      </w:pPr>
    </w:p>
    <w:p>
      <w:pPr>
        <w:jc w:val="both"/>
        <w:ind w:left="980" w:right="40" w:hanging="544"/>
        <w:spacing w:after="0" w:line="286" w:lineRule="auto"/>
        <w:tabs>
          <w:tab w:leader="none" w:pos="9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 exercise of Supplier’s recovery strategy must be conducted annually. Within thirty (30) days from the completion of a disaster recovery exercise by Amdocs, Amdocs will produce a documented conclusion with a corrective action plan and proposed committed timeframes for corrective action upon which the Parties will agree within thirty (30) days from receipt of the action plan.</w:t>
      </w:r>
    </w:p>
    <w:p>
      <w:pPr>
        <w:spacing w:after="0" w:line="70" w:lineRule="exact"/>
        <w:rPr>
          <w:rFonts w:ascii="Arial" w:cs="Arial" w:eastAsia="Arial" w:hAnsi="Arial"/>
          <w:sz w:val="17"/>
          <w:szCs w:val="17"/>
          <w:color w:val="auto"/>
        </w:rPr>
      </w:pPr>
    </w:p>
    <w:p>
      <w:pPr>
        <w:ind w:left="980" w:right="280" w:hanging="544"/>
        <w:spacing w:after="0" w:line="277" w:lineRule="auto"/>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Failover processes and procedures are required to support AT&amp;T applications and these failover processes and procedures are exercised annually (at a minimum).</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Business continuity communication documents, processes, and procedures must be readily available and current.</w:t>
      </w:r>
    </w:p>
    <w:p>
      <w:pPr>
        <w:spacing w:after="0" w:line="130" w:lineRule="exact"/>
        <w:rPr>
          <w:rFonts w:ascii="Arial" w:cs="Arial" w:eastAsia="Arial" w:hAnsi="Arial"/>
          <w:sz w:val="18"/>
          <w:szCs w:val="18"/>
          <w:color w:val="auto"/>
        </w:rPr>
      </w:pPr>
    </w:p>
    <w:p>
      <w:pPr>
        <w:ind w:left="980" w:right="340" w:hanging="544"/>
        <w:spacing w:after="0" w:line="264" w:lineRule="auto"/>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As soon as reasonably possible after the execution of this Agreement and on an annual basis thereafter, Supplier will, at no charge to AT&amp;T, perform a security audit utilizing a reputable independent auditor, as agreed by the Parties. Such security audit shall ensure that Supplier will strictly follow these AT&amp;T Supplier Information Security Requirements.</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Requirements for Offshore Information Technology Services Requiring Elevated Rights</w:t>
      </w:r>
    </w:p>
    <w:p>
      <w:pPr>
        <w:spacing w:after="0" w:line="121" w:lineRule="exact"/>
        <w:rPr>
          <w:sz w:val="20"/>
          <w:szCs w:val="20"/>
          <w:color w:val="auto"/>
        </w:rPr>
      </w:pPr>
    </w:p>
    <w:p>
      <w:pPr>
        <w:jc w:val="both"/>
        <w:ind w:left="440" w:right="20"/>
        <w:spacing w:after="0" w:line="264" w:lineRule="auto"/>
        <w:rPr>
          <w:sz w:val="20"/>
          <w:szCs w:val="20"/>
          <w:color w:val="auto"/>
        </w:rPr>
      </w:pPr>
      <w:r>
        <w:rPr>
          <w:rFonts w:ascii="Arial" w:cs="Arial" w:eastAsia="Arial" w:hAnsi="Arial"/>
          <w:sz w:val="18"/>
          <w:szCs w:val="18"/>
          <w:color w:val="auto"/>
        </w:rPr>
        <w:t>In the event Supplier currently provides or will be providing system, database, and or network administrator/root (or privileged, super user, or the like) access to host operating systems located on AT&amp;T non-public networks in conjunction with this Agreement from an Offshore Location, then, in addition to the foregoing, the following requirements shall apply to Supplier:</w:t>
      </w:r>
    </w:p>
    <w:p>
      <w:pPr>
        <w:spacing w:after="0" w:line="87" w:lineRule="exact"/>
        <w:rPr>
          <w:sz w:val="20"/>
          <w:szCs w:val="20"/>
          <w:color w:val="auto"/>
        </w:rPr>
      </w:pPr>
    </w:p>
    <w:p>
      <w:pPr>
        <w:jc w:val="both"/>
        <w:ind w:left="980" w:right="180" w:hanging="544"/>
        <w:spacing w:after="0" w:line="264" w:lineRule="auto"/>
        <w:tabs>
          <w:tab w:leader="none" w:pos="9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Access for privileged offshore users will be via a front-end Citrix farm that requires SecurID authentication, with front end Citrix servers located in a DMZ segment. An alternative to this is an AT&amp;T-provided Client VPN with a SecurID token used over a </w:t>
      </w:r>
      <w:r>
        <w:rPr>
          <w:rFonts w:ascii="Arial" w:cs="Arial" w:eastAsia="Arial" w:hAnsi="Arial"/>
          <w:sz w:val="18"/>
          <w:szCs w:val="18"/>
          <w:b w:val="1"/>
          <w:bCs w:val="1"/>
          <w:color w:val="auto"/>
        </w:rPr>
        <w:t>secure connection</w:t>
      </w:r>
      <w:r>
        <w:rPr>
          <w:rFonts w:ascii="Arial" w:cs="Arial" w:eastAsia="Arial" w:hAnsi="Arial"/>
          <w:sz w:val="18"/>
          <w:szCs w:val="18"/>
          <w:color w:val="auto"/>
        </w:rPr>
        <w:t xml:space="preserve"> (NOT the public Internet) as reviewed and approved by AT&amp;T’s Chief Security Office (CSO).</w:t>
      </w:r>
    </w:p>
    <w:p>
      <w:pPr>
        <w:spacing w:after="0" w:line="11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8" w:lineRule="exact"/>
        <w:rPr>
          <w:sz w:val="20"/>
          <w:szCs w:val="20"/>
          <w:color w:val="auto"/>
        </w:rPr>
      </w:pPr>
    </w:p>
    <w:p>
      <w:pPr>
        <w:jc w:val="both"/>
        <w:ind w:left="760" w:right="40" w:hanging="544"/>
        <w:spacing w:after="0" w:line="312" w:lineRule="auto"/>
        <w:tabs>
          <w:tab w:leader="none" w:pos="7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Auditing options must be enabled on any Supplier perimeter equipment which controls access to the Supplier equipment used to do AT&amp;T work. To ensure integrity of audit log entries, all Supplier system clocks must be synchronized to the same time source. Synchronization to AT&amp;T clocks is not required. At a minimum, security audit log(s) must be automatically updated for the following system events:</w:t>
      </w:r>
    </w:p>
    <w:p>
      <w:pPr>
        <w:spacing w:after="0" w:line="52" w:lineRule="exact"/>
        <w:rPr>
          <w:rFonts w:ascii="Arial" w:cs="Arial" w:eastAsia="Arial" w:hAnsi="Arial"/>
          <w:sz w:val="16"/>
          <w:szCs w:val="16"/>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Successful and unsuccessful login attempts.</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Successful and unsuccessful attempts to switch to another user’s account (where applicable).</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Logoffs.</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User attempts to access files or resources outside their privilege level.</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User access to all privileged files and/or processes.</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Operating system configuration changes.</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Operating system program changes.</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changes that can feasibly be captured, to system hardware and software.</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security-related changes, including adding users.</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Failures for computer, program, communications, and operations.</w:t>
      </w:r>
    </w:p>
    <w:p>
      <w:pPr>
        <w:spacing w:after="0" w:line="130" w:lineRule="exact"/>
        <w:rPr>
          <w:rFonts w:ascii="Arial" w:cs="Arial" w:eastAsia="Arial" w:hAnsi="Arial"/>
          <w:sz w:val="18"/>
          <w:szCs w:val="18"/>
          <w:color w:val="auto"/>
        </w:rPr>
      </w:pPr>
    </w:p>
    <w:p>
      <w:pPr>
        <w:ind w:left="1760" w:hanging="545"/>
        <w:spacing w:after="0"/>
        <w:tabs>
          <w:tab w:leader="none" w:pos="17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Starting and stopping of audit logging.</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Security audit logs must be maintained online for thirty (30) days and offline for a period of at least one (1) year.</w:t>
      </w:r>
    </w:p>
    <w:p>
      <w:pPr>
        <w:spacing w:after="0" w:line="252" w:lineRule="exact"/>
        <w:rPr>
          <w:sz w:val="20"/>
          <w:szCs w:val="20"/>
          <w:color w:val="auto"/>
        </w:rPr>
      </w:pPr>
    </w:p>
    <w:p>
      <w:pPr>
        <w:ind w:left="760" w:right="80" w:hanging="544"/>
        <w:spacing w:after="0" w:line="279" w:lineRule="auto"/>
        <w:tabs>
          <w:tab w:leader="none" w:pos="7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AT&amp;T reserves the right to perform vulnerability scans and review the scanning results of Supplier systems in a pre-announced, scheduled manner on Supplier’s equipment on an AT&amp;T isolated LAN segment and Supplier Network equipment used to access AT&amp;T Networks, systems, and data or Supplier agrees to reveal to the AT&amp;T IT Offshore Compliance and Enablement Team (IT OCE) at (m58897@att.com) the detailed scanning findings and closure activities related to vulnerabilities found once a year.</w:t>
      </w:r>
    </w:p>
    <w:p>
      <w:pPr>
        <w:spacing w:after="0" w:line="171"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8"/>
          <w:szCs w:val="18"/>
          <w:color w:val="auto"/>
        </w:rPr>
        <w:t>Information to be reported to the AT&amp;T-IT OCE would consist of at least:</w:t>
      </w:r>
    </w:p>
    <w:p>
      <w:pPr>
        <w:spacing w:after="0" w:line="130" w:lineRule="exact"/>
        <w:rPr>
          <w:rFonts w:ascii="Arial" w:cs="Arial" w:eastAsia="Arial" w:hAnsi="Arial"/>
          <w:sz w:val="17"/>
          <w:szCs w:val="17"/>
          <w:color w:val="auto"/>
        </w:rPr>
      </w:pPr>
    </w:p>
    <w:p>
      <w:pPr>
        <w:ind w:left="1860" w:hanging="537"/>
        <w:spacing w:after="0"/>
        <w:tabs>
          <w:tab w:leader="none" w:pos="18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Date of discovery of vulnerability</w:t>
      </w:r>
    </w:p>
    <w:p>
      <w:pPr>
        <w:spacing w:after="0" w:line="130" w:lineRule="exact"/>
        <w:rPr>
          <w:rFonts w:ascii="Arial" w:cs="Arial" w:eastAsia="Arial" w:hAnsi="Arial"/>
          <w:sz w:val="18"/>
          <w:szCs w:val="18"/>
          <w:color w:val="auto"/>
        </w:rPr>
      </w:pPr>
    </w:p>
    <w:p>
      <w:pPr>
        <w:ind w:left="1860" w:hanging="537"/>
        <w:spacing w:after="0"/>
        <w:tabs>
          <w:tab w:leader="none" w:pos="18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How it was remediated</w:t>
      </w:r>
    </w:p>
    <w:p>
      <w:pPr>
        <w:spacing w:after="0" w:line="130" w:lineRule="exact"/>
        <w:rPr>
          <w:rFonts w:ascii="Arial" w:cs="Arial" w:eastAsia="Arial" w:hAnsi="Arial"/>
          <w:sz w:val="18"/>
          <w:szCs w:val="18"/>
          <w:color w:val="auto"/>
        </w:rPr>
      </w:pPr>
    </w:p>
    <w:p>
      <w:pPr>
        <w:ind w:left="1860" w:hanging="537"/>
        <w:spacing w:after="0"/>
        <w:tabs>
          <w:tab w:leader="none" w:pos="18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What was remediated</w:t>
      </w:r>
    </w:p>
    <w:p>
      <w:pPr>
        <w:spacing w:after="0" w:line="130" w:lineRule="exact"/>
        <w:rPr>
          <w:rFonts w:ascii="Arial" w:cs="Arial" w:eastAsia="Arial" w:hAnsi="Arial"/>
          <w:sz w:val="18"/>
          <w:szCs w:val="18"/>
          <w:color w:val="auto"/>
        </w:rPr>
      </w:pPr>
    </w:p>
    <w:p>
      <w:pPr>
        <w:ind w:left="1860" w:hanging="537"/>
        <w:spacing w:after="0"/>
        <w:tabs>
          <w:tab w:leader="none" w:pos="18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What are the plans to remediate</w:t>
      </w:r>
    </w:p>
    <w:p>
      <w:pPr>
        <w:spacing w:after="0" w:line="130" w:lineRule="exact"/>
        <w:rPr>
          <w:rFonts w:ascii="Arial" w:cs="Arial" w:eastAsia="Arial" w:hAnsi="Arial"/>
          <w:sz w:val="18"/>
          <w:szCs w:val="18"/>
          <w:color w:val="auto"/>
        </w:rPr>
      </w:pPr>
    </w:p>
    <w:p>
      <w:pPr>
        <w:ind w:left="1860" w:hanging="537"/>
        <w:spacing w:after="0"/>
        <w:tabs>
          <w:tab w:leader="none" w:pos="18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Estimated Date of closure</w:t>
      </w:r>
    </w:p>
    <w:p>
      <w:pPr>
        <w:spacing w:after="0" w:line="131" w:lineRule="exact"/>
        <w:rPr>
          <w:sz w:val="20"/>
          <w:szCs w:val="20"/>
          <w:color w:val="auto"/>
        </w:rPr>
      </w:pPr>
    </w:p>
    <w:p>
      <w:pPr>
        <w:ind w:left="760" w:hanging="544"/>
        <w:spacing w:after="0"/>
        <w:tabs>
          <w:tab w:leader="none" w:pos="7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 Intrusion Prevention System (IPS) is required on Supplier’s data network to prevent unauthorized access.</w:t>
      </w:r>
    </w:p>
    <w:p>
      <w:pPr>
        <w:spacing w:after="0" w:line="15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00"/>
          </w:cols>
          <w:pgMar w:left="660" w:top="274" w:right="4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6"/>
          <w:szCs w:val="16"/>
          <w:b w:val="1"/>
          <w:bCs w:val="1"/>
          <w:color w:val="auto"/>
        </w:rPr>
        <w:t>Limited Offshore Remote Access (“LORA”) to AT&amp;T Systems</w:t>
      </w:r>
    </w:p>
    <w:p>
      <w:pPr>
        <w:spacing w:after="0" w:line="121" w:lineRule="exact"/>
        <w:rPr>
          <w:sz w:val="20"/>
          <w:szCs w:val="20"/>
          <w:color w:val="auto"/>
        </w:rPr>
      </w:pPr>
    </w:p>
    <w:p>
      <w:pPr>
        <w:ind w:left="440" w:right="100"/>
        <w:spacing w:after="0" w:line="264" w:lineRule="auto"/>
        <w:rPr>
          <w:sz w:val="20"/>
          <w:szCs w:val="20"/>
          <w:color w:val="auto"/>
        </w:rPr>
      </w:pPr>
      <w:r>
        <w:rPr>
          <w:rFonts w:ascii="Arial" w:cs="Arial" w:eastAsia="Arial" w:hAnsi="Arial"/>
          <w:sz w:val="18"/>
          <w:szCs w:val="18"/>
          <w:color w:val="auto"/>
        </w:rPr>
        <w:t>The following outlines the AT&amp;T requirements and procedures to which the Supplier must adhere for allowance of select pre-authorized offshore Supplier personnel to have remote access to AT&amp;T systems, for which the Supplier is already under contract with AT&amp;T to perform IT support services.</w:t>
      </w:r>
    </w:p>
    <w:p>
      <w:pPr>
        <w:spacing w:after="0" w:line="73" w:lineRule="exact"/>
        <w:rPr>
          <w:sz w:val="20"/>
          <w:szCs w:val="20"/>
          <w:color w:val="auto"/>
        </w:rPr>
      </w:pPr>
    </w:p>
    <w:p>
      <w:pPr>
        <w:ind w:left="440" w:right="40"/>
        <w:spacing w:after="0" w:line="302" w:lineRule="auto"/>
        <w:rPr>
          <w:sz w:val="20"/>
          <w:szCs w:val="20"/>
          <w:color w:val="auto"/>
        </w:rPr>
      </w:pPr>
      <w:r>
        <w:rPr>
          <w:rFonts w:ascii="Arial" w:cs="Arial" w:eastAsia="Arial" w:hAnsi="Arial"/>
          <w:sz w:val="16"/>
          <w:szCs w:val="16"/>
          <w:color w:val="auto"/>
        </w:rPr>
        <w:t>This remote access program (the “Limited Offshore Remote Access”) set forth herein defines the program requirements and how the Supplier shall work with the AT&amp;T Offshore Compliance and Enablement organization to determine if Supplier can utilize the LORA for an existing or new information technology Services engagement. Examples of engagements where AT&amp;T will consider Supplier’s request for LORA would be a Work Order where offshore Supplier personnel are required to perform after-hours work monitoring support services and access AT&amp;T data.</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I. Definitions</w:t>
      </w:r>
    </w:p>
    <w:p>
      <w:pPr>
        <w:spacing w:after="0" w:line="117" w:lineRule="exact"/>
        <w:rPr>
          <w:sz w:val="20"/>
          <w:szCs w:val="20"/>
          <w:color w:val="auto"/>
        </w:rPr>
      </w:pPr>
    </w:p>
    <w:p>
      <w:pPr>
        <w:ind w:left="440" w:right="20"/>
        <w:spacing w:after="0" w:line="266" w:lineRule="auto"/>
        <w:rPr>
          <w:sz w:val="20"/>
          <w:szCs w:val="20"/>
          <w:color w:val="auto"/>
        </w:rPr>
      </w:pPr>
      <w:r>
        <w:rPr>
          <w:rFonts w:ascii="Arial" w:cs="Arial" w:eastAsia="Arial" w:hAnsi="Arial"/>
          <w:sz w:val="18"/>
          <w:szCs w:val="18"/>
          <w:b w:val="1"/>
          <w:bCs w:val="1"/>
          <w:color w:val="auto"/>
        </w:rPr>
        <w:t xml:space="preserve">AT&amp;T IT Offshore Compliance &amp; Enablement (IT OCE) </w:t>
      </w:r>
      <w:r>
        <w:rPr>
          <w:rFonts w:ascii="Arial" w:cs="Arial" w:eastAsia="Arial" w:hAnsi="Arial"/>
          <w:sz w:val="18"/>
          <w:szCs w:val="18"/>
          <w:color w:val="auto"/>
        </w:rPr>
        <w:t>– AT&amp;T Information Technology organization that manages oversight of the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Offshore Remote Access program. The IT OCE will serve as the front door and provide authorization to Supplier. IT OCE point of contact is identified below.</w:t>
      </w:r>
    </w:p>
    <w:p>
      <w:pPr>
        <w:spacing w:after="0" w:line="10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201" w:name="page202"/>
    <w:bookmarkEnd w:id="201"/>
    <w:p>
      <w:pPr>
        <w:ind w:left="8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77" w:lineRule="exact"/>
        <w:rPr>
          <w:sz w:val="20"/>
          <w:szCs w:val="20"/>
          <w:color w:val="auto"/>
        </w:rPr>
      </w:pPr>
    </w:p>
    <w:p>
      <w:pPr>
        <w:ind w:left="220" w:right="40"/>
        <w:spacing w:after="0" w:line="270" w:lineRule="auto"/>
        <w:rPr>
          <w:sz w:val="20"/>
          <w:szCs w:val="20"/>
          <w:color w:val="auto"/>
        </w:rPr>
      </w:pPr>
      <w:r>
        <w:rPr>
          <w:rFonts w:ascii="Arial" w:cs="Arial" w:eastAsia="Arial" w:hAnsi="Arial"/>
          <w:sz w:val="17"/>
          <w:szCs w:val="17"/>
          <w:b w:val="1"/>
          <w:bCs w:val="1"/>
          <w:color w:val="auto"/>
        </w:rPr>
        <w:t>“AT&amp;T Proprietary – Restricted Information</w:t>
      </w:r>
      <w:r>
        <w:rPr>
          <w:rFonts w:ascii="Arial" w:cs="Arial" w:eastAsia="Arial" w:hAnsi="Arial"/>
          <w:sz w:val="17"/>
          <w:szCs w:val="17"/>
          <w:color w:val="auto"/>
        </w:rPr>
        <w:t>” or “</w:t>
      </w:r>
      <w:r>
        <w:rPr>
          <w:rFonts w:ascii="Arial" w:cs="Arial" w:eastAsia="Arial" w:hAnsi="Arial"/>
          <w:sz w:val="17"/>
          <w:szCs w:val="17"/>
          <w:b w:val="1"/>
          <w:bCs w:val="1"/>
          <w:color w:val="auto"/>
        </w:rPr>
        <w:t>Restricted Information</w:t>
      </w:r>
      <w:r>
        <w:rPr>
          <w:rFonts w:ascii="Arial" w:cs="Arial" w:eastAsia="Arial" w:hAnsi="Arial"/>
          <w:sz w:val="17"/>
          <w:szCs w:val="17"/>
          <w:color w:val="auto"/>
        </w:rPr>
        <w:t>” means: any Information that has a higher level of sensitivity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must be shared only among persons with a clear business need to know; or any Information that requires a high degree of protection by law and loss or unauthorized disclosure could require notification by AT&amp;T to government agencies, individuals or law enforcement; or any Information that if revealed widely could present an increased risk of compromising computer systems, fraud, or increased likelihood of disrupting business operations. Examples of Restricted Information include, but are not limited to, unpublished financial information, designs and development plans for new or improved products, services, or processes, Customer Proprietary Network Information (CPNI), marketing information including customer contact lists, software source code for business critical applications, other companies’ confidential information that is shared with AT&amp;T under contract or an NDA, internal AT&amp;T authentication credentials (e.g., passwords, PINs and password hint answers), and security and/or network information including: logs, engineering or architecture diagrams, configuration files, firewall rules, security incident reports, and vulnerability information.</w:t>
      </w:r>
    </w:p>
    <w:p>
      <w:pPr>
        <w:spacing w:after="0" w:line="70" w:lineRule="exact"/>
        <w:rPr>
          <w:sz w:val="20"/>
          <w:szCs w:val="20"/>
          <w:color w:val="auto"/>
        </w:rPr>
      </w:pPr>
    </w:p>
    <w:p>
      <w:pPr>
        <w:ind w:left="220" w:right="220"/>
        <w:spacing w:after="0" w:line="347" w:lineRule="auto"/>
        <w:rPr>
          <w:sz w:val="20"/>
          <w:szCs w:val="20"/>
          <w:color w:val="auto"/>
        </w:rPr>
      </w:pPr>
      <w:r>
        <w:rPr>
          <w:rFonts w:ascii="Arial" w:cs="Arial" w:eastAsia="Arial" w:hAnsi="Arial"/>
          <w:sz w:val="16"/>
          <w:szCs w:val="16"/>
          <w:b w:val="1"/>
          <w:bCs w:val="1"/>
          <w:color w:val="auto"/>
        </w:rPr>
        <w:t>Limited Offshore Remote Access (“LORA”)</w:t>
      </w:r>
      <w:r>
        <w:rPr>
          <w:rFonts w:ascii="Arial" w:cs="Arial" w:eastAsia="Arial" w:hAnsi="Arial"/>
          <w:sz w:val="16"/>
          <w:szCs w:val="16"/>
          <w:color w:val="auto"/>
        </w:rPr>
        <w:t>—the ability, with prior AT&amp;T IT OCE approval, for an Offshore Supplier resource to connect to</w:t>
      </w:r>
      <w:r>
        <w:rPr>
          <w:rFonts w:ascii="Arial" w:cs="Arial" w:eastAsia="Arial" w:hAnsi="Arial"/>
          <w:sz w:val="16"/>
          <w:szCs w:val="16"/>
          <w:b w:val="1"/>
          <w:bCs w:val="1"/>
          <w:color w:val="auto"/>
        </w:rPr>
        <w:t xml:space="preserve"> </w:t>
      </w:r>
      <w:r>
        <w:rPr>
          <w:rFonts w:ascii="Arial" w:cs="Arial" w:eastAsia="Arial" w:hAnsi="Arial"/>
          <w:sz w:val="16"/>
          <w:szCs w:val="16"/>
          <w:color w:val="auto"/>
        </w:rPr>
        <w:t>AT&amp;T systems via AT&amp;T client VPN from their Resource Home Location for the purposes of completing contracted work for AT&amp;T.</w:t>
      </w:r>
    </w:p>
    <w:p>
      <w:pPr>
        <w:spacing w:after="0" w:line="8" w:lineRule="exact"/>
        <w:rPr>
          <w:sz w:val="20"/>
          <w:szCs w:val="20"/>
          <w:color w:val="auto"/>
        </w:rPr>
      </w:pPr>
    </w:p>
    <w:p>
      <w:pPr>
        <w:ind w:left="220" w:right="8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Remote Access Laptop</w:t>
      </w:r>
      <w:r>
        <w:rPr>
          <w:rFonts w:ascii="Arial" w:cs="Arial" w:eastAsia="Arial" w:hAnsi="Arial"/>
          <w:sz w:val="18"/>
          <w:szCs w:val="18"/>
          <w:color w:val="auto"/>
        </w:rPr>
        <w:t xml:space="preserve">”- limited in use by Amdocs Offshore resources that require a laptop to perform their day-to-day duties, who support the AT&amp;T account, from the Amdocs facility, Resource Home Location or travel. There will be no transfer of or storage of SPI and </w:t>
      </w:r>
      <w:r>
        <w:rPr>
          <w:rFonts w:ascii="Arial" w:cs="Arial" w:eastAsia="Arial" w:hAnsi="Arial"/>
          <w:sz w:val="18"/>
          <w:szCs w:val="18"/>
          <w:b w:val="1"/>
          <w:bCs w:val="1"/>
          <w:color w:val="auto"/>
        </w:rPr>
        <w:t>AT&amp;T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Proprietary – Restricted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Restricted Information </w:t>
      </w:r>
      <w:r>
        <w:rPr>
          <w:rFonts w:ascii="Arial" w:cs="Arial" w:eastAsia="Arial" w:hAnsi="Arial"/>
          <w:sz w:val="18"/>
          <w:szCs w:val="18"/>
          <w:color w:val="auto"/>
        </w:rPr>
        <w:t>on this device. For clarity the only access to SPI and</w:t>
      </w:r>
      <w:r>
        <w:rPr>
          <w:rFonts w:ascii="Arial" w:cs="Arial" w:eastAsia="Arial" w:hAnsi="Arial"/>
          <w:sz w:val="18"/>
          <w:szCs w:val="18"/>
          <w:b w:val="1"/>
          <w:bCs w:val="1"/>
          <w:color w:val="auto"/>
        </w:rPr>
        <w:t xml:space="preserve"> AT&amp;T Proprietary – Restricted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Restricted Information </w:t>
      </w:r>
      <w:r>
        <w:rPr>
          <w:rFonts w:ascii="Arial" w:cs="Arial" w:eastAsia="Arial" w:hAnsi="Arial"/>
          <w:sz w:val="18"/>
          <w:szCs w:val="18"/>
          <w:color w:val="auto"/>
        </w:rPr>
        <w:t>will be as defined in Article II #3 below, “</w:t>
      </w:r>
      <w:r>
        <w:rPr>
          <w:rFonts w:ascii="Arial" w:cs="Arial" w:eastAsia="Arial" w:hAnsi="Arial"/>
          <w:sz w:val="18"/>
          <w:szCs w:val="18"/>
          <w:b w:val="1"/>
          <w:bCs w:val="1"/>
          <w:color w:val="auto"/>
        </w:rPr>
        <w:t>Remote Access Laptop with AT&amp;T Data other than SPI</w:t>
      </w:r>
      <w:r>
        <w:rPr>
          <w:rFonts w:ascii="Arial" w:cs="Arial" w:eastAsia="Arial" w:hAnsi="Arial"/>
          <w:sz w:val="18"/>
          <w:szCs w:val="18"/>
          <w:color w:val="auto"/>
        </w:rPr>
        <w:t>”.</w:t>
      </w:r>
    </w:p>
    <w:p>
      <w:pPr>
        <w:spacing w:after="0" w:line="76" w:lineRule="exact"/>
        <w:rPr>
          <w:sz w:val="20"/>
          <w:szCs w:val="20"/>
          <w:color w:val="auto"/>
        </w:rPr>
      </w:pPr>
    </w:p>
    <w:p>
      <w:pPr>
        <w:ind w:left="220" w:right="620"/>
        <w:spacing w:after="0" w:line="282" w:lineRule="auto"/>
        <w:rPr>
          <w:sz w:val="20"/>
          <w:szCs w:val="20"/>
          <w:color w:val="auto"/>
        </w:rPr>
      </w:pPr>
      <w:r>
        <w:rPr>
          <w:rFonts w:ascii="Arial" w:cs="Arial" w:eastAsia="Arial" w:hAnsi="Arial"/>
          <w:sz w:val="18"/>
          <w:szCs w:val="18"/>
          <w:b w:val="1"/>
          <w:bCs w:val="1"/>
          <w:color w:val="auto"/>
        </w:rPr>
        <w:t xml:space="preserve">Resource Home Location </w:t>
      </w:r>
      <w:r>
        <w:rPr>
          <w:rFonts w:ascii="Arial" w:cs="Arial" w:eastAsia="Arial" w:hAnsi="Arial"/>
          <w:sz w:val="18"/>
          <w:szCs w:val="18"/>
          <w:color w:val="auto"/>
        </w:rPr>
        <w:t>– The home residence of a Supplier resource. Each approved Supplier resource can have LORA from only one</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 Home Location.</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Controlled and Audited Supplier Facility </w:t>
      </w:r>
      <w:r>
        <w:rPr>
          <w:rFonts w:ascii="Arial" w:cs="Arial" w:eastAsia="Arial" w:hAnsi="Arial"/>
          <w:sz w:val="16"/>
          <w:szCs w:val="16"/>
          <w:color w:val="auto"/>
        </w:rPr>
        <w:t>– The designated offshore Supplier work location, which is governed by controls specified by AT&amp;T.</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the Supplier resource’s primary work location.</w:t>
      </w:r>
    </w:p>
    <w:p>
      <w:pPr>
        <w:spacing w:after="0" w:line="13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800"/>
          </w:cols>
          <w:pgMar w:left="660" w:top="274" w:right="439" w:bottom="1440" w:gutter="0" w:footer="0" w:header="0"/>
        </w:sectPr>
      </w:pPr>
    </w:p>
    <w:bookmarkStart w:id="202" w:name="page203"/>
    <w:bookmarkEnd w:id="202"/>
    <w:p>
      <w:pPr>
        <w:ind w:left="8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77" w:lineRule="exact"/>
        <w:rPr>
          <w:sz w:val="20"/>
          <w:szCs w:val="20"/>
          <w:color w:val="auto"/>
        </w:rPr>
      </w:pPr>
    </w:p>
    <w:p>
      <w:pPr>
        <w:ind w:left="220" w:right="460"/>
        <w:spacing w:after="0" w:line="282" w:lineRule="auto"/>
        <w:rPr>
          <w:sz w:val="20"/>
          <w:szCs w:val="20"/>
          <w:color w:val="auto"/>
        </w:rPr>
      </w:pPr>
      <w:r>
        <w:rPr>
          <w:rFonts w:ascii="Arial" w:cs="Arial" w:eastAsia="Arial" w:hAnsi="Arial"/>
          <w:sz w:val="18"/>
          <w:szCs w:val="18"/>
          <w:b w:val="1"/>
          <w:bCs w:val="1"/>
          <w:color w:val="auto"/>
        </w:rPr>
        <w:t xml:space="preserve">Remote Access Solution </w:t>
      </w:r>
      <w:r>
        <w:rPr>
          <w:rFonts w:ascii="Arial" w:cs="Arial" w:eastAsia="Arial" w:hAnsi="Arial"/>
          <w:sz w:val="18"/>
          <w:szCs w:val="18"/>
          <w:color w:val="auto"/>
        </w:rPr>
        <w:t>– From the Resource Home Location, an approved Supplier resource will use a Remote Access Laptop/Desktop to</w:t>
      </w:r>
      <w:r>
        <w:rPr>
          <w:rFonts w:ascii="Arial" w:cs="Arial" w:eastAsia="Arial" w:hAnsi="Arial"/>
          <w:sz w:val="18"/>
          <w:szCs w:val="18"/>
          <w:b w:val="1"/>
          <w:bCs w:val="1"/>
          <w:color w:val="auto"/>
        </w:rPr>
        <w:t xml:space="preserve"> </w:t>
      </w:r>
      <w:r>
        <w:rPr>
          <w:rFonts w:ascii="Arial" w:cs="Arial" w:eastAsia="Arial" w:hAnsi="Arial"/>
          <w:sz w:val="18"/>
          <w:szCs w:val="18"/>
          <w:color w:val="auto"/>
        </w:rPr>
        <w:t>connect to the AT&amp;T Secure VPN Gateway.</w:t>
      </w:r>
    </w:p>
    <w:p>
      <w:pPr>
        <w:spacing w:after="0" w:line="54" w:lineRule="exact"/>
        <w:rPr>
          <w:sz w:val="20"/>
          <w:szCs w:val="20"/>
          <w:color w:val="auto"/>
        </w:rPr>
      </w:pPr>
    </w:p>
    <w:p>
      <w:pPr>
        <w:ind w:left="220" w:right="220"/>
        <w:spacing w:after="0" w:line="282" w:lineRule="auto"/>
        <w:rPr>
          <w:sz w:val="20"/>
          <w:szCs w:val="20"/>
          <w:color w:val="auto"/>
        </w:rPr>
      </w:pPr>
      <w:r>
        <w:rPr>
          <w:rFonts w:ascii="Arial" w:cs="Arial" w:eastAsia="Arial" w:hAnsi="Arial"/>
          <w:sz w:val="18"/>
          <w:szCs w:val="18"/>
          <w:b w:val="1"/>
          <w:bCs w:val="1"/>
          <w:color w:val="auto"/>
        </w:rPr>
        <w:t>Permanent Workstation/Virtual Workstation</w:t>
      </w:r>
      <w:r>
        <w:rPr>
          <w:rFonts w:ascii="Arial" w:cs="Arial" w:eastAsia="Arial" w:hAnsi="Arial"/>
          <w:sz w:val="18"/>
          <w:szCs w:val="18"/>
          <w:color w:val="auto"/>
        </w:rPr>
        <w:t>—A laptop or desktop located in a controlled and audited Supplier facility that is used to access</w:t>
      </w:r>
      <w:r>
        <w:rPr>
          <w:rFonts w:ascii="Arial" w:cs="Arial" w:eastAsia="Arial" w:hAnsi="Arial"/>
          <w:sz w:val="18"/>
          <w:szCs w:val="18"/>
          <w:b w:val="1"/>
          <w:bCs w:val="1"/>
          <w:color w:val="auto"/>
        </w:rPr>
        <w:t xml:space="preserve"> </w:t>
      </w:r>
      <w:r>
        <w:rPr>
          <w:rFonts w:ascii="Arial" w:cs="Arial" w:eastAsia="Arial" w:hAnsi="Arial"/>
          <w:sz w:val="18"/>
          <w:szCs w:val="18"/>
          <w:color w:val="auto"/>
        </w:rPr>
        <w:t>the AT&amp;T network for contracted services.</w:t>
      </w:r>
    </w:p>
    <w:p>
      <w:pPr>
        <w:spacing w:after="0" w:line="270" w:lineRule="exact"/>
        <w:rPr>
          <w:sz w:val="20"/>
          <w:szCs w:val="20"/>
          <w:color w:val="auto"/>
        </w:rPr>
      </w:pPr>
    </w:p>
    <w:p>
      <w:pPr>
        <w:ind w:left="460" w:hanging="236"/>
        <w:spacing w:after="0"/>
        <w:tabs>
          <w:tab w:leader="none" w:pos="460" w:val="left"/>
        </w:tabs>
        <w:numPr>
          <w:ilvl w:val="1"/>
          <w:numId w:val="20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LORA requirements:</w:t>
      </w:r>
    </w:p>
    <w:p>
      <w:pPr>
        <w:spacing w:after="0" w:line="130" w:lineRule="exact"/>
        <w:rPr>
          <w:rFonts w:ascii="Arial" w:cs="Arial" w:eastAsia="Arial" w:hAnsi="Arial"/>
          <w:sz w:val="18"/>
          <w:szCs w:val="18"/>
          <w:b w:val="1"/>
          <w:bCs w:val="1"/>
          <w:u w:val="single" w:color="auto"/>
          <w:color w:val="auto"/>
        </w:rPr>
      </w:pPr>
    </w:p>
    <w:p>
      <w:pPr>
        <w:ind w:left="760" w:hanging="544"/>
        <w:spacing w:after="0"/>
        <w:tabs>
          <w:tab w:leader="none" w:pos="760"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 Supplier shall adhere to the following:</w:t>
      </w:r>
    </w:p>
    <w:p>
      <w:pPr>
        <w:spacing w:after="0" w:line="134" w:lineRule="exact"/>
        <w:rPr>
          <w:rFonts w:ascii="Arial" w:cs="Arial" w:eastAsia="Arial" w:hAnsi="Arial"/>
          <w:sz w:val="18"/>
          <w:szCs w:val="18"/>
          <w:color w:val="auto"/>
        </w:rPr>
      </w:pPr>
    </w:p>
    <w:p>
      <w:pPr>
        <w:ind w:left="1200" w:right="80" w:hanging="430"/>
        <w:spacing w:after="0" w:line="277" w:lineRule="auto"/>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Each individual LORA user shall be reviewed and either approved or denied within two (2) weeks from receipt of written request to the AT&amp;T IT Offshore Compliance &amp; Enablement (IT OCE).</w:t>
      </w:r>
    </w:p>
    <w:p>
      <w:pPr>
        <w:spacing w:after="0" w:line="75" w:lineRule="exact"/>
        <w:rPr>
          <w:rFonts w:ascii="Arial" w:cs="Arial" w:eastAsia="Arial" w:hAnsi="Arial"/>
          <w:sz w:val="18"/>
          <w:szCs w:val="18"/>
          <w:color w:val="auto"/>
        </w:rPr>
      </w:pPr>
    </w:p>
    <w:p>
      <w:pPr>
        <w:ind w:left="1200" w:right="200" w:hanging="430"/>
        <w:spacing w:after="0" w:line="277" w:lineRule="auto"/>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Each individual LORA request must be linked with a specific statement of work covered under an existing or pending Work Order issued under a current Master Agreement between AT&amp;T and the Supplier.</w:t>
      </w:r>
    </w:p>
    <w:p>
      <w:pPr>
        <w:spacing w:after="0" w:line="75" w:lineRule="exact"/>
        <w:rPr>
          <w:rFonts w:ascii="Arial" w:cs="Arial" w:eastAsia="Arial" w:hAnsi="Arial"/>
          <w:sz w:val="18"/>
          <w:szCs w:val="18"/>
          <w:color w:val="auto"/>
        </w:rPr>
      </w:pPr>
    </w:p>
    <w:p>
      <w:pPr>
        <w:ind w:left="1200" w:hanging="430"/>
        <w:spacing w:after="0"/>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Supplier is to maintain a history log of all requests for LORA.</w:t>
      </w:r>
    </w:p>
    <w:p>
      <w:pPr>
        <w:spacing w:after="0" w:line="130" w:lineRule="exact"/>
        <w:rPr>
          <w:rFonts w:ascii="Arial" w:cs="Arial" w:eastAsia="Arial" w:hAnsi="Arial"/>
          <w:sz w:val="18"/>
          <w:szCs w:val="18"/>
          <w:color w:val="auto"/>
        </w:rPr>
      </w:pPr>
    </w:p>
    <w:p>
      <w:pPr>
        <w:ind w:left="1200" w:hanging="430"/>
        <w:spacing w:after="0"/>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Supplier is to submit all new LORA requests to IT OCE, in a format specified by AT&amp;T.</w:t>
      </w:r>
    </w:p>
    <w:p>
      <w:pPr>
        <w:spacing w:after="0" w:line="130" w:lineRule="exact"/>
        <w:rPr>
          <w:rFonts w:ascii="Arial" w:cs="Arial" w:eastAsia="Arial" w:hAnsi="Arial"/>
          <w:sz w:val="18"/>
          <w:szCs w:val="18"/>
          <w:color w:val="auto"/>
        </w:rPr>
      </w:pPr>
    </w:p>
    <w:p>
      <w:pPr>
        <w:ind w:left="1200" w:hanging="430"/>
        <w:spacing w:after="0"/>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IT OCE Sr. Technical Director or equivalent will approve or deny each request.</w:t>
      </w:r>
    </w:p>
    <w:p>
      <w:pPr>
        <w:spacing w:after="0" w:line="130" w:lineRule="exact"/>
        <w:rPr>
          <w:rFonts w:ascii="Arial" w:cs="Arial" w:eastAsia="Arial" w:hAnsi="Arial"/>
          <w:sz w:val="18"/>
          <w:szCs w:val="18"/>
          <w:color w:val="auto"/>
        </w:rPr>
      </w:pPr>
    </w:p>
    <w:p>
      <w:pPr>
        <w:ind w:left="1200" w:right="160" w:hanging="430"/>
        <w:spacing w:after="0" w:line="277" w:lineRule="auto"/>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Greg Maddock (gm1945) is the AT&amp;T IT OCE interface at the time of this document being implemented. This is subject to change by AT&amp;T.</w:t>
      </w:r>
    </w:p>
    <w:p>
      <w:pPr>
        <w:spacing w:after="0" w:line="75" w:lineRule="exact"/>
        <w:rPr>
          <w:rFonts w:ascii="Arial" w:cs="Arial" w:eastAsia="Arial" w:hAnsi="Arial"/>
          <w:sz w:val="18"/>
          <w:szCs w:val="18"/>
          <w:color w:val="auto"/>
        </w:rPr>
      </w:pPr>
    </w:p>
    <w:p>
      <w:pPr>
        <w:ind w:left="1200" w:right="460" w:hanging="430"/>
        <w:spacing w:after="0" w:line="277" w:lineRule="auto"/>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Supplier may also request AT&amp;T IT OCE approval for temporary remote access from a location other than the Resource Home Location.</w:t>
      </w:r>
    </w:p>
    <w:p>
      <w:pPr>
        <w:spacing w:after="0" w:line="75" w:lineRule="exact"/>
        <w:rPr>
          <w:rFonts w:ascii="Arial" w:cs="Arial" w:eastAsia="Arial" w:hAnsi="Arial"/>
          <w:sz w:val="18"/>
          <w:szCs w:val="18"/>
          <w:color w:val="auto"/>
        </w:rPr>
      </w:pPr>
    </w:p>
    <w:p>
      <w:pPr>
        <w:ind w:left="1200" w:right="140" w:hanging="430"/>
        <w:spacing w:after="0" w:line="264" w:lineRule="auto"/>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Resource Home Location shall be subject to voluntary inspection /verification, as agreed upon by the Parties, by Supplier or AT&amp;T representative if AT&amp;T information/resource is present. The Supplier resource must notify AT&amp;T/Supplier of any changes in Resource Home Location.</w:t>
      </w:r>
    </w:p>
    <w:p>
      <w:pPr>
        <w:spacing w:after="0" w:line="86" w:lineRule="exact"/>
        <w:rPr>
          <w:rFonts w:ascii="Arial" w:cs="Arial" w:eastAsia="Arial" w:hAnsi="Arial"/>
          <w:sz w:val="18"/>
          <w:szCs w:val="18"/>
          <w:color w:val="auto"/>
        </w:rPr>
      </w:pPr>
    </w:p>
    <w:p>
      <w:pPr>
        <w:ind w:left="1200" w:right="440" w:hanging="430"/>
        <w:spacing w:after="0" w:line="277" w:lineRule="auto"/>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Amdocs will notify AT&amp;T immediately upon an Amdocs resource’s change in status that would no longer require them to have LORA.</w:t>
      </w:r>
    </w:p>
    <w:p>
      <w:pPr>
        <w:spacing w:after="0" w:line="75" w:lineRule="exact"/>
        <w:rPr>
          <w:rFonts w:ascii="Arial" w:cs="Arial" w:eastAsia="Arial" w:hAnsi="Arial"/>
          <w:sz w:val="18"/>
          <w:szCs w:val="18"/>
          <w:color w:val="auto"/>
        </w:rPr>
      </w:pPr>
    </w:p>
    <w:p>
      <w:pPr>
        <w:ind w:left="760" w:right="580" w:hanging="544"/>
        <w:spacing w:after="0" w:line="277" w:lineRule="auto"/>
        <w:tabs>
          <w:tab w:leader="none" w:pos="7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Once a year and immediately upon approval, all offshore Supplier personnel approved for LORA must complete Supplier-provided compliance training, which shall include but not be limited to:</w:t>
      </w:r>
    </w:p>
    <w:p>
      <w:pPr>
        <w:spacing w:after="0" w:line="75" w:lineRule="exact"/>
        <w:rPr>
          <w:rFonts w:ascii="Arial" w:cs="Arial" w:eastAsia="Arial" w:hAnsi="Arial"/>
          <w:sz w:val="18"/>
          <w:szCs w:val="18"/>
          <w:color w:val="auto"/>
        </w:rPr>
      </w:pPr>
    </w:p>
    <w:p>
      <w:pPr>
        <w:ind w:left="1200" w:right="120" w:hanging="430"/>
        <w:spacing w:after="0" w:line="259" w:lineRule="auto"/>
        <w:tabs>
          <w:tab w:leader="none" w:pos="120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A review of all of the requirements outlined in this Agreement that pertain to the end-users of the Remote Access Solution. The review shall include but not be limited to: the use of the Remote Access Solution from only a single Resource Home Location; the Remote Access Laptop theft/loss reporting requirements; and the prohibition of the use of the Remote Access Solution for anything other than responding to on-call situations.</w:t>
      </w:r>
    </w:p>
    <w:p>
      <w:pPr>
        <w:spacing w:after="0" w:line="11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800"/>
          </w:cols>
          <w:pgMar w:left="660" w:top="274" w:right="4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8" w:lineRule="exact"/>
        <w:rPr>
          <w:sz w:val="20"/>
          <w:szCs w:val="20"/>
          <w:color w:val="auto"/>
        </w:rPr>
      </w:pPr>
    </w:p>
    <w:p>
      <w:pPr>
        <w:ind w:left="1200" w:hanging="430"/>
        <w:spacing w:after="0"/>
        <w:tabs>
          <w:tab w:leader="none" w:pos="120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 xml:space="preserve">Review of the following guidelines: </w:t>
      </w:r>
      <w:r>
        <w:rPr>
          <w:rFonts w:ascii="Arial" w:cs="Arial" w:eastAsia="Arial" w:hAnsi="Arial"/>
          <w:sz w:val="17"/>
          <w:szCs w:val="17"/>
          <w:u w:val="single" w:color="auto"/>
          <w:color w:val="auto"/>
        </w:rPr>
        <w:t>https://spsf05.web.att.com/sites/AssetProtection/APO/Investigations/LaptopThefts.aspx</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200" w:right="160" w:hanging="430"/>
        <w:spacing w:after="0" w:line="277" w:lineRule="auto"/>
        <w:tabs>
          <w:tab w:leader="none" w:pos="12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Upon AT&amp;T request, Supplier shall provide to the AT&amp;T IT Offshore Compliance &amp; Enablement (IT OCE) team confirmation that the above training has been completed annually and upon LORA approvals.</w:t>
      </w:r>
    </w:p>
    <w:p>
      <w:pPr>
        <w:spacing w:after="0" w:line="71" w:lineRule="exact"/>
        <w:rPr>
          <w:rFonts w:ascii="Arial" w:cs="Arial" w:eastAsia="Arial" w:hAnsi="Arial"/>
          <w:sz w:val="18"/>
          <w:szCs w:val="18"/>
          <w:color w:val="auto"/>
        </w:rPr>
      </w:pPr>
    </w:p>
    <w:p>
      <w:pPr>
        <w:ind w:left="760" w:right="660" w:hanging="544"/>
        <w:spacing w:after="0" w:line="282" w:lineRule="auto"/>
        <w:tabs>
          <w:tab w:leader="none" w:pos="760"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 xml:space="preserve">Remote Access Laptop with AT&amp;T Data other than SPI or </w:t>
      </w:r>
      <w:r>
        <w:rPr>
          <w:rFonts w:ascii="Arial" w:cs="Arial" w:eastAsia="Arial" w:hAnsi="Arial"/>
          <w:sz w:val="18"/>
          <w:szCs w:val="18"/>
          <w:color w:val="auto"/>
        </w:rPr>
        <w:t>AT&amp;T Proprietary – Restricted Information (“APRI”) or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(“RI”) </w:t>
      </w:r>
      <w:r>
        <w:rPr>
          <w:rFonts w:ascii="Arial" w:cs="Arial" w:eastAsia="Arial" w:hAnsi="Arial"/>
          <w:sz w:val="18"/>
          <w:szCs w:val="18"/>
          <w:b w:val="1"/>
          <w:bCs w:val="1"/>
          <w:color w:val="auto"/>
        </w:rPr>
        <w:t>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131445</wp:posOffset>
            </wp:positionV>
            <wp:extent cx="6234430" cy="17322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623443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Supplier shall adhere to the following:</w:t>
      </w:r>
    </w:p>
    <w:p>
      <w:pPr>
        <w:spacing w:after="0" w:line="131" w:lineRule="exact"/>
        <w:rPr>
          <w:sz w:val="20"/>
          <w:szCs w:val="20"/>
          <w:color w:val="auto"/>
        </w:rPr>
      </w:pPr>
    </w:p>
    <w:p>
      <w:pPr>
        <w:ind w:left="1200" w:right="360" w:hanging="430"/>
        <w:spacing w:after="0" w:line="277" w:lineRule="auto"/>
        <w:tabs>
          <w:tab w:leader="none" w:pos="12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Supplier shall designate, provide and support the Remote Access Laptop to be used from the Resource Home Location, Amdocs Facility and travel.</w:t>
      </w:r>
    </w:p>
    <w:p>
      <w:pPr>
        <w:spacing w:after="0" w:line="75" w:lineRule="exact"/>
        <w:rPr>
          <w:rFonts w:ascii="Arial" w:cs="Arial" w:eastAsia="Arial" w:hAnsi="Arial"/>
          <w:sz w:val="18"/>
          <w:szCs w:val="18"/>
          <w:color w:val="auto"/>
        </w:rPr>
      </w:pPr>
    </w:p>
    <w:p>
      <w:pPr>
        <w:ind w:left="1200" w:hanging="430"/>
        <w:spacing w:after="0"/>
        <w:tabs>
          <w:tab w:leader="none" w:pos="12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Remote Access Laptop shall have anti-virus and firewall software installed and operating.</w:t>
      </w:r>
    </w:p>
    <w:p>
      <w:pPr>
        <w:spacing w:after="0" w:line="130" w:lineRule="exact"/>
        <w:rPr>
          <w:rFonts w:ascii="Arial" w:cs="Arial" w:eastAsia="Arial" w:hAnsi="Arial"/>
          <w:sz w:val="18"/>
          <w:szCs w:val="18"/>
          <w:color w:val="auto"/>
        </w:rPr>
      </w:pPr>
    </w:p>
    <w:p>
      <w:pPr>
        <w:ind w:left="1200" w:right="140" w:hanging="430"/>
        <w:spacing w:after="0" w:line="286" w:lineRule="auto"/>
        <w:tabs>
          <w:tab w:leader="none" w:pos="12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configuration file that controls these settings required for LORA shall be read only for the user and editable only by authorized domain administrators (e.g., settings that control full hard drive encryption, antivirus and Absolute Computrace, for application installations) or resources approved for LORA shall not have administrator rights on the Remote Access Laptop.</w:t>
      </w:r>
    </w:p>
    <w:p>
      <w:pPr>
        <w:spacing w:after="0" w:line="70" w:lineRule="exact"/>
        <w:rPr>
          <w:rFonts w:ascii="Arial" w:cs="Arial" w:eastAsia="Arial" w:hAnsi="Arial"/>
          <w:sz w:val="17"/>
          <w:szCs w:val="17"/>
          <w:color w:val="auto"/>
        </w:rPr>
      </w:pPr>
    </w:p>
    <w:p>
      <w:pPr>
        <w:ind w:left="1200" w:right="100" w:hanging="430"/>
        <w:spacing w:after="0" w:line="259" w:lineRule="auto"/>
        <w:tabs>
          <w:tab w:leader="none" w:pos="12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Remote Access Laptop shall have a full hard drive encryption solution, such as PointSec, installed and operating, with all data encrypted as long as the laptop is “locked” (screensaver has turned on) or the Remote Access Laptop is shut down. The configuration file that controls the above settings shall be read only for the user and editable only by authorized domain administrators.</w:t>
      </w:r>
    </w:p>
    <w:p>
      <w:pPr>
        <w:spacing w:after="0" w:line="11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00"/>
          </w:cols>
          <w:pgMar w:left="660" w:top="274" w:right="4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 53258.A.002</w:t>
      </w:r>
    </w:p>
    <w:p>
      <w:pPr>
        <w:spacing w:after="0" w:line="158" w:lineRule="exact"/>
        <w:rPr>
          <w:sz w:val="20"/>
          <w:szCs w:val="20"/>
          <w:color w:val="auto"/>
        </w:rPr>
      </w:pPr>
    </w:p>
    <w:p>
      <w:pPr>
        <w:ind w:left="1200" w:right="100" w:hanging="430"/>
        <w:spacing w:after="0" w:line="259" w:lineRule="auto"/>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Remote Access Laptops with no Absolute Computrace software or equivalent product installed must require both a password and biometric (i.e., thumb print scan) authentication for both logging into the device and “unlocking” the device (gaining control of the device after the screensaver has turned on). The configuration file that controls the above settings shall be read only for the user and editable only by authorized domain administrators.</w:t>
      </w:r>
    </w:p>
    <w:p>
      <w:pPr>
        <w:spacing w:after="0" w:line="92" w:lineRule="exact"/>
        <w:rPr>
          <w:rFonts w:ascii="Arial" w:cs="Arial" w:eastAsia="Arial" w:hAnsi="Arial"/>
          <w:sz w:val="18"/>
          <w:szCs w:val="18"/>
          <w:color w:val="auto"/>
        </w:rPr>
      </w:pPr>
    </w:p>
    <w:p>
      <w:pPr>
        <w:ind w:left="1200" w:right="400" w:hanging="430"/>
        <w:spacing w:after="0" w:line="264" w:lineRule="auto"/>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Password and/or biometric-protected screensavers must be set with the inactivity timeout set to fifteen (15) minutes or less. The configuration file that controls the above settings shall be read only for the user and editable only by authorized domain administrators.</w:t>
      </w:r>
    </w:p>
    <w:p>
      <w:pPr>
        <w:spacing w:after="0" w:line="86" w:lineRule="exact"/>
        <w:rPr>
          <w:rFonts w:ascii="Arial" w:cs="Arial" w:eastAsia="Arial" w:hAnsi="Arial"/>
          <w:sz w:val="18"/>
          <w:szCs w:val="18"/>
          <w:color w:val="auto"/>
        </w:rPr>
      </w:pPr>
    </w:p>
    <w:p>
      <w:pPr>
        <w:ind w:left="1200" w:right="40" w:hanging="430"/>
        <w:spacing w:after="0" w:line="269" w:lineRule="auto"/>
        <w:tabs>
          <w:tab w:leader="none" w:pos="12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Each Remote Access Laptop shall have the Absolute Computrace or equivalent product installed and operating, with the configuration file that controls the above settings set to be read only for the user and editable only by authorized domain administrators. Supplier shall initiate the Absolute Computrace or equivalent data wipe process for all lost or stolen laptops within four (4) hours of the reported theft or loss of a Remote Access Laptop. Supplier is to notify AT&amp;T at 908-658-0380 of a lost or stolen Remote Access Laptop within four (4) hours, including in such notification a description of AT&amp;T information that was on the Remote Access Laptop. Supplier shall provide full and proactive cooperation with any investigation related to AT&amp;T. In addition to Amdocs’ obligation to indemnify, in the event of such a loss of equipment, if it is determined that the lost equipment included personnel Information (personal data such as HR information, SSN, address, etc.) and the Supplier has failed to comply with the provisions of subsections b, c, d, e, and f, above the Supplier shall provide a minimum of twelve months credit monitoring services for each impacted individual, whose information may have been compromised, at no additional cost to AT&amp;T or the Supplier shall reimburse AT&amp;T for the cost of providing the credit monitoring services.</w:t>
      </w:r>
    </w:p>
    <w:p>
      <w:pPr>
        <w:spacing w:after="0" w:line="88" w:lineRule="exact"/>
        <w:rPr>
          <w:rFonts w:ascii="Arial" w:cs="Arial" w:eastAsia="Arial" w:hAnsi="Arial"/>
          <w:sz w:val="17"/>
          <w:szCs w:val="17"/>
          <w:color w:val="auto"/>
        </w:rPr>
      </w:pPr>
    </w:p>
    <w:p>
      <w:pPr>
        <w:ind w:left="1200" w:hanging="430"/>
        <w:spacing w:after="0"/>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Each Remote Access Laptop shall only be able to connect to a single network at any one time.</w:t>
      </w:r>
    </w:p>
    <w:p>
      <w:pPr>
        <w:spacing w:after="0" w:line="130" w:lineRule="exact"/>
        <w:rPr>
          <w:rFonts w:ascii="Arial" w:cs="Arial" w:eastAsia="Arial" w:hAnsi="Arial"/>
          <w:sz w:val="18"/>
          <w:szCs w:val="18"/>
          <w:color w:val="auto"/>
        </w:rPr>
      </w:pPr>
    </w:p>
    <w:p>
      <w:pPr>
        <w:ind w:left="1200" w:right="60" w:hanging="430"/>
        <w:spacing w:after="0" w:line="264" w:lineRule="auto"/>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Remote Access Laptops shall use either (i) a VPN connection to AT&amp;T through AT&amp;T’s approved Client VPN or (ii) another VPN connection to connect to the Supplier’s corporate network. The Remote Access Laptop may not use both (i) and (ii) at the same time or any other connection method(s).</w:t>
      </w:r>
    </w:p>
    <w:p>
      <w:pPr>
        <w:spacing w:after="0" w:line="86" w:lineRule="exact"/>
        <w:rPr>
          <w:rFonts w:ascii="Arial" w:cs="Arial" w:eastAsia="Arial" w:hAnsi="Arial"/>
          <w:sz w:val="18"/>
          <w:szCs w:val="18"/>
          <w:color w:val="auto"/>
        </w:rPr>
      </w:pPr>
    </w:p>
    <w:p>
      <w:pPr>
        <w:ind w:left="1200" w:right="300" w:hanging="430"/>
        <w:spacing w:after="0" w:line="302" w:lineRule="auto"/>
        <w:tabs>
          <w:tab w:leader="none" w:pos="12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data and voice connection in the Resource Home Location and all associated costs shall be provided by the Supplier per the Supplier’s policy and will be either a wired or wireless connection. AT&amp;T will not be required to cover the charges for data and voice connections in the Resource Home Locations. Wired data connections are preferred. However, if the connection is wireless (e.g., WIFI or cellular wireless connection), the connection must be encrypted and adequately secured.</w:t>
      </w:r>
    </w:p>
    <w:p>
      <w:pPr>
        <w:spacing w:after="0" w:line="59" w:lineRule="exact"/>
        <w:rPr>
          <w:rFonts w:ascii="Arial" w:cs="Arial" w:eastAsia="Arial" w:hAnsi="Arial"/>
          <w:sz w:val="16"/>
          <w:szCs w:val="16"/>
          <w:color w:val="auto"/>
        </w:rPr>
      </w:pPr>
    </w:p>
    <w:p>
      <w:pPr>
        <w:ind w:left="1200" w:hanging="430"/>
        <w:spacing w:after="0"/>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Supplier resources shall be notified of the restriction that AT&amp;T Data may not be downloaded and taken offsite.</w:t>
      </w:r>
    </w:p>
    <w:p>
      <w:pPr>
        <w:spacing w:after="0" w:line="130" w:lineRule="exact"/>
        <w:rPr>
          <w:rFonts w:ascii="Arial" w:cs="Arial" w:eastAsia="Arial" w:hAnsi="Arial"/>
          <w:sz w:val="18"/>
          <w:szCs w:val="18"/>
          <w:color w:val="auto"/>
        </w:rPr>
      </w:pPr>
    </w:p>
    <w:p>
      <w:pPr>
        <w:ind w:left="1200" w:hanging="430"/>
        <w:spacing w:after="0"/>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Except where expressly stated, all aforementioned software and hardware shall be provided by the Supplier.</w:t>
      </w:r>
    </w:p>
    <w:p>
      <w:pPr>
        <w:spacing w:after="0" w:line="15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00"/>
          </w:cols>
          <w:pgMar w:left="660" w:top="274" w:right="4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No. 53258.A.002</w:t>
      </w:r>
    </w:p>
    <w:p>
      <w:pPr>
        <w:spacing w:after="0" w:line="158" w:lineRule="exact"/>
        <w:rPr>
          <w:sz w:val="20"/>
          <w:szCs w:val="20"/>
          <w:color w:val="auto"/>
        </w:rPr>
      </w:pPr>
    </w:p>
    <w:p>
      <w:pPr>
        <w:ind w:left="1200" w:right="20" w:hanging="430"/>
        <w:spacing w:after="0" w:line="264" w:lineRule="auto"/>
        <w:tabs>
          <w:tab w:leader="none" w:pos="12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Security audit logs shall be maintained by the Supplier to track system events, including login attempts, user sessions, logoffs, configuration changes, and other pertinent events and data. Logs shall be retained online for at least thirty (30) days and offline for at least one (1) year.</w:t>
      </w:r>
    </w:p>
    <w:p>
      <w:pPr>
        <w:spacing w:after="0" w:line="86" w:lineRule="exact"/>
        <w:rPr>
          <w:rFonts w:ascii="Arial" w:cs="Arial" w:eastAsia="Arial" w:hAnsi="Arial"/>
          <w:sz w:val="18"/>
          <w:szCs w:val="18"/>
          <w:color w:val="auto"/>
        </w:rPr>
      </w:pPr>
    </w:p>
    <w:p>
      <w:pPr>
        <w:ind w:left="1200" w:right="240" w:hanging="430"/>
        <w:spacing w:after="0" w:line="308" w:lineRule="auto"/>
        <w:tabs>
          <w:tab w:leader="none" w:pos="120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At all times, the Remote Access Laptop shall be kept in the possession of either the AT&amp;T-approved offshore Supplier resource to whom Supplier has assigned the device or Supplier personnel that are responsible for administering the LORA.</w:t>
      </w:r>
    </w:p>
    <w:p>
      <w:pPr>
        <w:spacing w:after="0" w:line="47" w:lineRule="exact"/>
        <w:rPr>
          <w:rFonts w:ascii="Arial" w:cs="Arial" w:eastAsia="Arial" w:hAnsi="Arial"/>
          <w:sz w:val="17"/>
          <w:szCs w:val="17"/>
          <w:color w:val="auto"/>
        </w:rPr>
      </w:pPr>
    </w:p>
    <w:p>
      <w:pPr>
        <w:ind w:left="760" w:hanging="544"/>
        <w:spacing w:after="0"/>
        <w:tabs>
          <w:tab w:leader="none" w:pos="7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Program:</w:t>
      </w:r>
    </w:p>
    <w:p>
      <w:pPr>
        <w:spacing w:after="0" w:line="134" w:lineRule="exact"/>
        <w:rPr>
          <w:rFonts w:ascii="Arial" w:cs="Arial" w:eastAsia="Arial" w:hAnsi="Arial"/>
          <w:sz w:val="18"/>
          <w:szCs w:val="18"/>
          <w:b w:val="1"/>
          <w:bCs w:val="1"/>
          <w:color w:val="auto"/>
        </w:rPr>
      </w:pPr>
    </w:p>
    <w:p>
      <w:pPr>
        <w:ind w:left="1200" w:hanging="430"/>
        <w:spacing w:after="0"/>
        <w:tabs>
          <w:tab w:leader="none" w:pos="120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Limited Remote Offshore Access program is subject to change as directed by AT&amp;T.</w:t>
      </w:r>
    </w:p>
    <w:p>
      <w:pPr>
        <w:spacing w:after="0" w:line="130" w:lineRule="exact"/>
        <w:rPr>
          <w:rFonts w:ascii="Arial" w:cs="Arial" w:eastAsia="Arial" w:hAnsi="Arial"/>
          <w:sz w:val="18"/>
          <w:szCs w:val="18"/>
          <w:color w:val="auto"/>
        </w:rPr>
      </w:pPr>
    </w:p>
    <w:p>
      <w:pPr>
        <w:ind w:left="1200" w:hanging="430"/>
        <w:spacing w:after="0"/>
        <w:tabs>
          <w:tab w:leader="none" w:pos="120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AT&amp;T reserves the right to cancel any approved Limited Remote Offshore Access requests upon written notice to the Supplier</w:t>
      </w:r>
    </w:p>
    <w:p>
      <w:pPr>
        <w:spacing w:after="0" w:line="16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00"/>
          </w:cols>
          <w:pgMar w:left="660" w:top="274" w:right="4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ind w:left="2700"/>
              <w:spacing w:after="0"/>
              <w:rPr>
                <w:sz w:val="20"/>
                <w:szCs w:val="20"/>
                <w:color w:val="auto"/>
              </w:rPr>
            </w:pPr>
            <w:r>
              <w:rPr>
                <w:rFonts w:ascii="Arial" w:cs="Arial" w:eastAsia="Arial" w:hAnsi="Arial"/>
                <w:sz w:val="18"/>
                <w:szCs w:val="18"/>
                <w:b w:val="1"/>
                <w:bCs w:val="1"/>
                <w:color w:val="auto"/>
                <w:w w:val="93"/>
              </w:rPr>
              <w:t>Exhibit 8</w:t>
            </w:r>
          </w:p>
        </w:tc>
      </w:tr>
      <w:tr>
        <w:trPr>
          <w:trHeight w:val="432"/>
        </w:trPr>
        <w:tc>
          <w:tcPr>
            <w:tcW w:w="1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60" w:type="dxa"/>
            <w:vAlign w:val="bottom"/>
            <w:gridSpan w:val="2"/>
          </w:tcPr>
          <w:p>
            <w:pPr>
              <w:ind w:left="380"/>
              <w:spacing w:after="0"/>
              <w:rPr>
                <w:sz w:val="20"/>
                <w:szCs w:val="20"/>
                <w:color w:val="auto"/>
              </w:rPr>
            </w:pPr>
            <w:r>
              <w:rPr>
                <w:rFonts w:ascii="Arial" w:cs="Arial" w:eastAsia="Arial" w:hAnsi="Arial"/>
                <w:sz w:val="18"/>
                <w:szCs w:val="18"/>
                <w:b w:val="1"/>
                <w:bCs w:val="1"/>
                <w:color w:val="auto"/>
                <w:w w:val="98"/>
              </w:rPr>
              <w:t>Significant Subsidiaries of Amdocs Limited</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73"/>
        </w:trPr>
        <w:tc>
          <w:tcPr>
            <w:tcW w:w="1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4"/>
                <w:szCs w:val="14"/>
                <w:color w:val="auto"/>
                <w:w w:val="95"/>
              </w:rPr>
              <w:t>Jurisdiction of</w:t>
            </w: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49"/>
        </w:trPr>
        <w:tc>
          <w:tcPr>
            <w:tcW w:w="1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2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 or</w:t>
            </w:r>
          </w:p>
        </w:tc>
        <w:tc>
          <w:tcPr>
            <w:tcW w:w="100" w:type="dxa"/>
            <w:vAlign w:val="bottom"/>
          </w:tcPr>
          <w:p>
            <w:pPr>
              <w:spacing w:after="0"/>
              <w:rPr>
                <w:sz w:val="12"/>
                <w:szCs w:val="12"/>
                <w:color w:val="auto"/>
              </w:rPr>
            </w:pPr>
          </w:p>
        </w:tc>
        <w:tc>
          <w:tcPr>
            <w:tcW w:w="3420" w:type="dxa"/>
            <w:vAlign w:val="bottom"/>
          </w:tcPr>
          <w:p>
            <w:pPr>
              <w:spacing w:after="0"/>
              <w:rPr>
                <w:sz w:val="12"/>
                <w:szCs w:val="12"/>
                <w:color w:val="auto"/>
              </w:rPr>
            </w:pPr>
          </w:p>
        </w:tc>
      </w:tr>
      <w:tr>
        <w:trPr>
          <w:trHeight w:val="187"/>
        </w:trPr>
        <w:tc>
          <w:tcPr>
            <w:tcW w:w="3460" w:type="dxa"/>
            <w:vAlign w:val="bottom"/>
            <w:gridSpan w:val="2"/>
          </w:tcPr>
          <w:p>
            <w:pPr>
              <w:spacing w:after="0"/>
              <w:rPr>
                <w:sz w:val="20"/>
                <w:szCs w:val="20"/>
                <w:color w:val="auto"/>
              </w:rPr>
            </w:pPr>
            <w:r>
              <w:rPr>
                <w:rFonts w:ascii="Arial" w:cs="Arial" w:eastAsia="Arial" w:hAnsi="Arial"/>
                <w:sz w:val="14"/>
                <w:szCs w:val="14"/>
                <w:color w:val="auto"/>
              </w:rPr>
              <w:t>List of the Subsidiaries*</w:t>
            </w:r>
          </w:p>
        </w:tc>
        <w:tc>
          <w:tcPr>
            <w:tcW w:w="54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Arial" w:cs="Arial" w:eastAsia="Arial" w:hAnsi="Arial"/>
                <w:sz w:val="14"/>
                <w:szCs w:val="14"/>
                <w:color w:val="auto"/>
                <w:w w:val="93"/>
              </w:rPr>
              <w:t>Organization</w:t>
            </w:r>
          </w:p>
        </w:tc>
        <w:tc>
          <w:tcPr>
            <w:tcW w:w="100" w:type="dxa"/>
            <w:vAlign w:val="bottom"/>
          </w:tcPr>
          <w:p>
            <w:pPr>
              <w:spacing w:after="0"/>
              <w:rPr>
                <w:sz w:val="16"/>
                <w:szCs w:val="16"/>
                <w:color w:val="auto"/>
              </w:rPr>
            </w:pPr>
          </w:p>
        </w:tc>
        <w:tc>
          <w:tcPr>
            <w:tcW w:w="3420" w:type="dxa"/>
            <w:vAlign w:val="bottom"/>
          </w:tcPr>
          <w:p>
            <w:pPr>
              <w:ind w:left="1260"/>
              <w:spacing w:after="0"/>
              <w:rPr>
                <w:sz w:val="20"/>
                <w:szCs w:val="20"/>
                <w:color w:val="auto"/>
              </w:rPr>
            </w:pPr>
            <w:r>
              <w:rPr>
                <w:rFonts w:ascii="Arial" w:cs="Arial" w:eastAsia="Arial" w:hAnsi="Arial"/>
                <w:sz w:val="14"/>
                <w:szCs w:val="14"/>
                <w:color w:val="auto"/>
              </w:rPr>
              <w:t>Business Name</w:t>
            </w:r>
          </w:p>
        </w:tc>
      </w:tr>
      <w:tr>
        <w:trPr>
          <w:trHeight w:val="217"/>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Amdocs Development</w:t>
            </w:r>
          </w:p>
        </w:tc>
        <w:tc>
          <w:tcPr>
            <w:tcW w:w="2040" w:type="dxa"/>
            <w:vAlign w:val="bottom"/>
          </w:tcPr>
          <w:p>
            <w:pPr>
              <w:ind w:left="240"/>
              <w:spacing w:after="0" w:line="190" w:lineRule="exact"/>
              <w:rPr>
                <w:sz w:val="20"/>
                <w:szCs w:val="20"/>
                <w:color w:val="auto"/>
              </w:rPr>
            </w:pPr>
            <w:r>
              <w:rPr>
                <w:rFonts w:ascii="Arial" w:cs="Arial" w:eastAsia="Arial" w:hAnsi="Arial"/>
                <w:sz w:val="18"/>
                <w:szCs w:val="18"/>
                <w:color w:val="auto"/>
              </w:rPr>
              <w:t>Centre India LLP</w:t>
            </w:r>
          </w:p>
        </w:tc>
        <w:tc>
          <w:tcPr>
            <w:tcW w:w="540" w:type="dxa"/>
            <w:vAlign w:val="bottom"/>
          </w:tcPr>
          <w:p>
            <w:pPr>
              <w:spacing w:after="0"/>
              <w:rPr>
                <w:sz w:val="18"/>
                <w:szCs w:val="18"/>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India</w:t>
            </w:r>
          </w:p>
        </w:tc>
        <w:tc>
          <w:tcPr>
            <w:tcW w:w="10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Amdocs Development Centre India LLP</w:t>
            </w:r>
          </w:p>
        </w:tc>
      </w:tr>
      <w:tr>
        <w:trPr>
          <w:trHeight w:val="310"/>
        </w:trPr>
        <w:tc>
          <w:tcPr>
            <w:tcW w:w="346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Republic of Cyprus</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Amdocs Development Limited</w:t>
            </w: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Amdocs, Inc.</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State of Delaware, USA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Amdocs, Inc.</w:t>
            </w: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Amdocs International GmbH</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Switzerland</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Amdocs International GmbH</w:t>
            </w: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Amdocs (Israel) Limited</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Israel</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Amdocs (Israel) Limited</w:t>
            </w: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Amdocs Management Limited</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Amdocs Management Limited</w:t>
            </w: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Amdocs Software Systems Ltd.</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Ireland</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Amdocs Software Systems Ltd.</w:t>
            </w: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Amdocs (UK) Limited</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United Kingdom</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Amdocs (UK) Limited</w:t>
            </w: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Amdocs Canadian Managed Services, Inc.</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Canada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w w:val="99"/>
              </w:rPr>
              <w:t>Amdocs Canadian Managed Services, Inc.</w:t>
            </w: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Sypress, Inc.</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State of Delaware, USA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Sypress, Inc.</w:t>
            </w:r>
          </w:p>
        </w:tc>
      </w:tr>
      <w:tr>
        <w:trPr>
          <w:trHeight w:val="324"/>
        </w:trPr>
        <w:tc>
          <w:tcPr>
            <w:tcW w:w="3460" w:type="dxa"/>
            <w:vAlign w:val="bottom"/>
            <w:gridSpan w:val="2"/>
          </w:tcPr>
          <w:p>
            <w:pPr>
              <w:spacing w:after="0"/>
              <w:rPr>
                <w:sz w:val="20"/>
                <w:szCs w:val="20"/>
                <w:color w:val="auto"/>
              </w:rPr>
            </w:pPr>
            <w:r>
              <w:rPr>
                <w:rFonts w:ascii="Arial" w:cs="Arial" w:eastAsia="Arial" w:hAnsi="Arial"/>
                <w:sz w:val="18"/>
                <w:szCs w:val="18"/>
                <w:color w:val="auto"/>
              </w:rPr>
              <w:t>European Software Marketing Ltd.</w:t>
            </w:r>
          </w:p>
        </w:tc>
        <w:tc>
          <w:tcPr>
            <w:tcW w:w="4060" w:type="dxa"/>
            <w:vAlign w:val="bottom"/>
            <w:gridSpan w:val="2"/>
          </w:tcPr>
          <w:p>
            <w:pPr>
              <w:ind w:left="520"/>
              <w:spacing w:after="0"/>
              <w:rPr>
                <w:sz w:val="20"/>
                <w:szCs w:val="20"/>
                <w:color w:val="auto"/>
              </w:rPr>
            </w:pPr>
            <w:r>
              <w:rPr>
                <w:rFonts w:ascii="Arial" w:cs="Arial" w:eastAsia="Arial" w:hAnsi="Arial"/>
                <w:sz w:val="18"/>
                <w:szCs w:val="18"/>
                <w:color w:val="auto"/>
              </w:rPr>
              <w:t>Island of Guernsey, Channel Islands</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European Software Marketing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632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440" w:hanging="436"/>
        <w:spacing w:after="0"/>
        <w:tabs>
          <w:tab w:leader="none" w:pos="4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subsidiary listed is directly or indirectly wholly-owned by Amdocs Limited.</w:t>
      </w:r>
    </w:p>
    <w:p>
      <w:pPr>
        <w:sectPr>
          <w:pgSz w:w="11900" w:h="16838" w:orient="portrait"/>
          <w:cols w:equalWidth="0" w:num="1">
            <w:col w:w="11040"/>
          </w:cols>
          <w:pgMar w:left="440" w:top="121" w:right="4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Shuky Sheffer, certify that:</w:t>
      </w:r>
    </w:p>
    <w:p>
      <w:pPr>
        <w:spacing w:after="0" w:line="117" w:lineRule="exact"/>
        <w:rPr>
          <w:sz w:val="20"/>
          <w:szCs w:val="20"/>
          <w:color w:val="auto"/>
        </w:rPr>
      </w:pPr>
    </w:p>
    <w:p>
      <w:pPr>
        <w:ind w:left="620" w:hanging="176"/>
        <w:spacing w:after="0"/>
        <w:tabs>
          <w:tab w:leader="none" w:pos="6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right="140" w:firstLine="444"/>
        <w:spacing w:after="0" w:line="291" w:lineRule="auto"/>
        <w:tabs>
          <w:tab w:leader="none" w:pos="621"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00" w:firstLine="428"/>
        <w:spacing w:after="0" w:line="264" w:lineRule="auto"/>
        <w:tabs>
          <w:tab w:leader="none" w:pos="110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40" w:right="60" w:firstLine="428"/>
        <w:spacing w:after="0" w:line="264" w:lineRule="auto"/>
        <w:tabs>
          <w:tab w:leader="none" w:pos="111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220" w:firstLine="428"/>
        <w:spacing w:after="0" w:line="342" w:lineRule="auto"/>
        <w:tabs>
          <w:tab w:leader="none" w:pos="110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80" w:firstLine="428"/>
        <w:spacing w:after="0" w:line="264" w:lineRule="auto"/>
        <w:tabs>
          <w:tab w:leader="none" w:pos="111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right="100" w:firstLine="444"/>
        <w:spacing w:after="0" w:line="342" w:lineRule="auto"/>
        <w:tabs>
          <w:tab w:leader="none" w:pos="621"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20" w:firstLine="428"/>
        <w:spacing w:after="0" w:line="308" w:lineRule="auto"/>
        <w:tabs>
          <w:tab w:leader="none" w:pos="1108" w:val="left"/>
        </w:tabs>
        <w:numPr>
          <w:ilvl w:val="1"/>
          <w:numId w:val="2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20" w:firstLine="428"/>
        <w:spacing w:after="0" w:line="277" w:lineRule="auto"/>
        <w:tabs>
          <w:tab w:leader="none" w:pos="111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2019</w:t>
      </w:r>
    </w:p>
    <w:p>
      <w:pPr>
        <w:sectPr>
          <w:pgSz w:w="11900" w:h="16838" w:orient="portrait"/>
          <w:cols w:equalWidth="0" w:num="1">
            <w:col w:w="11020"/>
          </w:cols>
          <w:pgMar w:left="440" w:top="122" w:right="4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117" w:lineRule="exact"/>
        <w:rPr>
          <w:sz w:val="20"/>
          <w:szCs w:val="20"/>
          <w:color w:val="auto"/>
        </w:rPr>
      </w:pPr>
    </w:p>
    <w:p>
      <w:pPr>
        <w:ind w:left="620" w:hanging="176"/>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117" w:lineRule="exact"/>
        <w:rPr>
          <w:rFonts w:ascii="Arial" w:cs="Arial" w:eastAsia="Arial" w:hAnsi="Arial"/>
          <w:sz w:val="18"/>
          <w:szCs w:val="18"/>
          <w:color w:val="auto"/>
        </w:rPr>
      </w:pPr>
    </w:p>
    <w:p>
      <w:pPr>
        <w:ind w:right="180" w:firstLine="444"/>
        <w:spacing w:after="0" w:line="264" w:lineRule="auto"/>
        <w:tabs>
          <w:tab w:leader="none" w:pos="62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60" w:firstLine="444"/>
        <w:spacing w:after="0" w:line="308" w:lineRule="auto"/>
        <w:tabs>
          <w:tab w:leader="none" w:pos="62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ind w:right="140" w:firstLine="444"/>
        <w:spacing w:after="0" w:line="291" w:lineRule="auto"/>
        <w:tabs>
          <w:tab w:leader="none" w:pos="62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00" w:firstLine="428"/>
        <w:spacing w:after="0" w:line="264" w:lineRule="auto"/>
        <w:tabs>
          <w:tab w:leader="none" w:pos="110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40" w:right="60" w:firstLine="428"/>
        <w:spacing w:after="0" w:line="264" w:lineRule="auto"/>
        <w:tabs>
          <w:tab w:leader="none" w:pos="111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40" w:right="220" w:firstLine="428"/>
        <w:spacing w:after="0" w:line="342" w:lineRule="auto"/>
        <w:tabs>
          <w:tab w:leader="none" w:pos="110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80" w:firstLine="428"/>
        <w:spacing w:after="0" w:line="264" w:lineRule="auto"/>
        <w:tabs>
          <w:tab w:leader="none" w:pos="111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right="100" w:firstLine="444"/>
        <w:spacing w:after="0" w:line="342" w:lineRule="auto"/>
        <w:tabs>
          <w:tab w:leader="none" w:pos="621"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20" w:firstLine="428"/>
        <w:spacing w:after="0" w:line="308" w:lineRule="auto"/>
        <w:tabs>
          <w:tab w:leader="none" w:pos="1108" w:val="left"/>
        </w:tabs>
        <w:numPr>
          <w:ilvl w:val="1"/>
          <w:numId w:val="2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20" w:firstLine="428"/>
        <w:spacing w:after="0" w:line="277" w:lineRule="auto"/>
        <w:tabs>
          <w:tab w:leader="none" w:pos="111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2019</w:t>
      </w:r>
    </w:p>
    <w:p>
      <w:pPr>
        <w:sectPr>
          <w:pgSz w:w="11900" w:h="16838" w:orient="portrait"/>
          <w:cols w:equalWidth="0" w:num="1">
            <w:col w:w="11020"/>
          </w:cols>
          <w:pgMar w:left="440" w:top="121" w:right="4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441"/>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2019 as filed with the Securities and Exchange Commission on the date hereof (the “Report”), the undersigned, Shuky Sheffer, President and Chief Executive Officer of the Company, hereby certifies, pursuant to 18 U.S.C. Section 1350, that to the best of his knowledge and belief:</w:t>
      </w:r>
    </w:p>
    <w:p>
      <w:pPr>
        <w:spacing w:after="0" w:line="57" w:lineRule="exact"/>
        <w:rPr>
          <w:sz w:val="20"/>
          <w:szCs w:val="20"/>
          <w:color w:val="auto"/>
        </w:rPr>
      </w:pPr>
    </w:p>
    <w:p>
      <w:pPr>
        <w:ind w:left="700" w:hanging="256"/>
        <w:spacing w:after="0"/>
        <w:tabs>
          <w:tab w:leader="none" w:pos="7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right="720" w:firstLine="444"/>
        <w:spacing w:after="0" w:line="277" w:lineRule="auto"/>
        <w:tabs>
          <w:tab w:leader="none" w:pos="69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Shuky Sheffer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2019</w:t>
      </w:r>
    </w:p>
    <w:p>
      <w:pPr>
        <w:sectPr>
          <w:pgSz w:w="11900" w:h="16838" w:orient="portrait"/>
          <w:cols w:equalWidth="0" w:num="1">
            <w:col w:w="11020"/>
          </w:cols>
          <w:pgMar w:left="440" w:top="121" w:right="4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2019 as filed with the Securities and Exchange Commission on the date hereof (the “Report”), the undersigned, Tamar Rapaport-Dagim, Chief Financial Officer and Chief Operating Officer of the Company, hereby certifies, pursuant to 18 U.S.C. Section 1350, that to the best of her knowledge and belief:</w:t>
      </w:r>
    </w:p>
    <w:p>
      <w:pPr>
        <w:spacing w:after="0" w:line="57" w:lineRule="exact"/>
        <w:rPr>
          <w:sz w:val="20"/>
          <w:szCs w:val="20"/>
          <w:color w:val="auto"/>
        </w:rPr>
      </w:pPr>
    </w:p>
    <w:p>
      <w:pPr>
        <w:ind w:left="1120" w:hanging="252"/>
        <w:spacing w:after="0"/>
        <w:tabs>
          <w:tab w:leader="none" w:pos="11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40" w:right="300" w:firstLine="428"/>
        <w:spacing w:after="0" w:line="277" w:lineRule="auto"/>
        <w:tabs>
          <w:tab w:leader="none" w:pos="111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Tamar Rapaport-Dagim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2019</w:t>
      </w:r>
    </w:p>
    <w:p>
      <w:pPr>
        <w:sectPr>
          <w:pgSz w:w="11900" w:h="16838" w:orient="portrait"/>
          <w:cols w:equalWidth="0" w:num="1">
            <w:col w:w="11020"/>
          </w:cols>
          <w:pgMar w:left="440" w:top="121" w:right="4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consent to the reference to our firm in the head note to Item 3. Key Information — Selected Financial Data included in this Annual Report (Form 20-F) of Amdocs Limited and to the incorporation by reference in the following Registration Statements:</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333-91847</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333-159163</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333-193659</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Form S-8, No. 333-222992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our reports dated December 16, 2019, with respect to the consolidated financial statements and schedule of Amdocs Limited and the effectiveness of internal control over financial reporting of Amdocs Limited, included in this Annual Report (Form 20-F) of Amdocs Limited for the year ended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1)"/>
      <w:numFmt w:val="decimal"/>
      <w:start w:val="1"/>
    </w:lvl>
  </w:abstractNum>
  <w:abstractNum w:abstractNumId="5">
    <w:nsid w:val="1D9F6E5F"/>
    <w:multiLevelType w:val="hybridMultilevel"/>
    <w:lvl w:ilvl="0">
      <w:lvlJc w:val="left"/>
      <w:lvlText w:val="(%1)"/>
      <w:numFmt w:val="decimal"/>
      <w:start w:val="1"/>
    </w:lvl>
  </w:abstractNum>
  <w:abstractNum w:abstractNumId="6">
    <w:nsid w:val="97E1B4E"/>
    <w:multiLevelType w:val="hybridMultilevel"/>
    <w:lvl w:ilvl="0">
      <w:lvlJc w:val="left"/>
      <w:lvlText w:val="(%1)"/>
      <w:numFmt w:val="decimal"/>
      <w:start w:val="2"/>
    </w:lvl>
  </w:abstractNum>
  <w:abstractNum w:abstractNumId="7">
    <w:nsid w:val="51088277"/>
    <w:multiLevelType w:val="hybridMultilevel"/>
    <w:lvl w:ilvl="0">
      <w:lvlJc w:val="left"/>
      <w:lvlText w:val="(%1)"/>
      <w:numFmt w:val="decimal"/>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
      <w:numFmt w:val="bullet"/>
      <w:start w:val="1"/>
    </w:lvl>
    <w:lvl w:ilvl="1">
      <w:lvlJc w:val="left"/>
      <w:lvlText w:val="•"/>
      <w:numFmt w:val="bullet"/>
      <w:start w:val="1"/>
    </w:lvl>
  </w:abstractNum>
  <w:abstractNum w:abstractNumId="25">
    <w:nsid w:val="4C9B0904"/>
    <w:multiLevelType w:val="hybridMultilevel"/>
    <w:lvl w:ilvl="0">
      <w:lvlJc w:val="left"/>
      <w:lvlText w:val="•"/>
      <w:numFmt w:val="bullet"/>
      <w:start w:val="1"/>
    </w:lvl>
    <w:lvl w:ilvl="1">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1)"/>
      <w:numFmt w:val="decimal"/>
      <w:start w:val="1"/>
    </w:lvl>
  </w:abstractNum>
  <w:abstractNum w:abstractNumId="29">
    <w:nsid w:val="3DD15094"/>
    <w:multiLevelType w:val="hybridMultilevel"/>
    <w:lvl w:ilvl="0">
      <w:lvlJc w:val="left"/>
      <w:lvlText w:val="(%1)"/>
      <w:numFmt w:val="lowerRoman"/>
      <w:start w:val="1"/>
    </w:lvl>
  </w:abstractNum>
  <w:abstractNum w:abstractNumId="30">
    <w:nsid w:val="3DB012B3"/>
    <w:multiLevelType w:val="hybridMultilevel"/>
    <w:lvl w:ilvl="0">
      <w:lvlJc w:val="left"/>
      <w:lvlText w:val="(%1)"/>
      <w:numFmt w:val="decimal"/>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1)"/>
      <w:numFmt w:val="lowerRoman"/>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1)"/>
      <w:numFmt w:val="decimal"/>
      <w:start w:val="1"/>
    </w:lvl>
  </w:abstractNum>
  <w:abstractNum w:abstractNumId="38">
    <w:nsid w:val="56438D15"/>
    <w:multiLevelType w:val="hybridMultilevel"/>
    <w:lvl w:ilvl="0">
      <w:lvlJc w:val="left"/>
      <w:lvlText w:val="2"/>
      <w:numFmt w:val="bullet"/>
      <w:start w:val="1"/>
    </w:lvl>
  </w:abstractNum>
  <w:abstractNum w:abstractNumId="39">
    <w:nsid w:val="519E3149"/>
    <w:multiLevelType w:val="hybridMultilevel"/>
    <w:lvl w:ilvl="0">
      <w:lvlJc w:val="left"/>
      <w:lvlText w:val="8"/>
      <w:numFmt w:val="bullet"/>
      <w:start w:val="1"/>
    </w:lvl>
  </w:abstractNum>
  <w:abstractNum w:abstractNumId="40">
    <w:nsid w:val="2C6E4AFD"/>
    <w:multiLevelType w:val="hybridMultilevel"/>
    <w:lvl w:ilvl="0">
      <w:lvlJc w:val="left"/>
      <w:lvlText w:val="†"/>
      <w:numFmt w:val="bullet"/>
      <w:start w:val="1"/>
    </w:lvl>
  </w:abstractNum>
  <w:abstractNum w:abstractNumId="41">
    <w:nsid w:val="17A1B582"/>
    <w:multiLevelType w:val="hybridMultilevel"/>
    <w:lvl w:ilvl="0">
      <w:lvlJc w:val="left"/>
      <w:lvlText w:val="•"/>
      <w:numFmt w:val="bullet"/>
      <w:start w:val="1"/>
    </w:lvl>
  </w:abstractNum>
  <w:abstractNum w:abstractNumId="42">
    <w:nsid w:val="4DF72E4E"/>
    <w:multiLevelType w:val="hybridMultilevel"/>
    <w:lvl w:ilvl="0">
      <w:lvlJc w:val="left"/>
      <w:lvlText w:val="(%1)"/>
      <w:numFmt w:val="decimal"/>
      <w:start w:val="1"/>
    </w:lvl>
  </w:abstractNum>
  <w:abstractNum w:abstractNumId="43">
    <w:nsid w:val="5046B5A9"/>
    <w:multiLevelType w:val="hybridMultilevel"/>
    <w:lvl w:ilvl="0">
      <w:lvlJc w:val="left"/>
      <w:lvlText w:val="(%1)"/>
      <w:numFmt w:val="decimal"/>
      <w:start w:val="1"/>
    </w:lvl>
  </w:abstractNum>
  <w:abstractNum w:abstractNumId="44">
    <w:nsid w:val="5D888A08"/>
    <w:multiLevelType w:val="hybridMultilevel"/>
    <w:lvl w:ilvl="0">
      <w:lvlJc w:val="left"/>
      <w:lvlText w:val="(%1)"/>
      <w:numFmt w:val="decimal"/>
      <w:start w:val="1"/>
    </w:lvl>
  </w:abstractNum>
  <w:abstractNum w:abstractNumId="45">
    <w:nsid w:val="2A082C70"/>
    <w:multiLevelType w:val="hybridMultilevel"/>
    <w:lvl w:ilvl="0">
      <w:lvlJc w:val="left"/>
      <w:lvlText w:val="(%1)"/>
      <w:numFmt w:val="lowerRoman"/>
      <w:start w:val="1"/>
    </w:lvl>
  </w:abstractNum>
  <w:abstractNum w:abstractNumId="46">
    <w:nsid w:val="5EC6AFD4"/>
    <w:multiLevelType w:val="hybridMultilevel"/>
    <w:lvl w:ilvl="0">
      <w:lvlJc w:val="left"/>
      <w:lvlText w:val="(%1)"/>
      <w:numFmt w:val="decimal"/>
      <w:start w:val="1"/>
    </w:lvl>
  </w:abstractNum>
  <w:abstractNum w:abstractNumId="47">
    <w:nsid w:val="19E21BB2"/>
    <w:multiLevelType w:val="hybridMultilevel"/>
    <w:lvl w:ilvl="0">
      <w:lvlJc w:val="left"/>
      <w:lvlText w:val="(%1)"/>
      <w:numFmt w:val="decimal"/>
      <w:start w:val="1"/>
    </w:lvl>
  </w:abstractNum>
  <w:abstractNum w:abstractNumId="48">
    <w:nsid w:val="75E0858A"/>
    <w:multiLevelType w:val="hybridMultilevel"/>
    <w:lvl w:ilvl="0">
      <w:lvlJc w:val="left"/>
      <w:lvlText w:val="(*)"/>
      <w:numFmt w:val="bullet"/>
      <w:start w:val="1"/>
    </w:lvl>
  </w:abstractNum>
  <w:abstractNum w:abstractNumId="49">
    <w:nsid w:val="57A61A29"/>
    <w:multiLevelType w:val="hybridMultilevel"/>
    <w:lvl w:ilvl="0">
      <w:lvlJc w:val="left"/>
      <w:lvlText w:val="(%1)"/>
      <w:numFmt w:val="decimal"/>
      <w:start w:val="1"/>
    </w:lvl>
  </w:abstractNum>
  <w:abstractNum w:abstractNumId="50">
    <w:nsid w:val="5399C654"/>
    <w:multiLevelType w:val="hybridMultilevel"/>
    <w:lvl w:ilvl="0">
      <w:lvlJc w:val="left"/>
      <w:lvlText w:val="(%1)"/>
      <w:numFmt w:val="decimal"/>
      <w:start w:val="1"/>
    </w:lvl>
  </w:abstractNum>
  <w:abstractNum w:abstractNumId="51">
    <w:nsid w:val="20EE1348"/>
    <w:multiLevelType w:val="hybridMultilevel"/>
    <w:lvl w:ilvl="0">
      <w:lvlJc w:val="left"/>
      <w:lvlText w:val="(%1)"/>
      <w:numFmt w:val="decimal"/>
      <w:start w:val="1"/>
    </w:lvl>
  </w:abstractNum>
  <w:abstractNum w:abstractNumId="52">
    <w:nsid w:val="4427069A"/>
    <w:multiLevelType w:val="hybridMultilevel"/>
    <w:lvl w:ilvl="0">
      <w:lvlJc w:val="left"/>
      <w:lvlText w:val="(%1)"/>
      <w:numFmt w:val="decimal"/>
      <w:start w:val="1"/>
    </w:lvl>
  </w:abstractNum>
  <w:abstractNum w:abstractNumId="53">
    <w:nsid w:val="B37E80A"/>
    <w:multiLevelType w:val="hybridMultilevel"/>
    <w:lvl w:ilvl="0">
      <w:lvlJc w:val="left"/>
      <w:lvlText w:val="(%1)"/>
      <w:numFmt w:val="decimal"/>
      <w:start w:val="1"/>
    </w:lvl>
  </w:abstractNum>
  <w:abstractNum w:abstractNumId="54">
    <w:nsid w:val="2157F6BC"/>
    <w:multiLevelType w:val="hybridMultilevel"/>
    <w:lvl w:ilvl="0">
      <w:lvlJc w:val="left"/>
      <w:lvlText w:val="(%1)"/>
      <w:numFmt w:val="decimal"/>
      <w:start w:val="1"/>
    </w:lvl>
  </w:abstractNum>
  <w:abstractNum w:abstractNumId="55">
    <w:nsid w:val="704E1DD5"/>
    <w:multiLevelType w:val="hybridMultilevel"/>
    <w:lvl w:ilvl="0">
      <w:lvlJc w:val="left"/>
      <w:lvlText w:val="(%1)"/>
      <w:numFmt w:val="decimal"/>
      <w:start w:val="1"/>
    </w:lvl>
  </w:abstractNum>
  <w:abstractNum w:abstractNumId="56">
    <w:nsid w:val="57D2F10E"/>
    <w:multiLevelType w:val="hybridMultilevel"/>
    <w:lvl w:ilvl="0">
      <w:lvlJc w:val="left"/>
      <w:lvlText w:val="(%1)"/>
      <w:numFmt w:val="decimal"/>
      <w:start w:val="1"/>
    </w:lvl>
  </w:abstractNum>
  <w:abstractNum w:abstractNumId="57">
    <w:nsid w:val="BFFAE18"/>
    <w:multiLevelType w:val="hybridMultilevel"/>
    <w:lvl w:ilvl="0">
      <w:lvlJc w:val="left"/>
      <w:lvlText w:val="(%1)"/>
      <w:numFmt w:val="lowerRoman"/>
      <w:start w:val="2"/>
    </w:lvl>
  </w:abstractNum>
  <w:abstractNum w:abstractNumId="58">
    <w:nsid w:val="E3E47A8"/>
    <w:multiLevelType w:val="hybridMultilevel"/>
    <w:lvl w:ilvl="0">
      <w:lvlJc w:val="left"/>
      <w:lvlText w:val="%1."/>
      <w:numFmt w:val="decimal"/>
      <w:start w:val="1"/>
    </w:lvl>
  </w:abstractNum>
  <w:abstractNum w:abstractNumId="59">
    <w:nsid w:val="2E48F044"/>
    <w:multiLevelType w:val="hybridMultilevel"/>
    <w:lvl w:ilvl="0">
      <w:lvlJc w:val="left"/>
      <w:lvlText w:val="%1."/>
      <w:numFmt w:val="decimal"/>
      <w:start w:val="2"/>
    </w:lvl>
  </w:abstractNum>
  <w:abstractNum w:abstractNumId="60">
    <w:nsid w:val="49D0FEAC"/>
    <w:multiLevelType w:val="hybridMultilevel"/>
    <w:lvl w:ilvl="0">
      <w:lvlJc w:val="left"/>
      <w:lvlText w:val="%1."/>
      <w:numFmt w:val="decimal"/>
      <w:start w:val="1"/>
    </w:lvl>
  </w:abstractNum>
  <w:abstractNum w:abstractNumId="61">
    <w:nsid w:val="4BEE5A5B"/>
    <w:multiLevelType w:val="hybridMultilevel"/>
    <w:lvl w:ilvl="0">
      <w:lvlJc w:val="left"/>
      <w:lvlText w:val="%1."/>
      <w:numFmt w:val="decimal"/>
      <w:start w:val="2"/>
    </w:lvl>
  </w:abstractNum>
  <w:abstractNum w:abstractNumId="62">
    <w:nsid w:val="5551B9F3"/>
    <w:multiLevelType w:val="hybridMultilevel"/>
    <w:lvl w:ilvl="0">
      <w:lvlJc w:val="left"/>
      <w:lvlText w:val="•"/>
      <w:numFmt w:val="bullet"/>
      <w:start w:val="1"/>
    </w:lvl>
  </w:abstractNum>
  <w:abstractNum w:abstractNumId="63">
    <w:nsid w:val="24F6AB8E"/>
    <w:multiLevelType w:val="hybridMultilevel"/>
    <w:lvl w:ilvl="0">
      <w:lvlJc w:val="left"/>
      <w:lvlText w:val="(%1)"/>
      <w:numFmt w:val="lowerLetter"/>
      <w:start w:val="1"/>
    </w:lvl>
    <w:lvl w:ilvl="1">
      <w:lvlJc w:val="left"/>
      <w:lvlText w:val="•"/>
      <w:numFmt w:val="bullet"/>
      <w:start w:val="1"/>
    </w:lvl>
  </w:abstractNum>
  <w:abstractNum w:abstractNumId="64">
    <w:nsid w:val="634C574C"/>
    <w:multiLevelType w:val="hybridMultilevel"/>
    <w:lvl w:ilvl="0">
      <w:lvlJc w:val="left"/>
      <w:lvlText w:val="(%1)"/>
      <w:numFmt w:val="lowerLetter"/>
      <w:start w:val="7"/>
    </w:lvl>
    <w:lvl w:ilvl="1">
      <w:lvlJc w:val="left"/>
      <w:lvlText w:val="•"/>
      <w:numFmt w:val="bullet"/>
      <w:start w:val="1"/>
    </w:lvl>
    <w:lvl w:ilvl="2">
      <w:lvlJc w:val="left"/>
      <w:lvlText w:val="•"/>
      <w:numFmt w:val="bullet"/>
      <w:start w:val="1"/>
    </w:lvl>
  </w:abstractNum>
  <w:abstractNum w:abstractNumId="65">
    <w:nsid w:val="24E99DD7"/>
    <w:multiLevelType w:val="hybridMultilevel"/>
    <w:lvl w:ilvl="0">
      <w:lvlJc w:val="left"/>
      <w:lvlText w:val="(%1)"/>
      <w:numFmt w:val="lowerLetter"/>
      <w:start w:val="8"/>
    </w:lvl>
    <w:lvl w:ilvl="1">
      <w:lvlJc w:val="left"/>
      <w:lvlText w:val="•"/>
      <w:numFmt w:val="bullet"/>
      <w:start w:val="1"/>
    </w:lvl>
  </w:abstractNum>
  <w:abstractNum w:abstractNumId="66">
    <w:nsid w:val="2A31B62D"/>
    <w:multiLevelType w:val="hybridMultilevel"/>
    <w:lvl w:ilvl="0">
      <w:lvlJc w:val="left"/>
      <w:lvlText w:val="(%1)"/>
      <w:numFmt w:val="lowerLetter"/>
      <w:start w:val="10"/>
    </w:lvl>
  </w:abstractNum>
  <w:abstractNum w:abstractNumId="67">
    <w:nsid w:val="1849C29B"/>
    <w:multiLevelType w:val="hybridMultilevel"/>
    <w:lvl w:ilvl="0">
      <w:lvlJc w:val="left"/>
      <w:lvlText w:val="[%1]"/>
      <w:numFmt w:val="upperLetter"/>
      <w:start w:val="25"/>
    </w:lvl>
  </w:abstractNum>
  <w:abstractNum w:abstractNumId="68">
    <w:nsid w:val="7DFF9D09"/>
    <w:multiLevelType w:val="hybridMultilevel"/>
    <w:lvl w:ilvl="0">
      <w:lvlJc w:val="left"/>
      <w:lvlText w:val="[%1]"/>
      <w:numFmt w:val="upperLetter"/>
      <w:start w:val="25"/>
    </w:lvl>
  </w:abstractNum>
  <w:abstractNum w:abstractNumId="69">
    <w:nsid w:val="754342"/>
    <w:multiLevelType w:val="hybridMultilevel"/>
    <w:lvl w:ilvl="0">
      <w:lvlJc w:val="left"/>
      <w:lvlText w:val="[%1]"/>
      <w:numFmt w:val="upperLetter"/>
      <w:start w:val="14"/>
    </w:lvl>
  </w:abstractNum>
  <w:abstractNum w:abstractNumId="70">
    <w:nsid w:val="69E7F3E5"/>
    <w:multiLevelType w:val="hybridMultilevel"/>
    <w:lvl w:ilvl="0">
      <w:lvlJc w:val="left"/>
      <w:lvlText w:val="[%1]"/>
      <w:numFmt w:val="upperLetter"/>
      <w:start w:val="25"/>
    </w:lvl>
  </w:abstractNum>
  <w:abstractNum w:abstractNumId="71">
    <w:nsid w:val="2A6DE806"/>
    <w:multiLevelType w:val="hybridMultilevel"/>
    <w:lvl w:ilvl="0">
      <w:lvlJc w:val="left"/>
      <w:lvlText w:val="[%1]"/>
      <w:numFmt w:val="upperLetter"/>
      <w:start w:val="25"/>
    </w:lvl>
  </w:abstractNum>
  <w:abstractNum w:abstractNumId="72">
    <w:nsid w:val="1816F8C4"/>
    <w:multiLevelType w:val="hybridMultilevel"/>
    <w:lvl w:ilvl="0">
      <w:lvlJc w:val="left"/>
      <w:lvlText w:val="[%1]"/>
      <w:numFmt w:val="upperLetter"/>
      <w:start w:val="25"/>
    </w:lvl>
  </w:abstractNum>
  <w:abstractNum w:abstractNumId="73">
    <w:nsid w:val="37DF2233"/>
    <w:multiLevelType w:val="hybridMultilevel"/>
    <w:lvl w:ilvl="0">
      <w:lvlJc w:val="left"/>
      <w:lvlText w:val="[%1]"/>
      <w:numFmt w:val="upperLetter"/>
      <w:start w:val="25"/>
    </w:lvl>
  </w:abstractNum>
  <w:abstractNum w:abstractNumId="74">
    <w:nsid w:val="7AB49DAF"/>
    <w:multiLevelType w:val="hybridMultilevel"/>
    <w:lvl w:ilvl="0">
      <w:lvlJc w:val="left"/>
      <w:lvlText w:val="[%1]"/>
      <w:numFmt w:val="upperLetter"/>
      <w:start w:val="25"/>
    </w:lvl>
  </w:abstractNum>
  <w:abstractNum w:abstractNumId="75">
    <w:nsid w:val="759F82CD"/>
    <w:multiLevelType w:val="hybridMultilevel"/>
    <w:lvl w:ilvl="0">
      <w:lvlJc w:val="left"/>
      <w:lvlText w:val="[%1]"/>
      <w:numFmt w:val="upperLetter"/>
      <w:start w:val="14"/>
    </w:lvl>
  </w:abstractNum>
  <w:abstractNum w:abstractNumId="76">
    <w:nsid w:val="61E74EA3"/>
    <w:multiLevelType w:val="hybridMultilevel"/>
    <w:lvl w:ilvl="0">
      <w:lvlJc w:val="left"/>
      <w:lvlText w:val="[%1]"/>
      <w:numFmt w:val="upperLetter"/>
      <w:start w:val="25"/>
    </w:lvl>
  </w:abstractNum>
  <w:abstractNum w:abstractNumId="77">
    <w:nsid w:val="597B4D84"/>
    <w:multiLevelType w:val="hybridMultilevel"/>
    <w:lvl w:ilvl="0">
      <w:lvlJc w:val="left"/>
      <w:lvlText w:val="[%1]"/>
      <w:numFmt w:val="upperLetter"/>
      <w:start w:val="25"/>
    </w:lvl>
  </w:abstractNum>
  <w:abstractNum w:abstractNumId="78">
    <w:nsid w:val="F819E7F"/>
    <w:multiLevelType w:val="hybridMultilevel"/>
    <w:lvl w:ilvl="0">
      <w:lvlJc w:val="left"/>
      <w:lvlText w:val="[%1]"/>
      <w:numFmt w:val="upperLetter"/>
      <w:start w:val="25"/>
    </w:lvl>
  </w:abstractNum>
  <w:abstractNum w:abstractNumId="79">
    <w:nsid w:val="57C7D42D"/>
    <w:multiLevelType w:val="hybridMultilevel"/>
    <w:lvl w:ilvl="0">
      <w:lvlJc w:val="left"/>
      <w:lvlText w:val="[%1]"/>
      <w:numFmt w:val="upperLetter"/>
      <w:start w:val="25"/>
    </w:lvl>
  </w:abstractNum>
  <w:abstractNum w:abstractNumId="80">
    <w:nsid w:val="312167AD"/>
    <w:multiLevelType w:val="hybridMultilevel"/>
    <w:lvl w:ilvl="0">
      <w:lvlJc w:val="left"/>
      <w:lvlText w:val="[%1]"/>
      <w:numFmt w:val="upperLetter"/>
      <w:start w:val="25"/>
    </w:lvl>
  </w:abstractNum>
  <w:abstractNum w:abstractNumId="81">
    <w:nsid w:val="631B64D4"/>
    <w:multiLevelType w:val="hybridMultilevel"/>
    <w:lvl w:ilvl="0">
      <w:lvlJc w:val="left"/>
      <w:lvlText w:val="[%1]"/>
      <w:numFmt w:val="upperLetter"/>
      <w:start w:val="25"/>
    </w:lvl>
  </w:abstractNum>
  <w:abstractNum w:abstractNumId="82">
    <w:nsid w:val="78B5E776"/>
    <w:multiLevelType w:val="hybridMultilevel"/>
    <w:lvl w:ilvl="0">
      <w:lvlJc w:val="left"/>
      <w:lvlText w:val="[%1]"/>
      <w:numFmt w:val="upperLetter"/>
      <w:start w:val="25"/>
    </w:lvl>
  </w:abstractNum>
  <w:abstractNum w:abstractNumId="83">
    <w:nsid w:val="75486E47"/>
    <w:multiLevelType w:val="hybridMultilevel"/>
    <w:lvl w:ilvl="0">
      <w:lvlJc w:val="left"/>
      <w:lvlText w:val="[%1]"/>
      <w:numFmt w:val="upperLetter"/>
      <w:start w:val="25"/>
    </w:lvl>
  </w:abstractNum>
  <w:abstractNum w:abstractNumId="84">
    <w:nsid w:val="6E534CDE"/>
    <w:multiLevelType w:val="hybridMultilevel"/>
    <w:lvl w:ilvl="0">
      <w:lvlJc w:val="left"/>
      <w:lvlText w:val="[%1]"/>
      <w:numFmt w:val="upperLetter"/>
      <w:start w:val="25"/>
    </w:lvl>
  </w:abstractNum>
  <w:abstractNum w:abstractNumId="85">
    <w:nsid w:val="1A0DDE32"/>
    <w:multiLevelType w:val="hybridMultilevel"/>
    <w:lvl w:ilvl="0">
      <w:lvlJc w:val="left"/>
      <w:lvlText w:val="[%1]"/>
      <w:numFmt w:val="upperLetter"/>
      <w:start w:val="25"/>
    </w:lvl>
  </w:abstractNum>
  <w:abstractNum w:abstractNumId="86">
    <w:nsid w:val="65968C1C"/>
    <w:multiLevelType w:val="hybridMultilevel"/>
    <w:lvl w:ilvl="0">
      <w:lvlJc w:val="left"/>
      <w:lvlText w:val="[%1]"/>
      <w:numFmt w:val="upperLetter"/>
      <w:start w:val="25"/>
    </w:lvl>
  </w:abstractNum>
  <w:abstractNum w:abstractNumId="87">
    <w:nsid w:val="46263DEC"/>
    <w:multiLevelType w:val="hybridMultilevel"/>
    <w:lvl w:ilvl="0">
      <w:lvlJc w:val="left"/>
      <w:lvlText w:val="[%1]"/>
      <w:numFmt w:val="upperLetter"/>
      <w:start w:val="25"/>
    </w:lvl>
  </w:abstractNum>
  <w:abstractNum w:abstractNumId="88">
    <w:nsid w:val="260D8C4A"/>
    <w:multiLevelType w:val="hybridMultilevel"/>
    <w:lvl w:ilvl="0">
      <w:lvlJc w:val="left"/>
      <w:lvlText w:val="[%1]"/>
      <w:numFmt w:val="upperLetter"/>
      <w:start w:val="25"/>
    </w:lvl>
  </w:abstractNum>
  <w:abstractNum w:abstractNumId="89">
    <w:nsid w:val="73D4D3C4"/>
    <w:multiLevelType w:val="hybridMultilevel"/>
    <w:lvl w:ilvl="0">
      <w:lvlJc w:val="left"/>
      <w:lvlText w:val="[%1]"/>
      <w:numFmt w:val="upperLetter"/>
      <w:start w:val="25"/>
    </w:lvl>
  </w:abstractNum>
  <w:abstractNum w:abstractNumId="90">
    <w:nsid w:val="746F2E30"/>
    <w:multiLevelType w:val="hybridMultilevel"/>
    <w:lvl w:ilvl="0">
      <w:lvlJc w:val="left"/>
      <w:lvlText w:val="[%1]"/>
      <w:numFmt w:val="upperLetter"/>
      <w:start w:val="25"/>
    </w:lvl>
  </w:abstractNum>
  <w:abstractNum w:abstractNumId="91">
    <w:nsid w:val="6FDE8AF6"/>
    <w:multiLevelType w:val="hybridMultilevel"/>
    <w:lvl w:ilvl="0">
      <w:lvlJc w:val="left"/>
      <w:lvlText w:val="[%1]"/>
      <w:numFmt w:val="upperLetter"/>
      <w:start w:val="14"/>
    </w:lvl>
  </w:abstractNum>
  <w:abstractNum w:abstractNumId="92">
    <w:nsid w:val="3FC32E20"/>
    <w:multiLevelType w:val="hybridMultilevel"/>
    <w:lvl w:ilvl="0">
      <w:lvlJc w:val="left"/>
      <w:lvlText w:val="[%1]"/>
      <w:numFmt w:val="upperLetter"/>
      <w:start w:val="14"/>
    </w:lvl>
  </w:abstractNum>
  <w:abstractNum w:abstractNumId="93">
    <w:nsid w:val="49C0E823"/>
    <w:multiLevelType w:val="hybridMultilevel"/>
    <w:lvl w:ilvl="0">
      <w:lvlJc w:val="left"/>
      <w:lvlText w:val="[%1]"/>
      <w:numFmt w:val="upperLetter"/>
      <w:start w:val="14"/>
    </w:lvl>
  </w:abstractNum>
  <w:abstractNum w:abstractNumId="94">
    <w:nsid w:val="14D53685"/>
    <w:multiLevelType w:val="hybridMultilevel"/>
    <w:lvl w:ilvl="0">
      <w:lvlJc w:val="left"/>
      <w:lvlText w:val="[%1]"/>
      <w:numFmt w:val="upperLetter"/>
      <w:start w:val="14"/>
    </w:lvl>
  </w:abstractNum>
  <w:abstractNum w:abstractNumId="95">
    <w:nsid w:val="230F856C"/>
    <w:multiLevelType w:val="hybridMultilevel"/>
    <w:lvl w:ilvl="0">
      <w:lvlJc w:val="left"/>
      <w:lvlText w:val="[%1]"/>
      <w:numFmt w:val="upperLetter"/>
      <w:start w:val="14"/>
    </w:lvl>
  </w:abstractNum>
  <w:abstractNum w:abstractNumId="96">
    <w:nsid w:val="6EAA85FB"/>
    <w:multiLevelType w:val="hybridMultilevel"/>
    <w:lvl w:ilvl="0">
      <w:lvlJc w:val="left"/>
      <w:lvlText w:val="[%1]"/>
      <w:numFmt w:val="upperLetter"/>
      <w:start w:val="14"/>
    </w:lvl>
  </w:abstractNum>
  <w:abstractNum w:abstractNumId="97">
    <w:nsid w:val="3F06ECB2"/>
    <w:multiLevelType w:val="hybridMultilevel"/>
    <w:lvl w:ilvl="0">
      <w:lvlJc w:val="left"/>
      <w:lvlText w:val="[%1]"/>
      <w:numFmt w:val="upperLetter"/>
      <w:start w:val="25"/>
    </w:lvl>
  </w:abstractNum>
  <w:abstractNum w:abstractNumId="98">
    <w:nsid w:val="3B594807"/>
    <w:multiLevelType w:val="hybridMultilevel"/>
    <w:lvl w:ilvl="0">
      <w:lvlJc w:val="left"/>
      <w:lvlText w:val="[%1]"/>
      <w:numFmt w:val="upperLetter"/>
      <w:start w:val="14"/>
    </w:lvl>
  </w:abstractNum>
  <w:abstractNum w:abstractNumId="99">
    <w:nsid w:val="6CAA2304"/>
    <w:multiLevelType w:val="hybridMultilevel"/>
    <w:lvl w:ilvl="0">
      <w:lvlJc w:val="left"/>
      <w:lvlText w:val="[%1]"/>
      <w:numFmt w:val="upperLetter"/>
      <w:start w:val="25"/>
    </w:lvl>
  </w:abstractNum>
  <w:abstractNum w:abstractNumId="100">
    <w:nsid w:val="3F7C2FF4"/>
    <w:multiLevelType w:val="hybridMultilevel"/>
    <w:lvl w:ilvl="0">
      <w:lvlJc w:val="left"/>
      <w:lvlText w:val="[%1]"/>
      <w:numFmt w:val="upperLetter"/>
      <w:start w:val="25"/>
    </w:lvl>
  </w:abstractNum>
  <w:abstractNum w:abstractNumId="101">
    <w:nsid w:val="25413BEC"/>
    <w:multiLevelType w:val="hybridMultilevel"/>
    <w:lvl w:ilvl="0">
      <w:lvlJc w:val="left"/>
      <w:lvlText w:val="[%1]"/>
      <w:numFmt w:val="upperLetter"/>
      <w:start w:val="14"/>
    </w:lvl>
  </w:abstractNum>
  <w:abstractNum w:abstractNumId="102">
    <w:nsid w:val="17180B0B"/>
    <w:multiLevelType w:val="hybridMultilevel"/>
    <w:lvl w:ilvl="0">
      <w:lvlJc w:val="left"/>
      <w:lvlText w:val="[%1]"/>
      <w:numFmt w:val="upperLetter"/>
      <w:start w:val="25"/>
    </w:lvl>
  </w:abstractNum>
  <w:abstractNum w:abstractNumId="103">
    <w:nsid w:val="579328B9"/>
    <w:multiLevelType w:val="hybridMultilevel"/>
    <w:lvl w:ilvl="0">
      <w:lvlJc w:val="left"/>
      <w:lvlText w:val="*"/>
      <w:numFmt w:val="bullet"/>
      <w:start w:val="1"/>
    </w:lvl>
  </w:abstractNum>
  <w:abstractNum w:abstractNumId="104">
    <w:nsid w:val="5D205E20"/>
    <w:multiLevelType w:val="hybridMultilevel"/>
    <w:lvl w:ilvl="0">
      <w:lvlJc w:val="left"/>
      <w:lvlText w:val="*"/>
      <w:numFmt w:val="bullet"/>
      <w:start w:val="1"/>
    </w:lvl>
  </w:abstractNum>
  <w:abstractNum w:abstractNumId="105">
    <w:nsid w:val="11CCA8BA"/>
    <w:multiLevelType w:val="hybridMultilevel"/>
    <w:lvl w:ilvl="0">
      <w:lvlJc w:val="left"/>
      <w:lvlText w:val="(%1)"/>
      <w:numFmt w:val="lowerLetter"/>
      <w:start w:val="1"/>
    </w:lvl>
  </w:abstractNum>
  <w:abstractNum w:abstractNumId="106">
    <w:nsid w:val="4D32AB86"/>
    <w:multiLevelType w:val="hybridMultilevel"/>
    <w:lvl w:ilvl="0">
      <w:lvlJc w:val="left"/>
      <w:lvlText w:val="1"/>
      <w:numFmt w:val="bullet"/>
      <w:start w:val="1"/>
    </w:lvl>
  </w:abstractNum>
  <w:abstractNum w:abstractNumId="107">
    <w:nsid w:val="3F07ACC3"/>
    <w:multiLevelType w:val="hybridMultilevel"/>
    <w:lvl w:ilvl="0">
      <w:lvlJc w:val="left"/>
      <w:lvlText w:val="%1."/>
      <w:numFmt w:val="decimal"/>
      <w:start w:val="1"/>
    </w:lvl>
  </w:abstractNum>
  <w:abstractNum w:abstractNumId="108">
    <w:nsid w:val="6B47F63E"/>
    <w:multiLevelType w:val="hybridMultilevel"/>
    <w:lvl w:ilvl="0">
      <w:lvlJc w:val="left"/>
      <w:lvlText w:val="(%1)"/>
      <w:numFmt w:val="lowerLetter"/>
      <w:start w:val="1"/>
    </w:lvl>
  </w:abstractNum>
  <w:abstractNum w:abstractNumId="109">
    <w:nsid w:val="5CB44A05"/>
    <w:multiLevelType w:val="hybridMultilevel"/>
    <w:lvl w:ilvl="0">
      <w:lvlJc w:val="left"/>
      <w:lvlText w:val="(%1)"/>
      <w:numFmt w:val="lowerLetter"/>
      <w:start w:val="4"/>
    </w:lvl>
  </w:abstractNum>
  <w:abstractNum w:abstractNumId="110">
    <w:nsid w:val="16CF80F1"/>
    <w:multiLevelType w:val="hybridMultilevel"/>
    <w:lvl w:ilvl="0">
      <w:lvlJc w:val="left"/>
      <w:lvlText w:val="(%1)"/>
      <w:numFmt w:val="lowerLetter"/>
      <w:start w:val="1"/>
    </w:lvl>
    <w:lvl w:ilvl="1">
      <w:lvlJc w:val="left"/>
      <w:lvlText w:val="(%2)"/>
      <w:numFmt w:val="lowerRoman"/>
      <w:start w:val="1"/>
    </w:lvl>
  </w:abstractNum>
  <w:abstractNum w:abstractNumId="111">
    <w:nsid w:val="1C695DEC"/>
    <w:multiLevelType w:val="hybridMultilevel"/>
    <w:lvl w:ilvl="0">
      <w:lvlJc w:val="left"/>
      <w:lvlText w:val="2"/>
      <w:numFmt w:val="bullet"/>
      <w:start w:val="1"/>
    </w:lvl>
  </w:abstractNum>
  <w:abstractNum w:abstractNumId="112">
    <w:nsid w:val="3FCFAED9"/>
    <w:multiLevelType w:val="hybridMultilevel"/>
    <w:lvl w:ilvl="0">
      <w:lvlJc w:val="left"/>
      <w:lvlText w:val="%1."/>
      <w:numFmt w:val="decimal"/>
      <w:start w:val="1"/>
    </w:lvl>
  </w:abstractNum>
  <w:abstractNum w:abstractNumId="113">
    <w:nsid w:val="F856867"/>
    <w:multiLevelType w:val="hybridMultilevel"/>
    <w:lvl w:ilvl="0">
      <w:lvlJc w:val="left"/>
      <w:lvlText w:val="%1."/>
      <w:numFmt w:val="decimal"/>
      <w:start w:val="1"/>
    </w:lvl>
    <w:lvl w:ilvl="1">
      <w:lvlJc w:val="left"/>
      <w:lvlText w:val="(%2)"/>
      <w:numFmt w:val="lowerLetter"/>
      <w:start w:val="1"/>
    </w:lvl>
  </w:abstractNum>
  <w:abstractNum w:abstractNumId="114">
    <w:nsid w:val="11B1CC33"/>
    <w:multiLevelType w:val="hybridMultilevel"/>
    <w:lvl w:ilvl="0">
      <w:lvlJc w:val="left"/>
      <w:lvlText w:val="%1."/>
      <w:numFmt w:val="decimal"/>
      <w:start w:val="2"/>
    </w:lvl>
  </w:abstractNum>
  <w:abstractNum w:abstractNumId="115">
    <w:nsid w:val="2E22FBB7"/>
    <w:multiLevelType w:val="hybridMultilevel"/>
    <w:lvl w:ilvl="0">
      <w:lvlJc w:val="left"/>
      <w:lvlText w:val="%1."/>
      <w:numFmt w:val="decimal"/>
      <w:start w:val="1"/>
    </w:lvl>
  </w:abstractNum>
  <w:abstractNum w:abstractNumId="116">
    <w:nsid w:val="29934699"/>
    <w:multiLevelType w:val="hybridMultilevel"/>
    <w:lvl w:ilvl="0">
      <w:lvlJc w:val="left"/>
      <w:lvlText w:val="%1."/>
      <w:numFmt w:val="decimal"/>
      <w:start w:val="1"/>
    </w:lvl>
  </w:abstractNum>
  <w:abstractNum w:abstractNumId="117">
    <w:nsid w:val="77485850"/>
    <w:multiLevelType w:val="hybridMultilevel"/>
    <w:lvl w:ilvl="0">
      <w:lvlJc w:val="left"/>
      <w:lvlText w:val="%1."/>
      <w:numFmt w:val="decimal"/>
      <w:start w:val="1"/>
    </w:lvl>
  </w:abstractNum>
  <w:abstractNum w:abstractNumId="118">
    <w:nsid w:val="744939A3"/>
    <w:multiLevelType w:val="hybridMultilevel"/>
    <w:lvl w:ilvl="0">
      <w:lvlJc w:val="left"/>
      <w:lvlText w:val="3"/>
      <w:numFmt w:val="bullet"/>
      <w:start w:val="1"/>
    </w:lvl>
  </w:abstractNum>
  <w:abstractNum w:abstractNumId="119">
    <w:nsid w:val="4FA0D2E3"/>
    <w:multiLevelType w:val="hybridMultilevel"/>
    <w:lvl w:ilvl="0">
      <w:lvlJc w:val="left"/>
      <w:lvlText w:val="%1."/>
      <w:numFmt w:val="decimal"/>
      <w:start w:val="2"/>
    </w:lvl>
  </w:abstractNum>
  <w:abstractNum w:abstractNumId="120">
    <w:nsid w:val="6B1D2C14"/>
    <w:multiLevelType w:val="hybridMultilevel"/>
    <w:lvl w:ilvl="0">
      <w:lvlJc w:val="left"/>
      <w:lvlText w:val="(%1)"/>
      <w:numFmt w:val="lowerLetter"/>
      <w:start w:val="1"/>
    </w:lvl>
  </w:abstractNum>
  <w:abstractNum w:abstractNumId="121">
    <w:nsid w:val="68B867D3"/>
    <w:multiLevelType w:val="hybridMultilevel"/>
    <w:lvl w:ilvl="0">
      <w:lvlJc w:val="left"/>
      <w:lvlText w:val="4"/>
      <w:numFmt w:val="bullet"/>
      <w:start w:val="1"/>
    </w:lvl>
  </w:abstractNum>
  <w:abstractNum w:abstractNumId="122">
    <w:nsid w:val="3F7F5DD9"/>
    <w:multiLevelType w:val="hybridMultilevel"/>
    <w:lvl w:ilvl="0">
      <w:lvlJc w:val="left"/>
      <w:lvlText w:val="%1."/>
      <w:numFmt w:val="decimal"/>
      <w:start w:val="1"/>
    </w:lvl>
    <w:lvl w:ilvl="1">
      <w:lvlJc w:val="left"/>
      <w:lvlText w:val="%2."/>
      <w:numFmt w:val="lowerLetter"/>
      <w:start w:val="7"/>
    </w:lvl>
  </w:abstractNum>
  <w:abstractNum w:abstractNumId="123">
    <w:nsid w:val="2AE05A34"/>
    <w:multiLevelType w:val="hybridMultilevel"/>
    <w:lvl w:ilvl="0">
      <w:lvlJc w:val="left"/>
      <w:lvlText w:val="%1."/>
      <w:numFmt w:val="decimal"/>
      <w:start w:val="1"/>
    </w:lvl>
  </w:abstractNum>
  <w:abstractNum w:abstractNumId="124">
    <w:nsid w:val="32794FF7"/>
    <w:multiLevelType w:val="hybridMultilevel"/>
    <w:lvl w:ilvl="0">
      <w:lvlJc w:val="left"/>
      <w:lvlText w:val="%1"/>
      <w:numFmt w:val="decimal"/>
      <w:start w:val="1"/>
    </w:lvl>
    <w:lvl w:ilvl="1">
      <w:lvlJc w:val="left"/>
      <w:lvlText w:val="%2."/>
      <w:numFmt w:val="decimal"/>
      <w:start w:val="2"/>
    </w:lvl>
  </w:abstractNum>
  <w:abstractNum w:abstractNumId="125">
    <w:nsid w:val="5454945E"/>
    <w:multiLevelType w:val="hybridMultilevel"/>
    <w:lvl w:ilvl="0">
      <w:lvlJc w:val="left"/>
      <w:lvlText w:val="%1."/>
      <w:numFmt w:val="decimal"/>
      <w:start w:val="2"/>
    </w:lvl>
    <w:lvl w:ilvl="1">
      <w:lvlJc w:val="left"/>
      <w:lvlText w:val="%2"/>
      <w:numFmt w:val="decimal"/>
      <w:start w:val="1"/>
    </w:lvl>
  </w:abstractNum>
  <w:abstractNum w:abstractNumId="126">
    <w:nsid w:val="4DEFDFA0"/>
    <w:multiLevelType w:val="hybridMultilevel"/>
    <w:lvl w:ilvl="0">
      <w:lvlJc w:val="left"/>
      <w:lvlText w:val="%1"/>
      <w:numFmt w:val="decimal"/>
      <w:start w:val="1"/>
    </w:lvl>
    <w:lvl w:ilvl="1">
      <w:lvlJc w:val="left"/>
      <w:lvlText w:val="%2."/>
      <w:numFmt w:val="lowerRoman"/>
      <w:start w:val="7"/>
    </w:lvl>
  </w:abstractNum>
  <w:abstractNum w:abstractNumId="127">
    <w:nsid w:val="2123D5F2"/>
    <w:multiLevelType w:val="hybridMultilevel"/>
    <w:lvl w:ilvl="0">
      <w:lvlJc w:val="left"/>
      <w:lvlText w:val="%1."/>
      <w:numFmt w:val="decimal"/>
      <w:start w:val="3"/>
    </w:lvl>
    <w:lvl w:ilvl="1">
      <w:lvlJc w:val="left"/>
      <w:lvlText w:val="%2"/>
      <w:numFmt w:val="lowerRoman"/>
      <w:start w:val="1"/>
    </w:lvl>
  </w:abstractNum>
  <w:abstractNum w:abstractNumId="128">
    <w:nsid w:val="135B8110"/>
    <w:multiLevelType w:val="hybridMultilevel"/>
    <w:lvl w:ilvl="0">
      <w:lvlJc w:val="left"/>
      <w:lvlText w:val="%1."/>
      <w:numFmt w:val="lowerLetter"/>
      <w:start w:val="8"/>
    </w:lvl>
  </w:abstractNum>
  <w:abstractNum w:abstractNumId="129">
    <w:nsid w:val="94927A8"/>
    <w:multiLevelType w:val="hybridMultilevel"/>
    <w:lvl w:ilvl="0">
      <w:lvlJc w:val="left"/>
      <w:lvlText w:val="%1."/>
      <w:numFmt w:val="decimal"/>
      <w:start w:val="4"/>
    </w:lvl>
    <w:lvl w:ilvl="1">
      <w:lvlJc w:val="left"/>
      <w:lvlText w:val="%2."/>
      <w:numFmt w:val="lowerLetter"/>
      <w:start w:val="1"/>
    </w:lvl>
  </w:abstractNum>
  <w:abstractNum w:abstractNumId="130">
    <w:nsid w:val="DCDF8F6"/>
    <w:multiLevelType w:val="hybridMultilevel"/>
    <w:lvl w:ilvl="0">
      <w:lvlJc w:val="left"/>
      <w:lvlText w:val="%1."/>
      <w:numFmt w:val="lowerLetter"/>
      <w:start w:val="4"/>
    </w:lvl>
  </w:abstractNum>
  <w:abstractNum w:abstractNumId="131">
    <w:nsid w:val="52D7B105"/>
    <w:multiLevelType w:val="hybridMultilevel"/>
    <w:lvl w:ilvl="0">
      <w:lvlJc w:val="left"/>
      <w:lvlText w:val="%1."/>
      <w:numFmt w:val="decimal"/>
      <w:start w:val="6"/>
    </w:lvl>
  </w:abstractNum>
  <w:abstractNum w:abstractNumId="132">
    <w:nsid w:val="2E8A6394"/>
    <w:multiLevelType w:val="hybridMultilevel"/>
    <w:lvl w:ilvl="0">
      <w:lvlJc w:val="left"/>
      <w:lvlText w:val="%1."/>
      <w:numFmt w:val="decimal"/>
      <w:start w:val="1"/>
    </w:lvl>
    <w:lvl w:ilvl="1">
      <w:lvlJc w:val="left"/>
      <w:lvlText w:val="%2"/>
      <w:numFmt w:val="lowerLetter"/>
      <w:start w:val="1"/>
    </w:lvl>
  </w:abstractNum>
  <w:abstractNum w:abstractNumId="133">
    <w:nsid w:val="24E60401"/>
    <w:multiLevelType w:val="hybridMultilevel"/>
    <w:lvl w:ilvl="0">
      <w:lvlJc w:val="left"/>
      <w:lvlText w:val="%1."/>
      <w:numFmt w:val="lowerLetter"/>
      <w:start w:val="2"/>
    </w:lvl>
  </w:abstractNum>
  <w:abstractNum w:abstractNumId="134">
    <w:nsid w:val="2A6AD9BE"/>
    <w:multiLevelType w:val="hybridMultilevel"/>
    <w:lvl w:ilvl="0">
      <w:lvlJc w:val="left"/>
      <w:lvlText w:val="%1."/>
      <w:numFmt w:val="lowerLetter"/>
      <w:start w:val="3"/>
    </w:lvl>
  </w:abstractNum>
  <w:abstractNum w:abstractNumId="135">
    <w:nsid w:val="BAAC1B4"/>
    <w:multiLevelType w:val="hybridMultilevel"/>
    <w:lvl w:ilvl="0">
      <w:lvlJc w:val="left"/>
      <w:lvlText w:val="%1."/>
      <w:numFmt w:val="decimal"/>
      <w:start w:val="8"/>
    </w:lvl>
  </w:abstractNum>
  <w:abstractNum w:abstractNumId="136">
    <w:nsid w:val="36B2ACBC"/>
    <w:multiLevelType w:val="hybridMultilevel"/>
    <w:lvl w:ilvl="0">
      <w:lvlJc w:val="left"/>
      <w:lvlText w:val="%1."/>
      <w:numFmt w:val="decimal"/>
      <w:start w:val="10"/>
    </w:lvl>
    <w:lvl w:ilvl="1">
      <w:lvlJc w:val="left"/>
      <w:lvlText w:val="•"/>
      <w:numFmt w:val="bullet"/>
      <w:start w:val="1"/>
    </w:lvl>
  </w:abstractNum>
  <w:abstractNum w:abstractNumId="137">
    <w:nsid w:val="779D8544"/>
    <w:multiLevelType w:val="hybridMultilevel"/>
    <w:lvl w:ilvl="0">
      <w:lvlJc w:val="left"/>
      <w:lvlText w:val="%1."/>
      <w:numFmt w:val="decimal"/>
      <w:start w:val="13"/>
    </w:lvl>
  </w:abstractNum>
  <w:abstractNum w:abstractNumId="138">
    <w:nsid w:val="4AB26E78"/>
    <w:multiLevelType w:val="hybridMultilevel"/>
    <w:lvl w:ilvl="0">
      <w:lvlJc w:val="left"/>
      <w:lvlText w:val="%1."/>
      <w:numFmt w:val="decimal"/>
      <w:start w:val="14"/>
    </w:lvl>
    <w:lvl w:ilvl="1">
      <w:lvlJc w:val="left"/>
      <w:lvlText w:val="%2"/>
      <w:numFmt w:val="lowerLetter"/>
      <w:start w:val="1"/>
    </w:lvl>
  </w:abstractNum>
  <w:abstractNum w:abstractNumId="139">
    <w:nsid w:val="21FAA2FA"/>
    <w:multiLevelType w:val="hybridMultilevel"/>
    <w:lvl w:ilvl="0">
      <w:lvlJc w:val="left"/>
      <w:lvlText w:val="%1."/>
      <w:numFmt w:val="decimal"/>
      <w:start w:val="15"/>
    </w:lvl>
  </w:abstractNum>
  <w:abstractNum w:abstractNumId="140">
    <w:nsid w:val="5451CF49"/>
    <w:multiLevelType w:val="hybridMultilevel"/>
    <w:lvl w:ilvl="0">
      <w:lvlJc w:val="left"/>
      <w:lvlText w:val="%1."/>
      <w:numFmt w:val="decimal"/>
      <w:start w:val="17"/>
    </w:lvl>
  </w:abstractNum>
  <w:abstractNum w:abstractNumId="141">
    <w:nsid w:val="6181EF69"/>
    <w:multiLevelType w:val="hybridMultilevel"/>
    <w:lvl w:ilvl="0">
      <w:lvlJc w:val="left"/>
      <w:lvlText w:val="%1."/>
      <w:numFmt w:val="decimal"/>
      <w:start w:val="1"/>
    </w:lvl>
    <w:lvl w:ilvl="1">
      <w:lvlJc w:val="left"/>
      <w:lvlText w:val="%2"/>
      <w:numFmt w:val="lowerLetter"/>
      <w:start w:val="1"/>
    </w:lvl>
  </w:abstractNum>
  <w:abstractNum w:abstractNumId="142">
    <w:nsid w:val="3E6400E6"/>
    <w:multiLevelType w:val="hybridMultilevel"/>
    <w:lvl w:ilvl="0">
      <w:lvlJc w:val="left"/>
      <w:lvlText w:val="%1."/>
      <w:numFmt w:val="lowerLetter"/>
      <w:start w:val="2"/>
    </w:lvl>
  </w:abstractNum>
  <w:abstractNum w:abstractNumId="143">
    <w:nsid w:val="14217E23"/>
    <w:multiLevelType w:val="hybridMultilevel"/>
    <w:lvl w:ilvl="0">
      <w:lvlJc w:val="left"/>
      <w:lvlText w:val="%1."/>
      <w:numFmt w:val="lowerLetter"/>
      <w:start w:val="3"/>
    </w:lvl>
  </w:abstractNum>
  <w:abstractNum w:abstractNumId="144">
    <w:nsid w:val="710757D0"/>
    <w:multiLevelType w:val="hybridMultilevel"/>
    <w:lvl w:ilvl="0">
      <w:lvlJc w:val="left"/>
      <w:lvlText w:val="%1."/>
      <w:numFmt w:val="decimal"/>
      <w:start w:val="8"/>
    </w:lvl>
  </w:abstractNum>
  <w:abstractNum w:abstractNumId="145">
    <w:nsid w:val="5015CD1A"/>
    <w:multiLevelType w:val="hybridMultilevel"/>
    <w:lvl w:ilvl="0">
      <w:lvlJc w:val="left"/>
      <w:lvlText w:val="%1."/>
      <w:numFmt w:val="decimal"/>
      <w:start w:val="9"/>
    </w:lvl>
  </w:abstractNum>
  <w:abstractNum w:abstractNumId="146">
    <w:nsid w:val="424479DA"/>
    <w:multiLevelType w:val="hybridMultilevel"/>
    <w:lvl w:ilvl="0">
      <w:lvlJc w:val="left"/>
      <w:lvlText w:val="%1."/>
      <w:numFmt w:val="decimal"/>
      <w:start w:val="10"/>
    </w:lvl>
    <w:lvl w:ilvl="1">
      <w:lvlJc w:val="left"/>
      <w:lvlText w:val="•"/>
      <w:numFmt w:val="bullet"/>
      <w:start w:val="1"/>
    </w:lvl>
  </w:abstractNum>
  <w:abstractNum w:abstractNumId="147">
    <w:nsid w:val="1A9A9E69"/>
    <w:multiLevelType w:val="hybridMultilevel"/>
    <w:lvl w:ilvl="0">
      <w:lvlJc w:val="left"/>
      <w:lvlText w:val="%1."/>
      <w:numFmt w:val="decimal"/>
      <w:start w:val="13"/>
    </w:lvl>
  </w:abstractNum>
  <w:abstractNum w:abstractNumId="148">
    <w:nsid w:val="475E256A"/>
    <w:multiLevelType w:val="hybridMultilevel"/>
    <w:lvl w:ilvl="0">
      <w:lvlJc w:val="left"/>
      <w:lvlText w:val="%1."/>
      <w:numFmt w:val="decimal"/>
      <w:start w:val="14"/>
    </w:lvl>
    <w:lvl w:ilvl="1">
      <w:lvlJc w:val="left"/>
      <w:lvlText w:val="%2"/>
      <w:numFmt w:val="lowerLetter"/>
      <w:start w:val="1"/>
    </w:lvl>
  </w:abstractNum>
  <w:abstractNum w:abstractNumId="149">
    <w:nsid w:val="368DB37E"/>
    <w:multiLevelType w:val="hybridMultilevel"/>
    <w:lvl w:ilvl="0">
      <w:lvlJc w:val="left"/>
      <w:lvlText w:val="%1."/>
      <w:numFmt w:val="decimal"/>
      <w:start w:val="15"/>
    </w:lvl>
  </w:abstractNum>
  <w:abstractNum w:abstractNumId="150">
    <w:nsid w:val="6A3B714C"/>
    <w:multiLevelType w:val="hybridMultilevel"/>
    <w:lvl w:ilvl="0">
      <w:lvlJc w:val="left"/>
      <w:lvlText w:val="%1."/>
      <w:numFmt w:val="decimal"/>
      <w:start w:val="18"/>
    </w:lvl>
  </w:abstractNum>
  <w:abstractNum w:abstractNumId="151">
    <w:nsid w:val="327B517E"/>
    <w:multiLevelType w:val="hybridMultilevel"/>
    <w:lvl w:ilvl="0">
      <w:lvlJc w:val="left"/>
      <w:lvlText w:val="%1."/>
      <w:numFmt w:val="decimal"/>
      <w:start w:val="1"/>
    </w:lvl>
  </w:abstractNum>
  <w:abstractNum w:abstractNumId="152">
    <w:nsid w:val="1F461B51"/>
    <w:multiLevelType w:val="hybridMultilevel"/>
    <w:lvl w:ilvl="0">
      <w:lvlJc w:val="left"/>
      <w:lvlText w:val="•"/>
      <w:numFmt w:val="bullet"/>
      <w:start w:val="1"/>
    </w:lvl>
  </w:abstractNum>
  <w:abstractNum w:abstractNumId="153">
    <w:nsid w:val="29BACF2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4">
    <w:nsid w:val="5D5BABB3"/>
    <w:multiLevelType w:val="hybridMultilevel"/>
    <w:lvl w:ilvl="0">
      <w:lvlJc w:val="left"/>
      <w:lvlText w:val="%1."/>
      <w:numFmt w:val="decimal"/>
      <w:start w:val="5"/>
    </w:lvl>
  </w:abstractNum>
  <w:abstractNum w:abstractNumId="155">
    <w:nsid w:val="51BF6B48"/>
    <w:multiLevelType w:val="hybridMultilevel"/>
    <w:lvl w:ilvl="0">
      <w:lvlJc w:val="left"/>
      <w:lvlText w:val="%1."/>
      <w:numFmt w:val="decimal"/>
      <w:start w:val="8"/>
    </w:lvl>
  </w:abstractNum>
  <w:abstractNum w:abstractNumId="156">
    <w:nsid w:val="7E0F6384"/>
    <w:multiLevelType w:val="hybridMultilevel"/>
    <w:lvl w:ilvl="0">
      <w:lvlJc w:val="left"/>
      <w:lvlText w:val="%1."/>
      <w:numFmt w:val="decimal"/>
      <w:start w:val="10"/>
    </w:lvl>
  </w:abstractNum>
  <w:abstractNum w:abstractNumId="157">
    <w:nsid w:val="2B4B8B53"/>
    <w:multiLevelType w:val="hybridMultilevel"/>
    <w:lvl w:ilvl="0">
      <w:lvlJc w:val="left"/>
      <w:lvlText w:val="%1."/>
      <w:numFmt w:val="decimal"/>
      <w:start w:val="14"/>
    </w:lvl>
    <w:lvl w:ilvl="1">
      <w:lvlJc w:val="left"/>
      <w:lvlText w:val="%2."/>
      <w:numFmt w:val="lowerLetter"/>
      <w:start w:val="1"/>
    </w:lvl>
  </w:abstractNum>
  <w:abstractNum w:abstractNumId="158">
    <w:nsid w:val="72E3413A"/>
    <w:multiLevelType w:val="hybridMultilevel"/>
    <w:lvl w:ilvl="0">
      <w:lvlJc w:val="left"/>
      <w:lvlText w:val="%1."/>
      <w:numFmt w:val="decimal"/>
      <w:start w:val="16"/>
    </w:lvl>
  </w:abstractNum>
  <w:abstractNum w:abstractNumId="159">
    <w:nsid w:val="116AE494"/>
    <w:multiLevelType w:val="hybridMultilevel"/>
    <w:lvl w:ilvl="0">
      <w:lvlJc w:val="left"/>
      <w:lvlText w:val="%1."/>
      <w:numFmt w:val="decimal"/>
      <w:start w:val="18"/>
    </w:lvl>
    <w:lvl w:ilvl="1">
      <w:lvlJc w:val="left"/>
      <w:lvlText w:val="(%2)"/>
      <w:numFmt w:val="decimal"/>
      <w:start w:val="30"/>
    </w:lvl>
  </w:abstractNum>
  <w:abstractNum w:abstractNumId="160">
    <w:nsid w:val="3494B2FB"/>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61">
    <w:nsid w:val="B13A31"/>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162">
    <w:nsid w:val="64429599"/>
    <w:multiLevelType w:val="hybridMultilevel"/>
    <w:lvl w:ilvl="0">
      <w:lvlJc w:val="left"/>
      <w:lvlText w:val="%1."/>
      <w:numFmt w:val="decimal"/>
      <w:start w:val="24"/>
    </w:lvl>
  </w:abstractNum>
  <w:abstractNum w:abstractNumId="163">
    <w:nsid w:val="631F1690"/>
    <w:multiLevelType w:val="hybridMultilevel"/>
    <w:lvl w:ilvl="0">
      <w:lvlJc w:val="left"/>
      <w:lvlText w:val="%1."/>
      <w:numFmt w:val="decimal"/>
      <w:start w:val="25"/>
    </w:lvl>
    <w:lvl w:ilvl="1">
      <w:lvlJc w:val="left"/>
      <w:lvlText w:val="%2."/>
      <w:numFmt w:val="lowerLetter"/>
      <w:start w:val="1"/>
    </w:lvl>
  </w:abstractNum>
  <w:abstractNum w:abstractNumId="164">
    <w:nsid w:val="25973E32"/>
    <w:multiLevelType w:val="hybridMultilevel"/>
    <w:lvl w:ilvl="0">
      <w:lvlJc w:val="left"/>
      <w:lvlText w:val="%1"/>
      <w:numFmt w:val="decimal"/>
      <w:start w:val="1"/>
    </w:lvl>
    <w:lvl w:ilvl="1">
      <w:lvlJc w:val="left"/>
      <w:lvlText w:val="%2."/>
      <w:numFmt w:val="lowerLetter"/>
      <w:start w:val="9"/>
    </w:lvl>
  </w:abstractNum>
  <w:abstractNum w:abstractNumId="165">
    <w:nsid w:val="EAD6F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66">
    <w:nsid w:val="6EC9D84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67">
    <w:nsid w:val="5C49EAEE"/>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168">
    <w:nsid w:val="64AF49B"/>
    <w:multiLevelType w:val="hybridMultilevel"/>
    <w:lvl w:ilvl="0">
      <w:lvlJc w:val="left"/>
      <w:lvlText w:val="%1."/>
      <w:numFmt w:val="decimal"/>
      <w:start w:val="31"/>
    </w:lvl>
    <w:lvl w:ilvl="1">
      <w:lvlJc w:val="left"/>
      <w:lvlText w:val="%2."/>
      <w:numFmt w:val="lowerLetter"/>
      <w:start w:val="1"/>
    </w:lvl>
  </w:abstractNum>
  <w:abstractNum w:abstractNumId="169">
    <w:nsid w:val="397C46BC"/>
    <w:multiLevelType w:val="hybridMultilevel"/>
    <w:lvl w:ilvl="0">
      <w:lvlJc w:val="left"/>
      <w:lvlText w:val="%1."/>
      <w:numFmt w:val="lowerLetter"/>
      <w:start w:val="2"/>
    </w:lvl>
  </w:abstractNum>
  <w:abstractNum w:abstractNumId="170">
    <w:nsid w:val="7E448DE9"/>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171">
    <w:nsid w:val="5A9CC3E5"/>
    <w:multiLevelType w:val="hybridMultilevel"/>
    <w:lvl w:ilvl="0">
      <w:lvlJc w:val="left"/>
      <w:lvlText w:val="%1."/>
      <w:numFmt w:val="decimal"/>
      <w:start w:val="36"/>
    </w:lvl>
  </w:abstractNum>
  <w:abstractNum w:abstractNumId="172">
    <w:nsid w:val="1AFE3625"/>
    <w:multiLevelType w:val="hybridMultilevel"/>
    <w:lvl w:ilvl="0">
      <w:lvlJc w:val="left"/>
      <w:lvlText w:val="%1."/>
      <w:numFmt w:val="decimal"/>
      <w:start w:val="38"/>
    </w:lvl>
    <w:lvl w:ilvl="1">
      <w:lvlJc w:val="left"/>
      <w:lvlText w:val="%2."/>
      <w:numFmt w:val="lowerLetter"/>
      <w:start w:val="1"/>
    </w:lvl>
  </w:abstractNum>
  <w:abstractNum w:abstractNumId="173">
    <w:nsid w:val="3CA88ECF"/>
    <w:multiLevelType w:val="hybridMultilevel"/>
    <w:lvl w:ilvl="0">
      <w:lvlJc w:val="left"/>
      <w:lvlText w:val="%1."/>
      <w:numFmt w:val="decimal"/>
      <w:start w:val="40"/>
    </w:lvl>
  </w:abstractNum>
  <w:abstractNum w:abstractNumId="174">
    <w:nsid w:val="6EBE4208"/>
    <w:multiLevelType w:val="hybridMultilevel"/>
    <w:lvl w:ilvl="0">
      <w:lvlJc w:val="left"/>
      <w:lvlText w:val="%1."/>
      <w:numFmt w:val="decimal"/>
      <w:start w:val="44"/>
    </w:lvl>
  </w:abstractNum>
  <w:abstractNum w:abstractNumId="175">
    <w:nsid w:val="C058DF5"/>
    <w:multiLevelType w:val="hybridMultilevel"/>
    <w:lvl w:ilvl="0">
      <w:lvlJc w:val="left"/>
      <w:lvlText w:val="%1."/>
      <w:numFmt w:val="decimal"/>
      <w:start w:val="45"/>
    </w:lvl>
    <w:lvl w:ilvl="1">
      <w:lvlJc w:val="left"/>
      <w:lvlText w:val="%2."/>
      <w:numFmt w:val="lowerLetter"/>
      <w:start w:val="1"/>
    </w:lvl>
  </w:abstractNum>
  <w:abstractNum w:abstractNumId="176">
    <w:nsid w:val="CBE5BE9"/>
    <w:multiLevelType w:val="hybridMultilevel"/>
    <w:lvl w:ilvl="0">
      <w:lvlJc w:val="left"/>
      <w:lvlText w:val="%1."/>
      <w:numFmt w:val="decimal"/>
      <w:start w:val="46"/>
    </w:lvl>
    <w:lvl w:ilvl="1">
      <w:lvlJc w:val="left"/>
      <w:lvlText w:val="%2."/>
      <w:numFmt w:val="lowerLetter"/>
      <w:start w:val="1"/>
    </w:lvl>
  </w:abstractNum>
  <w:abstractNum w:abstractNumId="177">
    <w:nsid w:val="3102BBE2"/>
    <w:multiLevelType w:val="hybridMultilevel"/>
    <w:lvl w:ilvl="0">
      <w:lvlJc w:val="left"/>
      <w:lvlText w:val="%1."/>
      <w:numFmt w:val="decimal"/>
      <w:start w:val="47"/>
    </w:lvl>
  </w:abstractNum>
  <w:abstractNum w:abstractNumId="178">
    <w:nsid w:val="26A02C5E"/>
    <w:multiLevelType w:val="hybridMultilevel"/>
    <w:lvl w:ilvl="0">
      <w:lvlJc w:val="left"/>
      <w:lvlText w:val="%1."/>
      <w:numFmt w:val="decimal"/>
      <w:start w:val="49"/>
    </w:lvl>
  </w:abstractNum>
  <w:abstractNum w:abstractNumId="179">
    <w:nsid w:val="541C8153"/>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abstractNum>
  <w:abstractNum w:abstractNumId="180">
    <w:nsid w:val="67906F60"/>
    <w:multiLevelType w:val="hybridMultilevel"/>
    <w:lvl w:ilvl="0">
      <w:lvlJc w:val="left"/>
      <w:lvlText w:val="1"/>
      <w:numFmt w:val="bullet"/>
      <w:start w:val="1"/>
    </w:lvl>
  </w:abstractNum>
  <w:abstractNum w:abstractNumId="181">
    <w:nsid w:val="10DB9DAA"/>
    <w:multiLevelType w:val="hybridMultilevel"/>
    <w:lvl w:ilvl="0">
      <w:lvlJc w:val="left"/>
      <w:lvlText w:val="2"/>
      <w:numFmt w:val="bullet"/>
      <w:start w:val="1"/>
    </w:lvl>
    <w:lvl w:ilvl="1">
      <w:lvlJc w:val="left"/>
      <w:lvlText w:val="%2."/>
      <w:numFmt w:val="lowerLetter"/>
      <w:start w:val="1"/>
    </w:lvl>
  </w:abstractNum>
  <w:abstractNum w:abstractNumId="182">
    <w:nsid w:val="697D2D2"/>
    <w:multiLevelType w:val="hybridMultilevel"/>
    <w:lvl w:ilvl="0">
      <w:lvlJc w:val="left"/>
      <w:lvlText w:val="3"/>
      <w:numFmt w:val="bullet"/>
      <w:start w:val="1"/>
    </w:lvl>
  </w:abstractNum>
  <w:abstractNum w:abstractNumId="183">
    <w:nsid w:val="6D68AB2"/>
    <w:multiLevelType w:val="hybridMultilevel"/>
    <w:lvl w:ilvl="0">
      <w:lvlJc w:val="left"/>
      <w:lvlText w:val="4"/>
      <w:numFmt w:val="bullet"/>
      <w:start w:val="1"/>
    </w:lvl>
  </w:abstractNum>
  <w:abstractNum w:abstractNumId="184">
    <w:nsid w:val="3A966CD0"/>
    <w:multiLevelType w:val="hybridMultilevel"/>
    <w:lvl w:ilvl="0">
      <w:lvlJc w:val="left"/>
      <w:lvlText w:val="5"/>
      <w:numFmt w:val="bullet"/>
      <w:start w:val="1"/>
    </w:lvl>
  </w:abstractNum>
  <w:abstractNum w:abstractNumId="185">
    <w:nsid w:val="63F37E85"/>
    <w:multiLevelType w:val="hybridMultilevel"/>
    <w:lvl w:ilvl="0">
      <w:lvlJc w:val="left"/>
      <w:lvlText w:val="6"/>
      <w:numFmt w:val="bullet"/>
      <w:start w:val="1"/>
    </w:lvl>
  </w:abstractNum>
  <w:abstractNum w:abstractNumId="186">
    <w:nsid w:val="5895F5FA"/>
    <w:multiLevelType w:val="hybridMultilevel"/>
    <w:lvl w:ilvl="0">
      <w:lvlJc w:val="left"/>
      <w:lvlText w:val="7"/>
      <w:numFmt w:val="bullet"/>
      <w:start w:val="1"/>
    </w:lvl>
  </w:abstractNum>
  <w:abstractNum w:abstractNumId="187">
    <w:nsid w:val="38A5D054"/>
    <w:multiLevelType w:val="hybridMultilevel"/>
    <w:lvl w:ilvl="0">
      <w:lvlJc w:val="left"/>
      <w:lvlText w:val="8"/>
      <w:numFmt w:val="bullet"/>
      <w:start w:val="1"/>
    </w:lvl>
  </w:abstractNum>
  <w:abstractNum w:abstractNumId="188">
    <w:nsid w:val="F3F09D8"/>
    <w:multiLevelType w:val="hybridMultilevel"/>
    <w:lvl w:ilvl="0">
      <w:lvlJc w:val="left"/>
      <w:lvlText w:val="(%1)"/>
      <w:numFmt w:val="lowerRoman"/>
      <w:start w:val="1"/>
    </w:lvl>
  </w:abstractNum>
  <w:abstractNum w:abstractNumId="189">
    <w:nsid w:val="4B793735"/>
    <w:multiLevelType w:val="hybridMultilevel"/>
    <w:lvl w:ilvl="0">
      <w:lvlJc w:val="left"/>
      <w:lvlText w:val="%1"/>
      <w:numFmt w:val="decimal"/>
      <w:start w:val="10"/>
    </w:lvl>
  </w:abstractNum>
  <w:abstractNum w:abstractNumId="190">
    <w:nsid w:val="4A10B4E8"/>
    <w:multiLevelType w:val="hybridMultilevel"/>
    <w:lvl w:ilvl="0">
      <w:lvlJc w:val="left"/>
      <w:lvlText w:val="%1"/>
      <w:numFmt w:val="decimal"/>
      <w:start w:val="12"/>
    </w:lvl>
    <w:lvl w:ilvl="1">
      <w:lvlJc w:val="left"/>
      <w:lvlText w:val="•"/>
      <w:numFmt w:val="bullet"/>
      <w:start w:val="1"/>
    </w:lvl>
  </w:abstractNum>
  <w:abstractNum w:abstractNumId="191">
    <w:nsid w:val="43D3BCD4"/>
    <w:multiLevelType w:val="hybridMultilevel"/>
    <w:lvl w:ilvl="0">
      <w:lvlJc w:val="left"/>
      <w:lvlText w:val="%1"/>
      <w:numFmt w:val="decimal"/>
      <w:start w:val="16"/>
    </w:lvl>
  </w:abstractNum>
  <w:abstractNum w:abstractNumId="192">
    <w:nsid w:val="4C2A7166"/>
    <w:multiLevelType w:val="hybridMultilevel"/>
    <w:lvl w:ilvl="0">
      <w:lvlJc w:val="left"/>
      <w:lvlText w:val="%1"/>
      <w:numFmt w:val="decimal"/>
      <w:start w:val="23"/>
    </w:lvl>
    <w:lvl w:ilvl="1">
      <w:lvlJc w:val="left"/>
      <w:lvlText w:val="•"/>
      <w:numFmt w:val="bullet"/>
      <w:start w:val="1"/>
    </w:lvl>
  </w:abstractNum>
  <w:abstractNum w:abstractNumId="193">
    <w:nsid w:val="2E534A82"/>
    <w:multiLevelType w:val="hybridMultilevel"/>
    <w:lvl w:ilvl="0">
      <w:lvlJc w:val="left"/>
      <w:lvlText w:val="•"/>
      <w:numFmt w:val="bullet"/>
      <w:start w:val="1"/>
    </w:lvl>
  </w:abstractNum>
  <w:abstractNum w:abstractNumId="194">
    <w:nsid w:val="26F2D364"/>
    <w:multiLevelType w:val="hybridMultilevel"/>
    <w:lvl w:ilvl="0">
      <w:lvlJc w:val="left"/>
      <w:lvlText w:val="%1"/>
      <w:numFmt w:val="decimal"/>
      <w:start w:val="26"/>
    </w:lvl>
  </w:abstractNum>
  <w:abstractNum w:abstractNumId="195">
    <w:nsid w:val="71C1AF98"/>
    <w:multiLevelType w:val="hybridMultilevel"/>
    <w:lvl w:ilvl="0">
      <w:lvlJc w:val="left"/>
      <w:lvlText w:val="1"/>
      <w:numFmt w:val="bullet"/>
      <w:start w:val="1"/>
    </w:lvl>
  </w:abstractNum>
  <w:abstractNum w:abstractNumId="196">
    <w:nsid w:val="3D00B9D9"/>
    <w:multiLevelType w:val="hybridMultilevel"/>
    <w:lvl w:ilvl="0">
      <w:lvlJc w:val="left"/>
      <w:lvlText w:val="2"/>
      <w:numFmt w:val="bullet"/>
      <w:start w:val="1"/>
    </w:lvl>
    <w:lvl w:ilvl="1">
      <w:lvlJc w:val="left"/>
      <w:lvlText w:val="%2."/>
      <w:numFmt w:val="lowerLetter"/>
      <w:start w:val="1"/>
    </w:lvl>
  </w:abstractNum>
  <w:abstractNum w:abstractNumId="197">
    <w:nsid w:val="15BCABA8"/>
    <w:multiLevelType w:val="hybridMultilevel"/>
    <w:lvl w:ilvl="0">
      <w:lvlJc w:val="left"/>
      <w:lvlText w:val="3"/>
      <w:numFmt w:val="bullet"/>
      <w:start w:val="1"/>
    </w:lvl>
    <w:lvl w:ilvl="1">
      <w:lvlJc w:val="left"/>
      <w:lvlText w:val="•"/>
      <w:numFmt w:val="bullet"/>
      <w:start w:val="1"/>
    </w:lvl>
  </w:abstractNum>
  <w:abstractNum w:abstractNumId="198">
    <w:nsid w:val="4E0B9A87"/>
    <w:multiLevelType w:val="hybridMultilevel"/>
    <w:lvl w:ilvl="0">
      <w:lvlJc w:val="left"/>
      <w:lvlText w:val="4"/>
      <w:numFmt w:val="bullet"/>
      <w:start w:val="1"/>
    </w:lvl>
  </w:abstractNum>
  <w:abstractNum w:abstractNumId="199">
    <w:nsid w:val="434BAE75"/>
    <w:multiLevelType w:val="hybridMultilevel"/>
    <w:lvl w:ilvl="0">
      <w:lvlJc w:val="left"/>
      <w:lvlText w:val="%1"/>
      <w:numFmt w:val="decimal"/>
      <w:start w:val="1"/>
    </w:lvl>
    <w:lvl w:ilvl="1">
      <w:lvlJc w:val="left"/>
      <w:lvlText w:val="%2."/>
      <w:numFmt w:val="upperLetter"/>
      <w:start w:val="35"/>
    </w:lvl>
    <w:lvl w:ilvl="2">
      <w:lvlJc w:val="left"/>
      <w:lvlText w:val="%3"/>
      <w:numFmt w:val="lowerLetter"/>
      <w:start w:val="1"/>
    </w:lvl>
  </w:abstractNum>
  <w:abstractNum w:abstractNumId="200">
    <w:nsid w:val="4F38F265"/>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201">
    <w:nsid w:val="4C502870"/>
    <w:multiLevelType w:val="hybridMultilevel"/>
    <w:lvl w:ilvl="0">
      <w:lvlJc w:val="left"/>
      <w:lvlText w:val="%1"/>
      <w:numFmt w:val="decimal"/>
      <w:start w:val="1"/>
    </w:lvl>
    <w:lvl w:ilvl="1">
      <w:lvlJc w:val="left"/>
      <w:lvlText w:val="%2."/>
      <w:numFmt w:val="lowerLetter"/>
      <w:start w:val="2"/>
    </w:lvl>
  </w:abstractNum>
  <w:abstractNum w:abstractNumId="202">
    <w:nsid w:val="1DE8725A"/>
    <w:multiLevelType w:val="hybridMultilevel"/>
    <w:lvl w:ilvl="0">
      <w:lvlJc w:val="left"/>
      <w:lvlText w:val="%1."/>
      <w:numFmt w:val="decimal"/>
      <w:start w:val="3"/>
    </w:lvl>
    <w:lvl w:ilvl="1">
      <w:lvlJc w:val="left"/>
      <w:lvlText w:val="%2"/>
      <w:numFmt w:val="lowerLetter"/>
      <w:start w:val="1"/>
    </w:lvl>
  </w:abstractNum>
  <w:abstractNum w:abstractNumId="203">
    <w:nsid w:val="6A37288A"/>
    <w:multiLevelType w:val="hybridMultilevel"/>
    <w:lvl w:ilvl="0">
      <w:lvlJc w:val="left"/>
      <w:lvlText w:val="%1."/>
      <w:numFmt w:val="lowerLetter"/>
      <w:start w:val="1"/>
    </w:lvl>
  </w:abstractNum>
  <w:abstractNum w:abstractNumId="204">
    <w:nsid w:val="8F8B73F"/>
    <w:multiLevelType w:val="hybridMultilevel"/>
    <w:lvl w:ilvl="0">
      <w:lvlJc w:val="left"/>
      <w:lvlText w:val="%1."/>
      <w:numFmt w:val="lowerLetter"/>
      <w:start w:val="5"/>
    </w:lvl>
  </w:abstractNum>
  <w:abstractNum w:abstractNumId="205">
    <w:nsid w:val="CA6B462"/>
    <w:multiLevelType w:val="hybridMultilevel"/>
    <w:lvl w:ilvl="0">
      <w:lvlJc w:val="left"/>
      <w:lvlText w:val="%1"/>
      <w:numFmt w:val="decimal"/>
      <w:start w:val="1"/>
    </w:lvl>
    <w:lvl w:ilvl="1">
      <w:lvlJc w:val="left"/>
      <w:lvlText w:val="%2."/>
      <w:numFmt w:val="lowerLetter"/>
      <w:start w:val="13"/>
    </w:lvl>
  </w:abstractNum>
  <w:abstractNum w:abstractNumId="206">
    <w:nsid w:val="763CB680"/>
    <w:multiLevelType w:val="hybridMultilevel"/>
    <w:lvl w:ilvl="0">
      <w:lvlJc w:val="left"/>
      <w:lvlText w:val="%1."/>
      <w:numFmt w:val="decimal"/>
      <w:start w:val="4"/>
    </w:lvl>
    <w:lvl w:ilvl="1">
      <w:lvlJc w:val="left"/>
      <w:lvlText w:val="%2."/>
      <w:numFmt w:val="lowerLetter"/>
      <w:start w:val="1"/>
    </w:lvl>
  </w:abstractNum>
  <w:abstractNum w:abstractNumId="207">
    <w:nsid w:val="15B71329"/>
    <w:multiLevelType w:val="hybridMultilevel"/>
    <w:lvl w:ilvl="0">
      <w:lvlJc w:val="left"/>
      <w:lvlText w:val="*"/>
      <w:numFmt w:val="bullet"/>
      <w:start w:val="1"/>
    </w:lvl>
  </w:abstractNum>
  <w:abstractNum w:abstractNumId="208">
    <w:nsid w:val="3DA97044"/>
    <w:multiLevelType w:val="hybridMultilevel"/>
    <w:lvl w:ilvl="0">
      <w:lvlJc w:val="left"/>
      <w:lvlText w:val="%1."/>
      <w:numFmt w:val="decimal"/>
      <w:start w:val="1"/>
    </w:lvl>
    <w:lvl w:ilvl="1">
      <w:lvlJc w:val="left"/>
      <w:lvlText w:val="(%2)"/>
      <w:numFmt w:val="lowerLetter"/>
      <w:start w:val="1"/>
    </w:lvl>
  </w:abstractNum>
  <w:abstractNum w:abstractNumId="209">
    <w:nsid w:val="1CDCE2DE"/>
    <w:multiLevelType w:val="hybridMultilevel"/>
    <w:lvl w:ilvl="0">
      <w:lvlJc w:val="left"/>
      <w:lvlText w:val="%1."/>
      <w:numFmt w:val="decimal"/>
      <w:start w:val="1"/>
    </w:lvl>
    <w:lvl w:ilvl="1">
      <w:lvlJc w:val="left"/>
      <w:lvlText w:val="(%2)"/>
      <w:numFmt w:val="lowerLetter"/>
      <w:start w:val="1"/>
    </w:lvl>
  </w:abstractNum>
  <w:abstractNum w:abstractNumId="210">
    <w:nsid w:val="69D3947C"/>
    <w:multiLevelType w:val="hybridMultilevel"/>
    <w:lvl w:ilvl="0">
      <w:lvlJc w:val="left"/>
      <w:lvlText w:val="(%1)"/>
      <w:numFmt w:val="decimal"/>
      <w:start w:val="1"/>
    </w:lvl>
  </w:abstractNum>
  <w:abstractNum w:abstractNumId="211">
    <w:nsid w:val="2539DFA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jpe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96" Type="http://schemas.openxmlformats.org/officeDocument/2006/relationships/hyperlink" Target="http://www.sec.gov/Archives/edgar/data/1062579/000095012309001258/y74186exv99w1.htm" TargetMode="External"/><Relationship Id="rId97" Type="http://schemas.openxmlformats.org/officeDocument/2006/relationships/hyperlink" Target="http://www.sec.gov/Archives/edgar/data/1062579/000095012310111454/y86844exv1w2.htm" TargetMode="External"/><Relationship Id="rId98" Type="http://schemas.openxmlformats.org/officeDocument/2006/relationships/hyperlink" Target="http://www.sec.gov/Archives/edgar/data/1062579/000119312517366393/d419646dex4b6.htm" TargetMode="External"/><Relationship Id="rId99" Type="http://schemas.openxmlformats.org/officeDocument/2006/relationships/hyperlink" Target="http://www.sec.gov/Archives/edgar/data/1062579/000119312518346169/d596048dex4a2.htm" TargetMode="External"/><Relationship Id="rId100" Type="http://schemas.openxmlformats.org/officeDocument/2006/relationships/hyperlink" Target="http://www.sec.gov/Archives/edgar/data/1062579/000119312518040404/d532355dex991.htm" TargetMode="External"/><Relationship Id="rId101" Type="http://schemas.openxmlformats.org/officeDocument/2006/relationships/hyperlink" Target="http://www.sec.gov/Archives/edgar/data/1062579/000119312517366393/d419646dex4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2019-12-16T22:41:11Z</dcterms:created>
  <dcterms:modified xsi:type="dcterms:W3CDTF">2019-12-16T22:41:11Z</dcterms:modified>
</cp:coreProperties>
</file>