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PROSPECTUS SUPPLEMENT NO. 11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 Prospectus dated September 25, 2001)</w:t>
      </w:r>
    </w:p>
    <w:p>
      <w:pPr>
        <w:spacing w:after="0" w:line="20" w:lineRule="exact"/>
        <w:rPr>
          <w:sz w:val="24"/>
          <w:szCs w:val="24"/>
          <w:color w:val="auto"/>
        </w:rPr>
      </w:pPr>
      <w:r>
        <w:rPr>
          <w:sz w:val="24"/>
          <w:szCs w:val="24"/>
          <w:color w:val="auto"/>
        </w:rPr>
        <w:br w:type="column"/>
      </w:r>
    </w:p>
    <w:p>
      <w:pPr>
        <w:ind w:right="1779" w:firstLine="421"/>
        <w:spacing w:after="0" w:line="290" w:lineRule="auto"/>
        <w:rPr>
          <w:sz w:val="20"/>
          <w:szCs w:val="20"/>
          <w:color w:val="auto"/>
        </w:rPr>
      </w:pPr>
      <w:r>
        <w:rPr>
          <w:rFonts w:ascii="Courier New" w:cs="Courier New" w:eastAsia="Courier New" w:hAnsi="Courier New"/>
          <w:sz w:val="16"/>
          <w:szCs w:val="16"/>
          <w:color w:val="auto"/>
        </w:rPr>
        <w:t>FILED PURSUANT TO RULE 424(B)(3) Registration Statement No. 333-67572</w:t>
      </w:r>
    </w:p>
    <w:p>
      <w:pPr>
        <w:spacing w:after="0" w:line="164" w:lineRule="exact"/>
        <w:rPr>
          <w:sz w:val="24"/>
          <w:szCs w:val="24"/>
          <w:color w:val="auto"/>
        </w:rPr>
      </w:pPr>
    </w:p>
    <w:p>
      <w:pPr>
        <w:sectPr>
          <w:pgSz w:w="11900" w:h="16838" w:orient="portrait"/>
          <w:cols w:equalWidth="0" w:num="2">
            <w:col w:w="4220" w:space="420"/>
            <w:col w:w="5579"/>
          </w:cols>
          <w:pgMar w:left="240" w:top="649" w:right="1440" w:bottom="1440" w:gutter="0" w:footer="0" w:header="0"/>
        </w:sect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$500,000,000</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2% Convertible Notes due June 1, 2008</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and</w:t>
      </w:r>
    </w:p>
    <w:p>
      <w:pPr>
        <w:jc w:val="center"/>
        <w:ind w:right="1779"/>
        <w:spacing w:after="0" w:line="238" w:lineRule="auto"/>
        <w:rPr>
          <w:sz w:val="20"/>
          <w:szCs w:val="20"/>
          <w:color w:val="auto"/>
        </w:rPr>
      </w:pPr>
      <w:r>
        <w:rPr>
          <w:rFonts w:ascii="Courier New" w:cs="Courier New" w:eastAsia="Courier New" w:hAnsi="Courier New"/>
          <w:sz w:val="18"/>
          <w:szCs w:val="18"/>
          <w:color w:val="auto"/>
        </w:rPr>
        <w:t>5,429,350 Ordinary Shares Issuable</w:t>
      </w:r>
    </w:p>
    <w:p>
      <w:pPr>
        <w:jc w:val="center"/>
        <w:ind w:right="1779"/>
        <w:spacing w:after="0"/>
        <w:rPr>
          <w:sz w:val="20"/>
          <w:szCs w:val="20"/>
          <w:color w:val="auto"/>
        </w:rPr>
      </w:pPr>
      <w:r>
        <w:rPr>
          <w:rFonts w:ascii="Courier New" w:cs="Courier New" w:eastAsia="Courier New" w:hAnsi="Courier New"/>
          <w:sz w:val="18"/>
          <w:szCs w:val="18"/>
          <w:color w:val="auto"/>
        </w:rPr>
        <w:t>Upon Conversion of the Notes</w:t>
      </w:r>
    </w:p>
    <w:p>
      <w:pPr>
        <w:sectPr>
          <w:pgSz w:w="11900" w:h="16838" w:orient="portrait"/>
          <w:cols w:equalWidth="0" w:num="1">
            <w:col w:w="10219"/>
          </w:cols>
          <w:pgMar w:left="240" w:top="649" w:right="1440" w:bottom="1440" w:gutter="0" w:footer="0" w:header="0"/>
          <w:type w:val="continuous"/>
        </w:sectPr>
      </w:pPr>
    </w:p>
    <w:p>
      <w:pPr>
        <w:ind w:left="296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prospectus supplement relates to the resale by holders of our 2% Convertible Notes due June 1, 2008 and ordinary shares issuable upon conversion of the notes. This prospectus supplement may only be delivered or used in connection with our prospectus dated September 25, 2001. Our ordinary shares are traded on the New York Stock Exchange under the symbol "DOX."</w:t>
      </w:r>
    </w:p>
    <w:p>
      <w:pPr>
        <w:spacing w:after="0" w:line="209"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PROSPECTUS SUPPLEMENT DATED FEBRUARY 12, 2002</w:t>
      </w:r>
    </w:p>
    <w:p>
      <w:pPr>
        <w:sectPr>
          <w:pgSz w:w="11900" w:h="16838" w:orient="portrait"/>
          <w:cols w:equalWidth="0" w:num="1">
            <w:col w:w="10219"/>
          </w:cols>
          <w:pgMar w:left="240" w:top="649" w:right="1440" w:bottom="1440" w:gutter="0" w:footer="0" w:header="0"/>
          <w:type w:val="continuous"/>
        </w:sectPr>
      </w:pPr>
    </w:p>
    <w:bookmarkStart w:id="1" w:name="page2"/>
    <w:bookmarkEnd w:id="1"/>
    <w:p>
      <w:pPr>
        <w:ind w:right="1879" w:firstLine="527"/>
        <w:spacing w:after="0" w:line="237" w:lineRule="auto"/>
        <w:rPr>
          <w:sz w:val="20"/>
          <w:szCs w:val="20"/>
          <w:color w:val="auto"/>
        </w:rPr>
      </w:pPr>
      <w:r>
        <w:rPr>
          <w:rFonts w:ascii="Courier New" w:cs="Courier New" w:eastAsia="Courier New" w:hAnsi="Courier New"/>
          <w:sz w:val="18"/>
          <w:szCs w:val="18"/>
          <w:color w:val="auto"/>
        </w:rPr>
        <w:t>The information appearing in the following table supplements or supersedes in part the information in the table under the caption "Selling Holders", beginning on page 50 in our prospectus and was provided by or on behalf of the selling holders.</w:t>
      </w:r>
    </w:p>
    <w:p>
      <w:pPr>
        <w:spacing w:after="0" w:line="202"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PRINCIPAL</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ORDINARY</w:t>
      </w:r>
    </w:p>
    <w:p>
      <w:pPr>
        <w:jc w:val="center"/>
        <w:ind w:right="8959"/>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AMOUNT OF</w:t>
      </w:r>
    </w:p>
    <w:p>
      <w:pPr>
        <w:jc w:val="center"/>
        <w:ind w:right="8959"/>
        <w:spacing w:after="0"/>
        <w:rPr>
          <w:sz w:val="20"/>
          <w:szCs w:val="20"/>
          <w:color w:val="auto"/>
        </w:rPr>
      </w:pPr>
      <w:r>
        <w:rPr>
          <w:rFonts w:ascii="Courier New" w:cs="Courier New" w:eastAsia="Courier New" w:hAnsi="Courier New"/>
          <w:sz w:val="18"/>
          <w:szCs w:val="18"/>
          <w:color w:val="auto"/>
        </w:rPr>
        <w:t>SHARES</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NOTES</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 AFTER</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OWNED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BEFORE</w:t>
      </w:r>
    </w:p>
    <w:p>
      <w:pPr>
        <w:jc w:val="center"/>
        <w:ind w:right="8959"/>
        <w:spacing w:after="0"/>
        <w:rPr>
          <w:sz w:val="20"/>
          <w:szCs w:val="20"/>
          <w:color w:val="auto"/>
        </w:rPr>
      </w:pPr>
      <w:r>
        <w:rPr>
          <w:rFonts w:ascii="Courier New" w:cs="Courier New" w:eastAsia="Courier New" w:hAnsi="Courier New"/>
          <w:sz w:val="18"/>
          <w:szCs w:val="18"/>
          <w:color w:val="auto"/>
        </w:rPr>
        <w:t>SHARES ----</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60" w:right="9059" w:hanging="151"/>
        <w:spacing w:after="0" w:line="268" w:lineRule="auto"/>
        <w:tabs>
          <w:tab w:leader="none" w:pos="31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ADDRESS</w:t>
      </w:r>
    </w:p>
    <w:p>
      <w:pPr>
        <w:jc w:val="center"/>
        <w:ind w:right="8959"/>
        <w:spacing w:after="0" w:line="233" w:lineRule="auto"/>
        <w:rPr>
          <w:sz w:val="20"/>
          <w:szCs w:val="20"/>
          <w:color w:val="auto"/>
        </w:rPr>
      </w:pPr>
      <w:r>
        <w:rPr>
          <w:rFonts w:ascii="Courier New" w:cs="Courier New" w:eastAsia="Courier New" w:hAnsi="Courier New"/>
          <w:sz w:val="18"/>
          <w:szCs w:val="18"/>
          <w:color w:val="auto"/>
        </w:rPr>
        <w:t>OFFERED</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OFFERED(1)</w:t>
      </w:r>
    </w:p>
    <w:p>
      <w:pPr>
        <w:jc w:val="center"/>
        <w:ind w:right="8959"/>
        <w:spacing w:after="0"/>
        <w:rPr>
          <w:sz w:val="20"/>
          <w:szCs w:val="20"/>
          <w:color w:val="auto"/>
        </w:rPr>
      </w:pPr>
      <w:r>
        <w:rPr>
          <w:rFonts w:ascii="Courier New" w:cs="Courier New" w:eastAsia="Courier New" w:hAnsi="Courier New"/>
          <w:sz w:val="18"/>
          <w:szCs w:val="18"/>
          <w:color w:val="auto"/>
        </w:rPr>
        <w:t>AMOUNT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PERCENT ---</w:t>
      </w:r>
    </w:p>
    <w:p>
      <w:pPr>
        <w:ind w:left="60"/>
        <w:spacing w:after="0"/>
        <w:rPr>
          <w:sz w:val="20"/>
          <w:szCs w:val="20"/>
          <w:color w:val="auto"/>
        </w:rPr>
      </w:pPr>
      <w:r>
        <w:rPr>
          <w:rFonts w:ascii="Courier New" w:cs="Courier New" w:eastAsia="Courier New" w:hAnsi="Courier New"/>
          <w:sz w:val="18"/>
          <w:szCs w:val="18"/>
          <w:color w:val="auto"/>
        </w:rPr>
        <w:t>-----------</w:t>
      </w:r>
    </w:p>
    <w:p>
      <w:pPr>
        <w:ind w:left="380" w:hanging="323"/>
        <w:spacing w:after="0" w:line="237" w:lineRule="auto"/>
        <w:tabs>
          <w:tab w:leader="none" w:pos="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311"/>
        <w:spacing w:after="0" w:line="238" w:lineRule="auto"/>
        <w:tabs>
          <w:tab w:leader="none" w:pos="4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CitiSAM</w:t>
      </w:r>
    </w:p>
    <w:p>
      <w:pPr>
        <w:jc w:val="center"/>
        <w:ind w:right="8959"/>
        <w:spacing w:after="0" w:line="237" w:lineRule="auto"/>
        <w:rPr>
          <w:sz w:val="20"/>
          <w:szCs w:val="20"/>
          <w:color w:val="auto"/>
        </w:rPr>
      </w:pPr>
      <w:r>
        <w:rPr>
          <w:rFonts w:ascii="Courier New" w:cs="Courier New" w:eastAsia="Courier New" w:hAnsi="Courier New"/>
          <w:sz w:val="18"/>
          <w:szCs w:val="18"/>
          <w:color w:val="auto"/>
        </w:rPr>
        <w:t>Fund --</w:t>
      </w:r>
    </w:p>
    <w:p>
      <w:pPr>
        <w:jc w:val="center"/>
        <w:ind w:right="8959"/>
        <w:spacing w:after="0" w:line="238" w:lineRule="auto"/>
        <w:rPr>
          <w:sz w:val="20"/>
          <w:szCs w:val="20"/>
          <w:color w:val="auto"/>
        </w:rPr>
      </w:pPr>
      <w:r>
        <w:rPr>
          <w:rFonts w:ascii="Courier New" w:cs="Courier New" w:eastAsia="Courier New" w:hAnsi="Courier New"/>
          <w:sz w:val="18"/>
          <w:szCs w:val="18"/>
          <w:color w:val="auto"/>
        </w:rPr>
        <w:t>Ltd. $</w:t>
      </w:r>
    </w:p>
    <w:p>
      <w:pPr>
        <w:jc w:val="center"/>
        <w:ind w:right="8959"/>
        <w:spacing w:after="0"/>
        <w:rPr>
          <w:sz w:val="20"/>
          <w:szCs w:val="20"/>
          <w:color w:val="auto"/>
        </w:rPr>
      </w:pPr>
      <w:r>
        <w:rPr>
          <w:rFonts w:ascii="Courier New" w:cs="Courier New" w:eastAsia="Courier New" w:hAnsi="Courier New"/>
          <w:sz w:val="18"/>
          <w:szCs w:val="18"/>
          <w:color w:val="auto"/>
        </w:rPr>
        <w:t>1,000,000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10,858</w:t>
      </w:r>
    </w:p>
    <w:p>
      <w:pPr>
        <w:jc w:val="center"/>
        <w:ind w:right="8959"/>
        <w:spacing w:after="0"/>
        <w:rPr>
          <w:sz w:val="20"/>
          <w:szCs w:val="20"/>
          <w:color w:val="auto"/>
        </w:rPr>
      </w:pPr>
      <w:r>
        <w:rPr>
          <w:rFonts w:ascii="Courier New" w:cs="Courier New" w:eastAsia="Courier New" w:hAnsi="Courier New"/>
          <w:sz w:val="18"/>
          <w:szCs w:val="18"/>
          <w:color w:val="auto"/>
        </w:rPr>
        <w:t>10,858 0 *</w:t>
      </w:r>
    </w:p>
    <w:p>
      <w:pPr>
        <w:jc w:val="center"/>
        <w:ind w:right="8959"/>
        <w:spacing w:after="0" w:line="237" w:lineRule="auto"/>
        <w:rPr>
          <w:sz w:val="20"/>
          <w:szCs w:val="20"/>
          <w:color w:val="auto"/>
        </w:rPr>
      </w:pPr>
      <w:r>
        <w:rPr>
          <w:rFonts w:ascii="Courier New" w:cs="Courier New" w:eastAsia="Courier New" w:hAnsi="Courier New"/>
          <w:sz w:val="18"/>
          <w:szCs w:val="18"/>
          <w:color w:val="auto"/>
        </w:rPr>
        <w:t>555</w:t>
      </w:r>
    </w:p>
    <w:p>
      <w:pPr>
        <w:jc w:val="center"/>
        <w:ind w:right="8959"/>
        <w:spacing w:after="0"/>
        <w:rPr>
          <w:sz w:val="20"/>
          <w:szCs w:val="20"/>
          <w:color w:val="auto"/>
        </w:rPr>
      </w:pPr>
      <w:r>
        <w:rPr>
          <w:rFonts w:ascii="Courier New" w:cs="Courier New" w:eastAsia="Courier New" w:hAnsi="Courier New"/>
          <w:sz w:val="18"/>
          <w:szCs w:val="18"/>
          <w:color w:val="auto"/>
        </w:rPr>
        <w:t>California</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Street</w:t>
      </w:r>
    </w:p>
    <w:p>
      <w:pPr>
        <w:jc w:val="center"/>
        <w:ind w:right="8959"/>
        <w:spacing w:after="0" w:line="238" w:lineRule="auto"/>
        <w:rPr>
          <w:sz w:val="20"/>
          <w:szCs w:val="20"/>
          <w:color w:val="auto"/>
        </w:rPr>
      </w:pPr>
      <w:r>
        <w:rPr>
          <w:rFonts w:ascii="Courier New" w:cs="Courier New" w:eastAsia="Courier New" w:hAnsi="Courier New"/>
          <w:sz w:val="18"/>
          <w:szCs w:val="18"/>
          <w:color w:val="auto"/>
        </w:rPr>
        <w:t>Suite 2975</w:t>
      </w:r>
    </w:p>
    <w:p>
      <w:pPr>
        <w:jc w:val="center"/>
        <w:ind w:right="8959"/>
        <w:spacing w:after="0"/>
        <w:rPr>
          <w:sz w:val="20"/>
          <w:szCs w:val="20"/>
          <w:color w:val="auto"/>
        </w:rPr>
      </w:pPr>
      <w:r>
        <w:rPr>
          <w:rFonts w:ascii="Courier New" w:cs="Courier New" w:eastAsia="Courier New" w:hAnsi="Courier New"/>
          <w:sz w:val="18"/>
          <w:szCs w:val="18"/>
          <w:color w:val="auto"/>
        </w:rPr>
        <w:t>San</w:t>
      </w:r>
    </w:p>
    <w:p>
      <w:pPr>
        <w:jc w:val="center"/>
        <w:ind w:right="8959"/>
        <w:spacing w:after="0" w:line="237" w:lineRule="auto"/>
        <w:rPr>
          <w:sz w:val="20"/>
          <w:szCs w:val="20"/>
          <w:color w:val="auto"/>
        </w:rPr>
      </w:pPr>
      <w:r>
        <w:rPr>
          <w:rFonts w:ascii="Courier New" w:cs="Courier New" w:eastAsia="Courier New" w:hAnsi="Courier New"/>
          <w:sz w:val="18"/>
          <w:szCs w:val="18"/>
          <w:color w:val="auto"/>
        </w:rPr>
        <w:t>Francisco,</w:t>
      </w:r>
    </w:p>
    <w:p>
      <w:pPr>
        <w:jc w:val="center"/>
        <w:ind w:right="8959"/>
        <w:spacing w:after="0"/>
        <w:rPr>
          <w:sz w:val="20"/>
          <w:szCs w:val="20"/>
          <w:color w:val="auto"/>
        </w:rPr>
      </w:pPr>
      <w:r>
        <w:rPr>
          <w:rFonts w:ascii="Courier New" w:cs="Courier New" w:eastAsia="Courier New" w:hAnsi="Courier New"/>
          <w:sz w:val="18"/>
          <w:szCs w:val="18"/>
          <w:color w:val="auto"/>
        </w:rPr>
        <w:t>CA 94104</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Commerzbank</w:t>
      </w:r>
    </w:p>
    <w:p>
      <w:pPr>
        <w:jc w:val="center"/>
        <w:ind w:right="8959"/>
        <w:spacing w:after="0"/>
        <w:rPr>
          <w:sz w:val="20"/>
          <w:szCs w:val="20"/>
          <w:color w:val="auto"/>
        </w:rPr>
      </w:pPr>
      <w:r>
        <w:rPr>
          <w:rFonts w:ascii="Courier New" w:cs="Courier New" w:eastAsia="Courier New" w:hAnsi="Courier New"/>
          <w:sz w:val="18"/>
          <w:szCs w:val="18"/>
          <w:color w:val="auto"/>
        </w:rPr>
        <w:t>A.G.</w:t>
      </w:r>
    </w:p>
    <w:p>
      <w:pPr>
        <w:jc w:val="center"/>
        <w:ind w:right="8959"/>
        <w:spacing w:after="0" w:line="237" w:lineRule="auto"/>
        <w:rPr>
          <w:sz w:val="20"/>
          <w:szCs w:val="20"/>
          <w:color w:val="auto"/>
        </w:rPr>
      </w:pPr>
      <w:r>
        <w:rPr>
          <w:rFonts w:ascii="Courier New" w:cs="Courier New" w:eastAsia="Courier New" w:hAnsi="Courier New"/>
          <w:sz w:val="18"/>
          <w:szCs w:val="18"/>
          <w:color w:val="auto"/>
        </w:rPr>
        <w:t>26,000,000</w:t>
      </w:r>
    </w:p>
    <w:p>
      <w:pPr>
        <w:jc w:val="center"/>
        <w:ind w:right="8959"/>
        <w:spacing w:after="0" w:line="238" w:lineRule="auto"/>
        <w:rPr>
          <w:sz w:val="20"/>
          <w:szCs w:val="20"/>
          <w:color w:val="auto"/>
        </w:rPr>
      </w:pPr>
      <w:r>
        <w:rPr>
          <w:rFonts w:ascii="Courier New" w:cs="Courier New" w:eastAsia="Courier New" w:hAnsi="Courier New"/>
          <w:sz w:val="18"/>
          <w:szCs w:val="18"/>
          <w:color w:val="auto"/>
        </w:rPr>
        <w:t>282,326</w:t>
      </w:r>
    </w:p>
    <w:p>
      <w:pPr>
        <w:jc w:val="center"/>
        <w:ind w:right="8959"/>
        <w:spacing w:after="0"/>
        <w:rPr>
          <w:sz w:val="20"/>
          <w:szCs w:val="20"/>
          <w:color w:val="auto"/>
        </w:rPr>
      </w:pPr>
      <w:r>
        <w:rPr>
          <w:rFonts w:ascii="Courier New" w:cs="Courier New" w:eastAsia="Courier New" w:hAnsi="Courier New"/>
          <w:sz w:val="18"/>
          <w:szCs w:val="18"/>
          <w:color w:val="auto"/>
        </w:rPr>
        <w:t>282,326 0 *</w:t>
      </w:r>
    </w:p>
    <w:p>
      <w:pPr>
        <w:jc w:val="center"/>
        <w:ind w:right="8959"/>
        <w:spacing w:after="0" w:line="237" w:lineRule="auto"/>
        <w:rPr>
          <w:sz w:val="20"/>
          <w:szCs w:val="20"/>
          <w:color w:val="auto"/>
        </w:rPr>
      </w:pPr>
      <w:r>
        <w:rPr>
          <w:rFonts w:ascii="Courier New" w:cs="Courier New" w:eastAsia="Courier New" w:hAnsi="Courier New"/>
          <w:sz w:val="18"/>
          <w:szCs w:val="18"/>
          <w:color w:val="auto"/>
        </w:rPr>
        <w:t>1251 6th</w:t>
      </w:r>
    </w:p>
    <w:p>
      <w:pPr>
        <w:jc w:val="center"/>
        <w:ind w:right="8959"/>
        <w:spacing w:after="0"/>
        <w:rPr>
          <w:sz w:val="20"/>
          <w:szCs w:val="20"/>
          <w:color w:val="auto"/>
        </w:rPr>
      </w:pPr>
      <w:r>
        <w:rPr>
          <w:rFonts w:ascii="Courier New" w:cs="Courier New" w:eastAsia="Courier New" w:hAnsi="Courier New"/>
          <w:sz w:val="18"/>
          <w:szCs w:val="18"/>
          <w:color w:val="auto"/>
        </w:rPr>
        <w:t>Avenue 21st</w:t>
      </w:r>
    </w:p>
    <w:p>
      <w:pPr>
        <w:jc w:val="center"/>
        <w:ind w:right="8959"/>
        <w:spacing w:after="0" w:line="237" w:lineRule="auto"/>
        <w:rPr>
          <w:sz w:val="20"/>
          <w:szCs w:val="20"/>
          <w:color w:val="auto"/>
        </w:rPr>
      </w:pPr>
      <w:r>
        <w:rPr>
          <w:rFonts w:ascii="Courier New" w:cs="Courier New" w:eastAsia="Courier New" w:hAnsi="Courier New"/>
          <w:sz w:val="18"/>
          <w:szCs w:val="18"/>
          <w:color w:val="auto"/>
        </w:rPr>
        <w:t>Floor New</w:t>
      </w:r>
    </w:p>
    <w:p>
      <w:pPr>
        <w:jc w:val="center"/>
        <w:ind w:right="8959"/>
        <w:spacing w:after="0"/>
        <w:rPr>
          <w:sz w:val="20"/>
          <w:szCs w:val="20"/>
          <w:color w:val="auto"/>
        </w:rPr>
      </w:pPr>
      <w:r>
        <w:rPr>
          <w:rFonts w:ascii="Courier New" w:cs="Courier New" w:eastAsia="Courier New" w:hAnsi="Courier New"/>
          <w:sz w:val="18"/>
          <w:szCs w:val="18"/>
          <w:color w:val="auto"/>
        </w:rPr>
        <w:t>York, NY</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10020-1194</w:t>
      </w:r>
    </w:p>
    <w:p>
      <w:pPr>
        <w:jc w:val="center"/>
        <w:ind w:right="8959"/>
        <w:spacing w:after="0"/>
        <w:rPr>
          <w:sz w:val="20"/>
          <w:szCs w:val="20"/>
          <w:color w:val="auto"/>
        </w:rPr>
      </w:pPr>
      <w:r>
        <w:rPr>
          <w:rFonts w:ascii="Courier New" w:cs="Courier New" w:eastAsia="Courier New" w:hAnsi="Courier New"/>
          <w:sz w:val="18"/>
          <w:szCs w:val="18"/>
          <w:color w:val="auto"/>
        </w:rPr>
        <w:t>IMF</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Convertible</w:t>
      </w:r>
    </w:p>
    <w:p>
      <w:pPr>
        <w:jc w:val="center"/>
        <w:ind w:right="8959"/>
        <w:spacing w:after="0" w:line="238" w:lineRule="auto"/>
        <w:rPr>
          <w:sz w:val="20"/>
          <w:szCs w:val="20"/>
          <w:color w:val="auto"/>
        </w:rPr>
      </w:pPr>
      <w:r>
        <w:rPr>
          <w:rFonts w:ascii="Courier New" w:cs="Courier New" w:eastAsia="Courier New" w:hAnsi="Courier New"/>
          <w:sz w:val="18"/>
          <w:szCs w:val="18"/>
          <w:color w:val="auto"/>
        </w:rPr>
        <w:t>Fund</w:t>
      </w:r>
    </w:p>
    <w:p>
      <w:pPr>
        <w:jc w:val="center"/>
        <w:ind w:right="8959"/>
        <w:spacing w:after="0"/>
        <w:rPr>
          <w:sz w:val="20"/>
          <w:szCs w:val="20"/>
          <w:color w:val="auto"/>
        </w:rPr>
      </w:pPr>
      <w:r>
        <w:rPr>
          <w:rFonts w:ascii="Courier New" w:cs="Courier New" w:eastAsia="Courier New" w:hAnsi="Courier New"/>
          <w:sz w:val="18"/>
          <w:szCs w:val="18"/>
          <w:color w:val="auto"/>
        </w:rPr>
        <w:t>300,000</w:t>
      </w:r>
    </w:p>
    <w:tbl>
      <w:tblPr>
        <w:tblLayout w:type="fixed"/>
        <w:tblInd w:w="60" w:type="dxa"/>
        <w:tblCellMar>
          <w:top w:w="0" w:type="dxa"/>
          <w:left w:w="0" w:type="dxa"/>
          <w:bottom w:w="0" w:type="dxa"/>
          <w:right w:w="0" w:type="dxa"/>
        </w:tblCellMar>
      </w:tblPr>
      <w:tr>
        <w:trPr>
          <w:trHeight w:val="202"/>
        </w:trPr>
        <w:tc>
          <w:tcPr>
            <w:tcW w:w="5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2"/>
              </w:rPr>
              <w:t>3,257</w:t>
            </w:r>
          </w:p>
        </w:tc>
        <w:tc>
          <w:tcPr>
            <w:tcW w:w="580" w:type="dxa"/>
            <w:vAlign w:val="bottom"/>
          </w:tcPr>
          <w:p>
            <w:pPr>
              <w:ind w:left="40"/>
              <w:spacing w:after="0" w:line="202" w:lineRule="exact"/>
              <w:rPr>
                <w:sz w:val="20"/>
                <w:szCs w:val="20"/>
                <w:color w:val="auto"/>
              </w:rPr>
            </w:pPr>
            <w:r>
              <w:rPr>
                <w:rFonts w:ascii="Courier New" w:cs="Courier New" w:eastAsia="Courier New" w:hAnsi="Courier New"/>
                <w:sz w:val="18"/>
                <w:szCs w:val="18"/>
                <w:color w:val="auto"/>
                <w:w w:val="96"/>
              </w:rPr>
              <w:t>3,257</w:t>
            </w:r>
          </w:p>
        </w:tc>
      </w:tr>
      <w:tr>
        <w:trPr>
          <w:trHeight w:val="203"/>
        </w:trPr>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 *</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555</w:t>
            </w:r>
          </w:p>
        </w:tc>
      </w:tr>
    </w:tbl>
    <w:p>
      <w:pPr>
        <w:jc w:val="center"/>
        <w:ind w:right="8959"/>
        <w:spacing w:after="0" w:line="238" w:lineRule="auto"/>
        <w:rPr>
          <w:sz w:val="20"/>
          <w:szCs w:val="20"/>
          <w:color w:val="auto"/>
        </w:rPr>
      </w:pPr>
      <w:r>
        <w:rPr>
          <w:rFonts w:ascii="Courier New" w:cs="Courier New" w:eastAsia="Courier New" w:hAnsi="Courier New"/>
          <w:sz w:val="18"/>
          <w:szCs w:val="18"/>
          <w:color w:val="auto"/>
        </w:rPr>
        <w:t>California</w:t>
      </w:r>
    </w:p>
    <w:p>
      <w:pPr>
        <w:jc w:val="center"/>
        <w:ind w:right="8959"/>
        <w:spacing w:after="0"/>
        <w:rPr>
          <w:sz w:val="20"/>
          <w:szCs w:val="20"/>
          <w:color w:val="auto"/>
        </w:rPr>
      </w:pPr>
      <w:r>
        <w:rPr>
          <w:rFonts w:ascii="Courier New" w:cs="Courier New" w:eastAsia="Courier New" w:hAnsi="Courier New"/>
          <w:sz w:val="18"/>
          <w:szCs w:val="18"/>
          <w:color w:val="auto"/>
        </w:rPr>
        <w:t>Street</w:t>
      </w:r>
    </w:p>
    <w:p>
      <w:pPr>
        <w:jc w:val="center"/>
        <w:ind w:right="8959"/>
        <w:spacing w:after="0" w:line="237" w:lineRule="auto"/>
        <w:rPr>
          <w:sz w:val="20"/>
          <w:szCs w:val="20"/>
          <w:color w:val="auto"/>
        </w:rPr>
      </w:pPr>
      <w:r>
        <w:rPr>
          <w:rFonts w:ascii="Courier New" w:cs="Courier New" w:eastAsia="Courier New" w:hAnsi="Courier New"/>
          <w:sz w:val="18"/>
          <w:szCs w:val="18"/>
          <w:color w:val="auto"/>
        </w:rPr>
        <w:t>Suite 2975</w:t>
      </w:r>
    </w:p>
    <w:p>
      <w:pPr>
        <w:jc w:val="center"/>
        <w:ind w:right="8959"/>
        <w:spacing w:after="0" w:line="238" w:lineRule="auto"/>
        <w:rPr>
          <w:sz w:val="20"/>
          <w:szCs w:val="20"/>
          <w:color w:val="auto"/>
        </w:rPr>
      </w:pPr>
      <w:r>
        <w:rPr>
          <w:rFonts w:ascii="Courier New" w:cs="Courier New" w:eastAsia="Courier New" w:hAnsi="Courier New"/>
          <w:sz w:val="18"/>
          <w:szCs w:val="18"/>
          <w:color w:val="auto"/>
        </w:rPr>
        <w:t>San</w:t>
      </w:r>
    </w:p>
    <w:p>
      <w:pPr>
        <w:jc w:val="center"/>
        <w:ind w:right="8959"/>
        <w:spacing w:after="0"/>
        <w:rPr>
          <w:sz w:val="20"/>
          <w:szCs w:val="20"/>
          <w:color w:val="auto"/>
        </w:rPr>
      </w:pPr>
      <w:r>
        <w:rPr>
          <w:rFonts w:ascii="Courier New" w:cs="Courier New" w:eastAsia="Courier New" w:hAnsi="Courier New"/>
          <w:sz w:val="18"/>
          <w:szCs w:val="18"/>
          <w:color w:val="auto"/>
        </w:rPr>
        <w:t>Francisco,</w:t>
      </w:r>
    </w:p>
    <w:p>
      <w:pPr>
        <w:jc w:val="center"/>
        <w:ind w:right="8959"/>
        <w:spacing w:after="0" w:line="237" w:lineRule="auto"/>
        <w:rPr>
          <w:sz w:val="20"/>
          <w:szCs w:val="20"/>
          <w:color w:val="auto"/>
        </w:rPr>
      </w:pPr>
      <w:r>
        <w:rPr>
          <w:rFonts w:ascii="Courier New" w:cs="Courier New" w:eastAsia="Courier New" w:hAnsi="Courier New"/>
          <w:sz w:val="18"/>
          <w:szCs w:val="18"/>
          <w:color w:val="auto"/>
        </w:rPr>
        <w:t>CA 94104</w:t>
      </w:r>
    </w:p>
    <w:p>
      <w:pPr>
        <w:jc w:val="center"/>
        <w:ind w:right="8959"/>
        <w:spacing w:after="0"/>
        <w:rPr>
          <w:sz w:val="20"/>
          <w:szCs w:val="20"/>
          <w:color w:val="auto"/>
        </w:rPr>
      </w:pPr>
      <w:r>
        <w:rPr>
          <w:rFonts w:ascii="Courier New" w:cs="Courier New" w:eastAsia="Courier New" w:hAnsi="Courier New"/>
          <w:sz w:val="18"/>
          <w:szCs w:val="18"/>
          <w:color w:val="auto"/>
        </w:rPr>
        <w:t>Investcorp</w:t>
      </w:r>
    </w:p>
    <w:p>
      <w:pPr>
        <w:jc w:val="center"/>
        <w:ind w:right="8959"/>
        <w:spacing w:after="0" w:line="237" w:lineRule="auto"/>
        <w:rPr>
          <w:sz w:val="20"/>
          <w:szCs w:val="20"/>
          <w:color w:val="auto"/>
        </w:rPr>
      </w:pPr>
      <w:r>
        <w:rPr>
          <w:rFonts w:ascii="Courier New" w:cs="Courier New" w:eastAsia="Courier New" w:hAnsi="Courier New"/>
          <w:sz w:val="18"/>
          <w:szCs w:val="18"/>
          <w:color w:val="auto"/>
        </w:rPr>
        <w:t>SAM Fund</w:t>
      </w:r>
    </w:p>
    <w:p>
      <w:pPr>
        <w:jc w:val="center"/>
        <w:ind w:right="8959"/>
        <w:spacing w:after="0"/>
        <w:rPr>
          <w:sz w:val="20"/>
          <w:szCs w:val="20"/>
          <w:color w:val="auto"/>
        </w:rPr>
      </w:pPr>
      <w:r>
        <w:rPr>
          <w:rFonts w:ascii="Courier New" w:cs="Courier New" w:eastAsia="Courier New" w:hAnsi="Courier New"/>
          <w:sz w:val="18"/>
          <w:szCs w:val="18"/>
          <w:color w:val="auto"/>
        </w:rPr>
        <w:t>Ltd.</w:t>
      </w:r>
    </w:p>
    <w:p>
      <w:pPr>
        <w:jc w:val="center"/>
        <w:ind w:right="8959"/>
        <w:spacing w:after="0" w:line="237" w:lineRule="auto"/>
        <w:rPr>
          <w:sz w:val="20"/>
          <w:szCs w:val="20"/>
          <w:color w:val="auto"/>
        </w:rPr>
      </w:pPr>
      <w:r>
        <w:rPr>
          <w:rFonts w:ascii="Courier New" w:cs="Courier New" w:eastAsia="Courier New" w:hAnsi="Courier New"/>
          <w:sz w:val="18"/>
          <w:szCs w:val="18"/>
          <w:color w:val="auto"/>
        </w:rPr>
        <w:t>600,000</w:t>
      </w:r>
    </w:p>
    <w:tbl>
      <w:tblPr>
        <w:tblLayout w:type="fixed"/>
        <w:tblInd w:w="60" w:type="dxa"/>
        <w:tblCellMar>
          <w:top w:w="0" w:type="dxa"/>
          <w:left w:w="0" w:type="dxa"/>
          <w:bottom w:w="0" w:type="dxa"/>
          <w:right w:w="0" w:type="dxa"/>
        </w:tblCellMar>
      </w:tblPr>
      <w:tr>
        <w:trPr>
          <w:trHeight w:val="203"/>
        </w:trPr>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6,515</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6,515</w:t>
            </w:r>
          </w:p>
        </w:tc>
      </w:tr>
      <w:tr>
        <w:trPr>
          <w:trHeight w:val="203"/>
        </w:trPr>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 *</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555</w:t>
            </w:r>
          </w:p>
        </w:tc>
      </w:tr>
    </w:tbl>
    <w:p>
      <w:pPr>
        <w:ind w:left="100"/>
        <w:spacing w:after="0" w:line="238" w:lineRule="auto"/>
        <w:rPr>
          <w:sz w:val="20"/>
          <w:szCs w:val="20"/>
          <w:color w:val="auto"/>
        </w:rPr>
      </w:pPr>
      <w:r>
        <w:rPr>
          <w:rFonts w:ascii="Courier New" w:cs="Courier New" w:eastAsia="Courier New" w:hAnsi="Courier New"/>
          <w:sz w:val="18"/>
          <w:szCs w:val="18"/>
          <w:color w:val="auto"/>
        </w:rPr>
        <w:t>California</w:t>
      </w:r>
    </w:p>
    <w:p>
      <w:pPr>
        <w:sectPr>
          <w:pgSz w:w="11900" w:h="16838" w:orient="portrait"/>
          <w:cols w:equalWidth="0" w:num="1">
            <w:col w:w="10219"/>
          </w:cols>
          <w:pgMar w:left="240" w:top="723" w:right="1440" w:bottom="0" w:gutter="0" w:footer="0" w:header="0"/>
        </w:sectPr>
      </w:pPr>
    </w:p>
    <w:bookmarkStart w:id="2" w:name="page3"/>
    <w:bookmarkEnd w:id="2"/>
    <w:p>
      <w:pPr>
        <w:jc w:val="center"/>
        <w:ind w:right="8959"/>
        <w:spacing w:after="0"/>
        <w:rPr>
          <w:sz w:val="20"/>
          <w:szCs w:val="20"/>
          <w:color w:val="auto"/>
        </w:rPr>
      </w:pPr>
      <w:r>
        <w:rPr>
          <w:rFonts w:ascii="Courier New" w:cs="Courier New" w:eastAsia="Courier New" w:hAnsi="Courier New"/>
          <w:sz w:val="18"/>
          <w:szCs w:val="18"/>
          <w:color w:val="auto"/>
        </w:rPr>
        <w:t>Street</w:t>
      </w:r>
    </w:p>
    <w:p>
      <w:pPr>
        <w:jc w:val="center"/>
        <w:ind w:right="8959"/>
        <w:spacing w:after="0" w:line="238" w:lineRule="auto"/>
        <w:rPr>
          <w:sz w:val="20"/>
          <w:szCs w:val="20"/>
          <w:color w:val="auto"/>
        </w:rPr>
      </w:pPr>
      <w:r>
        <w:rPr>
          <w:rFonts w:ascii="Courier New" w:cs="Courier New" w:eastAsia="Courier New" w:hAnsi="Courier New"/>
          <w:sz w:val="18"/>
          <w:szCs w:val="18"/>
          <w:color w:val="auto"/>
        </w:rPr>
        <w:t>Suite 2975</w:t>
      </w:r>
    </w:p>
    <w:p>
      <w:pPr>
        <w:jc w:val="center"/>
        <w:ind w:right="8959"/>
        <w:spacing w:after="0"/>
        <w:rPr>
          <w:sz w:val="20"/>
          <w:szCs w:val="20"/>
          <w:color w:val="auto"/>
        </w:rPr>
      </w:pPr>
      <w:r>
        <w:rPr>
          <w:rFonts w:ascii="Courier New" w:cs="Courier New" w:eastAsia="Courier New" w:hAnsi="Courier New"/>
          <w:sz w:val="18"/>
          <w:szCs w:val="18"/>
          <w:color w:val="auto"/>
        </w:rPr>
        <w:t>San</w:t>
      </w:r>
    </w:p>
    <w:p>
      <w:pPr>
        <w:jc w:val="center"/>
        <w:ind w:right="8959"/>
        <w:spacing w:after="0" w:line="237" w:lineRule="auto"/>
        <w:rPr>
          <w:sz w:val="20"/>
          <w:szCs w:val="20"/>
          <w:color w:val="auto"/>
        </w:rPr>
      </w:pPr>
      <w:r>
        <w:rPr>
          <w:rFonts w:ascii="Courier New" w:cs="Courier New" w:eastAsia="Courier New" w:hAnsi="Courier New"/>
          <w:sz w:val="18"/>
          <w:szCs w:val="18"/>
          <w:color w:val="auto"/>
        </w:rPr>
        <w:t>Francisco,</w:t>
      </w:r>
    </w:p>
    <w:p>
      <w:pPr>
        <w:jc w:val="center"/>
        <w:ind w:right="8959"/>
        <w:spacing w:after="0" w:line="238" w:lineRule="auto"/>
        <w:rPr>
          <w:sz w:val="20"/>
          <w:szCs w:val="20"/>
          <w:color w:val="auto"/>
        </w:rPr>
      </w:pPr>
      <w:r>
        <w:rPr>
          <w:rFonts w:ascii="Courier New" w:cs="Courier New" w:eastAsia="Courier New" w:hAnsi="Courier New"/>
          <w:sz w:val="18"/>
          <w:szCs w:val="18"/>
          <w:color w:val="auto"/>
        </w:rPr>
        <w:t>CA 94104</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Indicates less than 1%.</w:t>
      </w:r>
    </w:p>
    <w:p>
      <w:pPr>
        <w:spacing w:after="0" w:line="207" w:lineRule="exact"/>
        <w:rPr>
          <w:sz w:val="20"/>
          <w:szCs w:val="20"/>
          <w:color w:val="auto"/>
        </w:rPr>
      </w:pPr>
    </w:p>
    <w:p>
      <w:pPr>
        <w:ind w:left="420" w:right="1779" w:hanging="412"/>
        <w:spacing w:after="0" w:line="271" w:lineRule="auto"/>
        <w:tabs>
          <w:tab w:leader="none" w:pos="4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conversion of all the holder's notes at a conversion rate of 10.8587 ordinary shares per each $1,000 principal amount of the notes and resale of all ordinary shares offered hereby. In addition, the per share conversion price, and therefore the number of ordinary shares issuable upon conversion of the notes, is subject to adjustment. As a result, the aggregate principal amount of the notes and the number of shares of ordinary shares issuable upon conversion of the notes may increase or decrease.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2019-12-14T20:53:48Z</dcterms:created>
  <dcterms:modified xsi:type="dcterms:W3CDTF">2019-12-14T20:53:48Z</dcterms:modified>
</cp:coreProperties>
</file>