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February, 2018</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6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2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ectPr>
          <w:pgSz w:w="11900" w:h="16838" w:orient="portrait"/>
          <w:cols w:equalWidth="0" w:num="1">
            <w:col w:w="11260"/>
          </w:cols>
          <w:pgMar w:left="240" w:top="270" w:right="39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6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February 22, 2018.</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14376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3257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172085</wp:posOffset>
            </wp:positionV>
            <wp:extent cx="197231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23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Amdocs Completes Acquisition of Vubiquity to Further Expand into Media &amp;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Entertainment Business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positions the company at the center of increased convergence across the content eco-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system and video distributors; New Amdocs Media Division Formed</w:t>
      </w:r>
    </w:p>
    <w:p>
      <w:pPr>
        <w:spacing w:after="0" w:line="207"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b w:val="1"/>
          <w:bCs w:val="1"/>
          <w:color w:val="auto"/>
        </w:rPr>
        <w:t xml:space="preserve">ST. LOUIS — Feb. 22, 2018 — </w:t>
      </w:r>
      <w:r>
        <w:rPr>
          <w:rFonts w:ascii="Arial" w:cs="Arial" w:eastAsia="Arial" w:hAnsi="Arial"/>
          <w:sz w:val="16"/>
          <w:szCs w:val="16"/>
          <w:color w:val="auto"/>
        </w:rPr>
        <w:t>Amdocs (NASDAQ: DOX), a leading provider of software and services to communications and media companies,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it has completed the acquisition of Vubiquity, a leading provider of premium digital content services and technology solutions. This acquisition adds premium content capabilities, including licensing, processing and delivery, for the benefit of customers and end users worldwide, positioning the company at the center of increased convergence across the content community and video distributors including major over-the-top (OTT) providers.</w:t>
      </w:r>
    </w:p>
    <w:p>
      <w:pPr>
        <w:spacing w:after="0" w:line="15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delighted to welcome Vubiquity and its customers to Amdocs and look forward to working together to deliver solutions as the media market continues to evolve at a rapid pace,” said Anthony Goonetilleke, Group President for Amdocs Technology. “With this acquisition, Amdocs stands ready to enable communication service providers and content producers to quickly expand and improve entertainment offerings to grow revenues while gaining increased consumer insights from content consumption.”</w:t>
      </w:r>
    </w:p>
    <w:p>
      <w:pPr>
        <w:spacing w:after="0" w:line="187"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Consistent with guidance provided on January 30, 2018, the impact of the acquisition on Amdocs’ diluted non-GAAP earnings per share is expected to be neutral in fiscal year 2018, and accretive thereafter. The impact on diluted GAAP EPS will not be known until after Amdocs completes the purchase price allocation. Amdocs expects to incur acquisition-related expenses related to operating adjustments, restructuring charges and other acquisition-related costs. Further information relating to the financial impact of this acquisition for fiscal 2018 will be provided on Amdocs’ Q2 of FY18 earnings conference call on May 10, 2018 at 5:00 p.m. Eastern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Learn more about our capabilities </w:t>
      </w:r>
      <w:r>
        <w:rPr>
          <w:rFonts w:ascii="Arial" w:cs="Arial" w:eastAsia="Arial" w:hAnsi="Arial"/>
          <w:sz w:val="18"/>
          <w:szCs w:val="18"/>
          <w:u w:val="single" w:color="auto"/>
          <w:color w:val="auto"/>
        </w:rPr>
        <w:t>https://www.amdocs.com/vubiquity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 For more information, visit Amdocs at www.amdocs.com.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expectations about the impact of the Vubiquity acquisition on the Company’s future results. Although we believe the expectations reflected in such forward-looking statements are based upon reasonable assumptions, we can give no assurance that our expectations will be obtained or that any deviations will not be material.</w:t>
      </w:r>
    </w:p>
    <w:p>
      <w:pPr>
        <w:sectPr>
          <w:pgSz w:w="11900" w:h="16838" w:orient="portrait"/>
          <w:cols w:equalWidth="0" w:num="1">
            <w:col w:w="11420"/>
          </w:cols>
          <w:pgMar w:left="240" w:top="270" w:right="2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including Vubiquity,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2017 filed on December 11, 2017 and our quarterly 6-K form furnished on Feb 12,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Linda Horiuchi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(201) 631-6810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linda.horiuchi@amdocs.com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Headley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Hotwire PR for 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+1 212 897-2156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jennifer.headley@hotwirepr.com or AmdocsUS@hotwirepr.com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2019-12-06T12:03:55Z</dcterms:created>
  <dcterms:modified xsi:type="dcterms:W3CDTF">2019-12-06T12:03:55Z</dcterms:modified>
</cp:coreProperties>
</file>