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6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For the Quarter Ended June 30, 2018</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2"/>
          </w:tcPr>
          <w:p>
            <w:pPr>
              <w:jc w:val="center"/>
              <w:ind w:right="4080"/>
              <w:spacing w:after="0"/>
              <w:rPr>
                <w:sz w:val="20"/>
                <w:szCs w:val="20"/>
                <w:color w:val="auto"/>
              </w:rPr>
            </w:pPr>
            <w:r>
              <w:rPr>
                <w:rFonts w:ascii="Arial" w:cs="Arial" w:eastAsia="Arial" w:hAnsi="Arial"/>
                <w:sz w:val="18"/>
                <w:szCs w:val="18"/>
                <w:color w:val="auto"/>
              </w:rPr>
              <w:t>AMDOCS LIMITED</w:t>
            </w:r>
          </w:p>
        </w:tc>
        <w:tc>
          <w:tcPr>
            <w:tcW w:w="34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2"/>
          </w:tcPr>
          <w:p>
            <w:pPr>
              <w:jc w:val="center"/>
              <w:ind w:right="4080"/>
              <w:spacing w:after="0"/>
              <w:rPr>
                <w:sz w:val="20"/>
                <w:szCs w:val="20"/>
                <w:color w:val="auto"/>
              </w:rPr>
            </w:pPr>
            <w:r>
              <w:rPr>
                <w:rFonts w:ascii="Arial" w:cs="Arial" w:eastAsia="Arial" w:hAnsi="Arial"/>
                <w:sz w:val="18"/>
                <w:szCs w:val="18"/>
                <w:color w:val="auto"/>
                <w:w w:val="97"/>
              </w:rPr>
              <w:t>FORM 6-K</w:t>
            </w:r>
          </w:p>
        </w:tc>
        <w:tc>
          <w:tcPr>
            <w:tcW w:w="34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5"/>
          </w:tcPr>
          <w:p>
            <w:pPr>
              <w:jc w:val="center"/>
              <w:ind w:right="3020"/>
              <w:spacing w:after="0"/>
              <w:rPr>
                <w:sz w:val="20"/>
                <w:szCs w:val="20"/>
                <w:color w:val="auto"/>
              </w:rPr>
            </w:pPr>
            <w:r>
              <w:rPr>
                <w:rFonts w:ascii="Arial" w:cs="Arial" w:eastAsia="Arial" w:hAnsi="Arial"/>
                <w:sz w:val="18"/>
                <w:szCs w:val="18"/>
                <w:color w:val="auto"/>
                <w:w w:val="92"/>
              </w:rPr>
              <w:t>REPORT OF FOREIGN PRIVATE ISSUER</w:t>
            </w:r>
          </w:p>
        </w:tc>
        <w:tc>
          <w:tcPr>
            <w:tcW w:w="34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5"/>
          </w:tcPr>
          <w:p>
            <w:pPr>
              <w:jc w:val="center"/>
              <w:ind w:right="3020"/>
              <w:spacing w:after="0"/>
              <w:rPr>
                <w:sz w:val="20"/>
                <w:szCs w:val="20"/>
                <w:color w:val="auto"/>
              </w:rPr>
            </w:pPr>
            <w:r>
              <w:rPr>
                <w:rFonts w:ascii="Arial" w:cs="Arial" w:eastAsia="Arial" w:hAnsi="Arial"/>
                <w:sz w:val="18"/>
                <w:szCs w:val="18"/>
                <w:color w:val="auto"/>
                <w:w w:val="93"/>
              </w:rPr>
              <w:t>FOR THE QUARTER ENDED JUNE 30, 2018</w:t>
            </w:r>
          </w:p>
        </w:tc>
        <w:tc>
          <w:tcPr>
            <w:tcW w:w="3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60" w:type="dxa"/>
            <w:vAlign w:val="bottom"/>
            <w:gridSpan w:val="2"/>
          </w:tcPr>
          <w:p>
            <w:pPr>
              <w:jc w:val="center"/>
              <w:ind w:right="4080"/>
              <w:spacing w:after="0"/>
              <w:rPr>
                <w:sz w:val="20"/>
                <w:szCs w:val="20"/>
                <w:color w:val="auto"/>
              </w:rPr>
            </w:pPr>
            <w:r>
              <w:rPr>
                <w:rFonts w:ascii="Arial" w:cs="Arial" w:eastAsia="Arial" w:hAnsi="Arial"/>
                <w:sz w:val="18"/>
                <w:szCs w:val="18"/>
                <w:color w:val="auto"/>
              </w:rPr>
              <w:t>INDEX</w:t>
            </w:r>
          </w:p>
        </w:tc>
        <w:tc>
          <w:tcPr>
            <w:tcW w:w="34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106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0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15"/>
          </w:tcPr>
          <w:p>
            <w:pPr>
              <w:ind w:left="180"/>
              <w:spacing w:after="0"/>
              <w:rPr>
                <w:sz w:val="20"/>
                <w:szCs w:val="20"/>
                <w:color w:val="auto"/>
              </w:rPr>
            </w:pPr>
            <w:r>
              <w:rPr>
                <w:rFonts w:ascii="Arial" w:cs="Arial" w:eastAsia="Arial" w:hAnsi="Arial"/>
                <w:sz w:val="18"/>
                <w:szCs w:val="18"/>
                <w:color w:val="auto"/>
              </w:rPr>
              <w:t>Unaudited Consolidated Financial Statements</w:t>
            </w:r>
          </w:p>
        </w:tc>
        <w:tc>
          <w:tcPr>
            <w:tcW w:w="340" w:type="dxa"/>
            <w:vAlign w:val="bottom"/>
          </w:tcPr>
          <w:p>
            <w:pPr>
              <w:spacing w:after="0"/>
              <w:rPr>
                <w:sz w:val="19"/>
                <w:szCs w:val="19"/>
                <w:color w:val="auto"/>
              </w:rPr>
            </w:pPr>
          </w:p>
        </w:tc>
      </w:tr>
      <w:tr>
        <w:trPr>
          <w:trHeight w:val="190"/>
        </w:trPr>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8000" w:type="dxa"/>
            <w:vAlign w:val="bottom"/>
            <w:gridSpan w:val="8"/>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8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8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63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8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 Operating and Financial Review and Prospects</w:t>
              </w:r>
            </w:hyperlink>
          </w:p>
        </w:tc>
        <w:tc>
          <w:tcPr>
            <w:tcW w:w="652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04"/>
        </w:trPr>
        <w:tc>
          <w:tcPr>
            <w:tcW w:w="20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810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 Changes in Securities, Use of Proceeds and Issuer Purchases of Equity Securities</w:t>
              </w:r>
            </w:hyperlink>
          </w:p>
        </w:tc>
        <w:tc>
          <w:tcPr>
            <w:tcW w:w="40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Reports on Form 6-K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36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64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54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8"/>
        </w:trPr>
        <w:tc>
          <w:tcPr>
            <w:tcW w:w="200" w:type="dxa"/>
            <w:vAlign w:val="bottom"/>
          </w:tcPr>
          <w:p>
            <w:pPr>
              <w:spacing w:after="0"/>
              <w:rPr>
                <w:sz w:val="24"/>
                <w:szCs w:val="24"/>
                <w:color w:val="auto"/>
              </w:rPr>
            </w:pPr>
          </w:p>
        </w:tc>
        <w:tc>
          <w:tcPr>
            <w:tcW w:w="10640" w:type="dxa"/>
            <w:vAlign w:val="bottom"/>
            <w:gridSpan w:val="16"/>
          </w:tcPr>
          <w:p>
            <w:pPr>
              <w:spacing w:after="0"/>
              <w:rPr>
                <w:sz w:val="20"/>
                <w:szCs w:val="20"/>
                <w:color w:val="auto"/>
              </w:rPr>
            </w:pPr>
            <w:r>
              <w:rPr>
                <w:rFonts w:ascii="Arial" w:cs="Arial" w:eastAsia="Arial" w:hAnsi="Arial"/>
                <w:sz w:val="18"/>
                <w:szCs w:val="18"/>
                <w:color w:val="auto"/>
                <w:w w:val="92"/>
              </w:rPr>
              <w:t>This report on Form 6-K shall be incorporated by reference into any Registration Statement filed by the Registrant that by its terms automatically</w:t>
            </w:r>
          </w:p>
        </w:tc>
        <w:tc>
          <w:tcPr>
            <w:tcW w:w="3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0640" w:type="dxa"/>
            <w:vAlign w:val="bottom"/>
            <w:gridSpan w:val="16"/>
          </w:tcPr>
          <w:p>
            <w:pPr>
              <w:spacing w:after="0"/>
              <w:rPr>
                <w:sz w:val="20"/>
                <w:szCs w:val="20"/>
                <w:color w:val="auto"/>
              </w:rPr>
            </w:pPr>
            <w:r>
              <w:rPr>
                <w:rFonts w:ascii="Arial" w:cs="Arial" w:eastAsia="Arial" w:hAnsi="Arial"/>
                <w:sz w:val="18"/>
                <w:szCs w:val="18"/>
                <w:color w:val="auto"/>
                <w:w w:val="93"/>
              </w:rPr>
              <w:t>incorporates the Registrant’s filings and submissions with the SEC under Sections 13(a), 13(c) or 15(d) of the Securities Exchange Act of 1934.</w:t>
            </w:r>
          </w:p>
        </w:tc>
        <w:tc>
          <w:tcPr>
            <w:tcW w:w="340" w:type="dxa"/>
            <w:vAlign w:val="bottom"/>
          </w:tcPr>
          <w:p>
            <w:pPr>
              <w:spacing w:after="0"/>
              <w:rPr>
                <w:sz w:val="20"/>
                <w:szCs w:val="20"/>
                <w:color w:val="auto"/>
              </w:rPr>
            </w:pPr>
          </w:p>
        </w:tc>
      </w:tr>
      <w:tr>
        <w:trPr>
          <w:trHeight w:val="365"/>
        </w:trPr>
        <w:tc>
          <w:tcPr>
            <w:tcW w:w="6780" w:type="dxa"/>
            <w:vAlign w:val="bottom"/>
            <w:gridSpan w:val="16"/>
          </w:tcPr>
          <w:p>
            <w:pPr>
              <w:jc w:val="center"/>
              <w:ind w:left="4550"/>
              <w:spacing w:after="0"/>
              <w:rPr>
                <w:sz w:val="20"/>
                <w:szCs w:val="20"/>
                <w:color w:val="auto"/>
              </w:rPr>
            </w:pPr>
            <w:r>
              <w:rPr>
                <w:rFonts w:ascii="Arial" w:cs="Arial" w:eastAsia="Arial" w:hAnsi="Arial"/>
                <w:sz w:val="18"/>
                <w:szCs w:val="18"/>
                <w:color w:val="auto"/>
                <w:w w:val="99"/>
              </w:rPr>
              <w:t>2</w:t>
            </w: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2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20" w:type="dxa"/>
            <w:vAlign w:val="bottom"/>
          </w:tcPr>
          <w:p>
            <w:pPr>
              <w:jc w:val="center"/>
              <w:ind w:left="1730"/>
              <w:spacing w:after="0"/>
              <w:rPr>
                <w:sz w:val="20"/>
                <w:szCs w:val="20"/>
                <w:color w:val="auto"/>
              </w:rPr>
            </w:pPr>
            <w:r>
              <w:rPr>
                <w:rFonts w:ascii="Arial" w:cs="Arial" w:eastAsia="Arial" w:hAnsi="Arial"/>
                <w:sz w:val="18"/>
                <w:szCs w:val="18"/>
                <w:b w:val="1"/>
                <w:bCs w:val="1"/>
                <w:color w:val="auto"/>
              </w:rPr>
              <w:t>AMDOCS LIMITED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2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20" w:type="dxa"/>
            <w:vAlign w:val="bottom"/>
          </w:tcPr>
          <w:p>
            <w:pPr>
              <w:jc w:val="center"/>
              <w:ind w:left="1730"/>
              <w:spacing w:after="0"/>
              <w:rPr>
                <w:sz w:val="20"/>
                <w:szCs w:val="20"/>
                <w:color w:val="auto"/>
              </w:rPr>
            </w:pPr>
            <w:r>
              <w:rPr>
                <w:rFonts w:ascii="Arial" w:cs="Arial" w:eastAsia="Arial" w:hAnsi="Arial"/>
                <w:sz w:val="18"/>
                <w:szCs w:val="18"/>
                <w:color w:val="auto"/>
                <w:w w:val="88"/>
              </w:rPr>
              <w:t>(dollar and share amounts in thousands, except per share data)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As of</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28"/>
              <w:spacing w:after="0" w:line="119" w:lineRule="exact"/>
              <w:rPr>
                <w:sz w:val="20"/>
                <w:szCs w:val="20"/>
                <w:color w:val="auto"/>
              </w:rPr>
            </w:pPr>
            <w:r>
              <w:rPr>
                <w:rFonts w:ascii="Arial" w:cs="Arial" w:eastAsia="Arial" w:hAnsi="Arial"/>
                <w:sz w:val="13"/>
                <w:szCs w:val="13"/>
                <w:b w:val="1"/>
                <w:bCs w:val="1"/>
                <w:color w:val="auto"/>
                <w:w w:val="99"/>
              </w:rPr>
              <w:t>June 30,</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ASSETS</w:t>
            </w:r>
          </w:p>
        </w:tc>
        <w:tc>
          <w:tcPr>
            <w:tcW w:w="7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460,561</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Short-term interest-bearing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100,480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329,997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982,213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236,988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1,780,242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2,048,486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476,126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355,685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w:t>
            </w:r>
          </w:p>
        </w:tc>
        <w:tc>
          <w:tcPr>
            <w:tcW w:w="7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2,461,129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2,221,209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290,137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435,834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5,443,468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5,279,380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252,596</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669,087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668,087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1,318,757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1,172,946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Deferred income taxes and taxes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210,541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219,417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1,880,599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1,705,310</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Equity:</w:t>
            </w:r>
          </w:p>
        </w:tc>
        <w:tc>
          <w:tcPr>
            <w:tcW w:w="7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Ordinary Shares — Authorized 700,000 shares; £0.01 par value; 275,798 and 273,773 issued and 141,444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144,391 outstanding,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3,569,686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3,458,887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134,354 and 129,382 ordinary shares,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(4,694,717)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(4,365,124)</w:t>
            </w: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8"/>
              <w:spacing w:after="0"/>
              <w:rPr>
                <w:sz w:val="20"/>
                <w:szCs w:val="20"/>
                <w:color w:val="auto"/>
              </w:rPr>
            </w:pPr>
            <w:r>
              <w:rPr>
                <w:rFonts w:ascii="Arial" w:cs="Arial" w:eastAsia="Arial" w:hAnsi="Arial"/>
                <w:sz w:val="18"/>
                <w:szCs w:val="18"/>
                <w:color w:val="auto"/>
              </w:rPr>
              <w:t>(24,379)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4,664,681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4,457,107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Amdocs Limited shareholders’ equity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3,519,706</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3,574,070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3,562,869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3,574,070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5,443,468</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5,279,380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966,695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2,972,249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2,887,431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628,640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1,940,353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1,871,211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836,783</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2,612,761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2,502,145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129,912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131,064</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119,264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$ 91,530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$ 119,264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$310,130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$329,617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(1,272)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(43,169)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$ 60,806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126,724</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266,961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358,492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5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$2,498 and $(1,633) for the three months ended June 30, 2018 and 2017, respectively and of $4,783 and $(1,724) for the nine months ended June 30, 2018 and 2017, respectively.</w:t>
      </w:r>
    </w:p>
    <w:p>
      <w:pPr>
        <w:spacing w:after="0" w:line="1" w:lineRule="exact"/>
        <w:rPr>
          <w:rFonts w:ascii="Arial" w:cs="Arial" w:eastAsia="Arial" w:hAnsi="Arial"/>
          <w:sz w:val="18"/>
          <w:szCs w:val="18"/>
          <w:color w:val="auto"/>
        </w:rPr>
      </w:pPr>
    </w:p>
    <w:p>
      <w:pPr>
        <w:ind w:left="640" w:right="100" w:hanging="436"/>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$5 and $(8) for the three months ended June 30, 2018 and 2017, respectively, and of $9 and $5 for the nine months ended June 30, 2018 and 2017, respectively.</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Nine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310,130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329,617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157,421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441,900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437,104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(197,253)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302,949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218,395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(218,772)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(352,599)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(325,354</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(108,964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(329,593)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(250,231)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of dividends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(305,596)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(460,274)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(189,050)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(132,134)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649,611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768,660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460,561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636,526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subsidiaries operate in one segment and designs, develops, markets, supports, implements and operates amdocsONE, an open and modular solution set.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2017, set forth in the Company’s Annual Report on Form 20-F filed on December 11, 2017 with the U.S. Securities and Exchange Commission, or the SEC.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Update of Summary of Accounting Policies and Contractual Obligations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During the three and nine months ended June 30, 2018 the new entity had negligible earnings or losses and, therefore, an immaterial effect on consolidated financial statements of Amdocs Limited.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obligated to construct the campus and to distribute in the future the new entity’s earnings under certain conditions.</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total net investment the Company expects to make in connection with purchasing of the land and construction of the new campus is estimated to be approximately $350,000 over a period of four to five years, of which approximately $100,000 is expected to be incurred in fiscal year 2018, the majority of which has been incurred as of June 30,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June 2018, the Financial Accounting Standards Board, or FASB issued an Accounting Standard Update, or ASU, that aligns the measurement and classification for share-based payments to nonemployees with the guidance for share-based payments to employees, with certain exceptions. This ASU will be effective for the Company on October 1, 2019, and early adoption is permitted with specific limitations. The Company expects the adoption of this ASU will not have a material impact on its consolidated financial statements.</w:t>
      </w:r>
    </w:p>
    <w:p>
      <w:pPr>
        <w:spacing w:after="0" w:line="17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December 2017, SEC issued Staff Accounting Bulletin No. 118 due to the new tax legislation in the United States (The Tax Cuts and Jobs Act or “The Act”) which allows the Company to record provisional amounts during a one year measurement period. The Act, which was enacted in December 22, 2017, reduces the US federal corporate tax rate from 35% to 21%, requires companies to pay a one-time transition tax on earnings of certain foreign subsidiaries and creates new taxes on certain foreign sourced earnings. As of June 30, 2018, the Company has not completed its accounting for the tax effects of enactment of the Act and made a reasonable estimate of the effects on its existing deferred tax balances and the one-time transition tax. The Company will continue to make and refine its calculations as additional analysis is completed and as it gains a more thorough understanding of the tax law. See also Note 11.</w:t>
      </w:r>
    </w:p>
    <w:p>
      <w:pPr>
        <w:spacing w:after="0" w:line="189"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color w:val="auto"/>
        </w:rPr>
        <w:t>In August 2017, the FASB issued an Accounting Standard Update, or ASU, that amends existing guidance to simplify the application of hedge accounting in certain situations and allows companies to better align their hedge accounting with their risk management activities. The ASU will be effective for the Company beginning in the first quarter of fiscal year 2020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the Company with respect to transactions occurring on or after October 1, 2018 and early adoption is permitted. The Company expects the adoption of this ASU will not have a material impact on its consolidated financial statements.</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result in reclassification of certain cash payments of contingent considerations included in acquisition agreements from investing activities to financing activities and will not have a material impact on its statement of cash flows.</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5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24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May 2014, the FASB issued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the Company beginning in the first quarter of fiscal year 2019. The Company developed a transition plan, including changes to policies, processes and internal controls, as well as system enhancements to generate the information necessary for new disclosure requirements and recently completed an initial assessment to identify the potential areas of impact that this new revenue recognition standard will have on its consolidated financial statement and internal control environment. As part of the initial assessment, the Company reviewed a representative sample of its contracts across its various customers and geographies to identify potential differences that could result from applying the requirements of the new standard. Entities have the option of adopting the new revenue standard using either a full retrospective or a modified approach with the cumulative effect of applying the standard recognized at the date of initial application. The Company currently anticipates adopting the new revenue standard using the modified retrospective transition approach, which will result in a cumulative effect adjustment to retained earnings as of October 1, 2018. While the Company has not finalized the assessment of the impact of the ASU, based on the analysis completed to date, the Company currently anticipates that the cumulative adjustment to its retained earnings will have an immaterial effect.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The Company prospectively adopted this ASU effective October 1, 2017 and as a result did not adjust the prior period amounts that are presented in its consolidated statements of cash flows.</w:t>
      </w:r>
    </w:p>
    <w:p>
      <w:pPr>
        <w:spacing w:after="0" w:line="18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The Company prospectively adopted this ASU effective October 1, 2017. There was no material impact on the Company’s consolidated financial statements.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left="200" w:right="440" w:firstLine="441"/>
        <w:spacing w:after="0" w:line="302" w:lineRule="auto"/>
        <w:rPr>
          <w:sz w:val="20"/>
          <w:szCs w:val="20"/>
          <w:color w:val="auto"/>
        </w:rPr>
      </w:pPr>
      <w:r>
        <w:rPr>
          <w:rFonts w:ascii="Arial" w:cs="Arial" w:eastAsia="Arial" w:hAnsi="Arial"/>
          <w:sz w:val="16"/>
          <w:szCs w:val="16"/>
          <w:color w:val="auto"/>
        </w:rPr>
        <w:t>During the nine months ended June 30, 2018, the Company acquired three technology companies: Vubiquity, a leading provider of premium content services and technology solutions, Projekt202, a leader in experience-driven software design and development, and UXP systems (“UXP”) whose User Lifecycle Management solution is a leading platform for empowering digital user relationships and digital identity, for an aggregate consideration of $352,599 in cash, with a potential for additional consideration subject to the achievement of certain performance metrics.</w:t>
      </w:r>
    </w:p>
    <w:p>
      <w:pPr>
        <w:spacing w:after="0" w:line="154" w:lineRule="exact"/>
        <w:rPr>
          <w:sz w:val="20"/>
          <w:szCs w:val="20"/>
          <w:color w:val="auto"/>
        </w:rPr>
      </w:pPr>
    </w:p>
    <w:p>
      <w:pPr>
        <w:jc w:val="both"/>
        <w:ind w:left="200" w:right="420" w:firstLine="441"/>
        <w:spacing w:after="0" w:line="312" w:lineRule="auto"/>
        <w:rPr>
          <w:sz w:val="20"/>
          <w:szCs w:val="20"/>
          <w:color w:val="auto"/>
        </w:rPr>
      </w:pPr>
      <w:r>
        <w:rPr>
          <w:rFonts w:ascii="Arial" w:cs="Arial" w:eastAsia="Arial" w:hAnsi="Arial"/>
          <w:sz w:val="16"/>
          <w:szCs w:val="16"/>
          <w:color w:val="auto"/>
        </w:rPr>
        <w:t>In allocating the total preliminary purchase price for Vubiquity, based on estimated fair values, the Company recorded $145,658 of goodwill, $38,630 of customer relationships to be amortized over approximately nine years, $39,173 of core technology to be amortized over approximately four years, $10,104 of trade mark to be amortized over eight years and $6,518 of intellectual property right to be amortized over thirteen years.</w:t>
      </w:r>
    </w:p>
    <w:p>
      <w:pPr>
        <w:spacing w:after="0" w:line="14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allocating the total preliminary purchase price of Projekt202, based on estimated fair values, the Company recorded $56,605 of goodwill and $19,835 of customer relationships to be amortized over four years.</w:t>
      </w:r>
    </w:p>
    <w:p>
      <w:pPr>
        <w:spacing w:after="0" w:line="17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In allocating the total preliminary purchase price of UXP, based on estimated fair values, the Company recorded $41,254 of goodwill, $31,552 of core technology to be amortized over five years and $6,552 of customer relationships to be amortized over approximately five years.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June 30, 2018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2017:</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As of June 30, 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47,450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23,262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(15,058)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(15,058)</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0"/>
              </w:rPr>
              <w:t>(47,302)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(47,302)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(47,302)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September 30, 2017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98,385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136,867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248,330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(21,972)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(21,972)</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136,867</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275,682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(21,972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80" w:type="dxa"/>
            <w:vAlign w:val="bottom"/>
            <w:vMerge w:val="restart"/>
          </w:tcPr>
          <w:p>
            <w:pPr>
              <w:jc w:val="right"/>
              <w:ind w:right="9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2018. Level 3 amounts relate to certain acquisition-related liabilities, which were valued using a Monte-Carlo simulation model. These liabilities were included in accrued expenses and other current liabilities and also in other noncurrent liabilities as of June 30, 2018 and September 30, 2017. $6,746 of the increase in Level 3 liabilities during the nine months ended June 30, 2018 was recorded in the consolidated statements of income and the rest of the increase was recorded against goodwill.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June 30, 2018</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8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10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w w:val="82"/>
              </w:rPr>
              <w:t>Losses</w:t>
            </w:r>
          </w:p>
        </w:tc>
        <w:tc>
          <w:tcPr>
            <w:tcW w:w="4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48,256</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144,165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0" w:hanging="436"/>
        <w:spacing w:after="0" w:line="279"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2018, $100,480 of securities were classified as short-term interest-bearing investments and $42,003 of securities were classified as cash and cash equivalents.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As of September 30, 2017</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5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176</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3"/>
          </w:tcPr>
          <w:p>
            <w:pPr>
              <w:ind w:left="420"/>
              <w:spacing w:after="0"/>
              <w:rPr>
                <w:sz w:val="20"/>
                <w:szCs w:val="20"/>
                <w:color w:val="auto"/>
              </w:rPr>
            </w:pPr>
            <w:r>
              <w:rPr>
                <w:rFonts w:ascii="Arial" w:cs="Arial" w:eastAsia="Arial" w:hAnsi="Arial"/>
                <w:sz w:val="18"/>
                <w:szCs w:val="18"/>
                <w:color w:val="auto"/>
              </w:rPr>
              <w:t>Total(2)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385,598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176</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385,197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56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2017, $329,997 of securities were classified as short-term interest-bearing investments and $55,200 of securities were classified as cash and cash equivalents.</w:t>
      </w:r>
    </w:p>
    <w:p>
      <w:pPr>
        <w:spacing w:after="0" w:line="17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As of June 30, 2018,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credit losses in the nine months ended June 30, 2018 and 2017. Realized gains and losses on available-for-sale securities are included in earnings and are derived using the first-in-first-out (FIFO) method for determining the cost of securities.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2018, the Company’s available-for-sale securities had the following maturity dates: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62,855</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4,297</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142,483</w:t>
            </w:r>
          </w:p>
        </w:tc>
        <w:tc>
          <w:tcPr>
            <w:tcW w:w="6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$4,851 as of June 30, 2018. The Company has limited its credit risk by entering into derivative transactions exclusively with investment-grade rated financial institutions and monitors the creditworthiness of these financial institutions on an ongoing basis.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2018. Notional values are in U.S. dollars and are translated and calculated based on forward rates as of June 30, 2018 for forward contracts, and based on spot rates as of June 30, 2018 for options.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1,305,951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20" w:right="120" w:hanging="2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June 30, 2018 and September 30, 2017, is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June 30,</w:t>
            </w:r>
          </w:p>
        </w:tc>
        <w:tc>
          <w:tcPr>
            <w:tcW w:w="130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5"/>
              </w:rPr>
              <w:t>Derivatives designated as hedging instruments</w:t>
            </w:r>
          </w:p>
        </w:tc>
        <w:tc>
          <w:tcPr>
            <w:tcW w:w="2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w w:val="97"/>
              </w:rPr>
              <w:t>Accrued expenses and other current liabilities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(14,542)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(18,800)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88"/>
              </w:rPr>
              <w:t>Derivatives not designated as hedging instruments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Accrued expenses and other current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(15,058)</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60" w:type="dxa"/>
            <w:vAlign w:val="bottom"/>
            <w:vMerge w:val="restart"/>
          </w:tcPr>
          <w:p>
            <w:pPr>
              <w:jc w:val="right"/>
              <w:ind w:right="181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June 30, 2018 is scheduled to mature within the next 12 months.</w:t>
      </w:r>
    </w:p>
    <w:p>
      <w:pPr>
        <w:spacing w:after="0" w:line="15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ind w:left="200" w:right="6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three and nine months ended June 30, 2018 and 2017,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9"/>
              </w:rPr>
              <w:t>Gains (Losses) Reclassified from</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10"/>
          </w:tcPr>
          <w:p>
            <w:pPr>
              <w:jc w:val="right"/>
              <w:spacing w:after="0" w:line="149" w:lineRule="exact"/>
              <w:rPr>
                <w:sz w:val="20"/>
                <w:szCs w:val="20"/>
                <w:color w:val="auto"/>
              </w:rPr>
            </w:pPr>
            <w:r>
              <w:rPr>
                <w:rFonts w:ascii="Arial" w:cs="Arial" w:eastAsia="Arial" w:hAnsi="Arial"/>
                <w:sz w:val="14"/>
                <w:szCs w:val="14"/>
                <w:b w:val="1"/>
                <w:bCs w:val="1"/>
                <w:color w:val="auto"/>
              </w:rPr>
              <w:t>Other Comprehensive Income (Effective Portion)</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320" w:type="dxa"/>
            <w:vAlign w:val="bottom"/>
          </w:tcPr>
          <w:p>
            <w:pPr>
              <w:spacing w:after="0"/>
              <w:rPr>
                <w:sz w:val="14"/>
                <w:szCs w:val="14"/>
                <w:color w:val="auto"/>
              </w:rPr>
            </w:pPr>
          </w:p>
        </w:tc>
        <w:tc>
          <w:tcPr>
            <w:tcW w:w="1940" w:type="dxa"/>
            <w:vAlign w:val="bottom"/>
            <w:gridSpan w:val="7"/>
          </w:tcPr>
          <w:p>
            <w:pPr>
              <w:ind w:left="80"/>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(1,129)</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13,042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40" w:type="dxa"/>
            <w:vAlign w:val="bottom"/>
            <w:shd w:val="clear" w:color="auto" w:fill="CCEEFF"/>
          </w:tcPr>
          <w:p>
            <w:pPr>
              <w:spacing w:after="0"/>
              <w:rPr>
                <w:sz w:val="18"/>
                <w:szCs w:val="18"/>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17,991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(loss) income, net of tax, is as follows:</w:t>
      </w:r>
    </w:p>
    <w:p>
      <w:pPr>
        <w:spacing w:after="0" w:line="189"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Nine months ended</w:t>
      </w:r>
    </w:p>
    <w:p>
      <w:pPr>
        <w:jc w:val="center"/>
        <w:ind w:left="63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$ 24,508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(20,700)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45,538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(21,197)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(15,587)</w:t>
            </w: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(17,389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$ 42,465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(loss) income were $(23,165) and $49,666, or $(20,700) and $45,538 net of taxes, during the nine months ended June 30, 2018 and 2017, respectively.</w:t>
      </w:r>
    </w:p>
    <w:p>
      <w:pPr>
        <w:spacing w:after="0" w:line="170"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Of the net losses related to derivatives designated as cash flow hedges and recorded in accumulated other comprehensive (loss) income as of June 30, 2018, a net loss of $(10,737)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2018 and 2017, was not material.</w:t>
      </w:r>
    </w:p>
    <w:p>
      <w:pPr>
        <w:spacing w:after="0" w:line="170"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2018 and 2017, respectively, which partially offsets the foreign currency impact from the underlying exposure, is summarized as follows: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14"/>
          </w:tcPr>
          <w:p>
            <w:pPr>
              <w:jc w:val="right"/>
              <w:ind w:right="280"/>
              <w:spacing w:after="0"/>
              <w:rPr>
                <w:sz w:val="20"/>
                <w:szCs w:val="20"/>
                <w:color w:val="auto"/>
              </w:rPr>
            </w:pPr>
            <w:r>
              <w:rPr>
                <w:rFonts w:ascii="Arial" w:cs="Arial" w:eastAsia="Arial" w:hAnsi="Arial"/>
                <w:sz w:val="14"/>
                <w:szCs w:val="14"/>
                <w:b w:val="1"/>
                <w:bCs w:val="1"/>
                <w:color w:val="auto"/>
                <w:w w:val="93"/>
              </w:rPr>
              <w:t>Gains (Losses) Recognized in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9"/>
          </w:tcPr>
          <w:p>
            <w:pPr>
              <w:jc w:val="right"/>
              <w:ind w:right="240"/>
              <w:spacing w:after="0"/>
              <w:rPr>
                <w:sz w:val="20"/>
                <w:szCs w:val="20"/>
                <w:color w:val="auto"/>
              </w:rPr>
            </w:pPr>
            <w:r>
              <w:rPr>
                <w:rFonts w:ascii="Arial" w:cs="Arial" w:eastAsia="Arial" w:hAnsi="Arial"/>
                <w:sz w:val="14"/>
                <w:szCs w:val="14"/>
                <w:b w:val="1"/>
                <w:bCs w:val="1"/>
                <w:color w:val="auto"/>
                <w:w w:val="91"/>
              </w:rPr>
              <w:t>Three months ended June 30,</w:t>
            </w:r>
          </w:p>
        </w:tc>
        <w:tc>
          <w:tcPr>
            <w:tcW w:w="300" w:type="dxa"/>
            <w:vAlign w:val="bottom"/>
          </w:tcPr>
          <w:p>
            <w:pPr>
              <w:spacing w:after="0"/>
              <w:rPr>
                <w:sz w:val="14"/>
                <w:szCs w:val="14"/>
                <w:color w:val="auto"/>
              </w:rPr>
            </w:pPr>
          </w:p>
        </w:tc>
        <w:tc>
          <w:tcPr>
            <w:tcW w:w="2040" w:type="dxa"/>
            <w:vAlign w:val="bottom"/>
            <w:gridSpan w:val="10"/>
          </w:tcPr>
          <w:p>
            <w:pPr>
              <w:jc w:val="right"/>
              <w:ind w:right="22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(3,463)</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(818)</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10,751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ind w:right="80"/>
              <w:spacing w:after="0"/>
              <w:rPr>
                <w:sz w:val="20"/>
                <w:szCs w:val="20"/>
                <w:color w:val="auto"/>
              </w:rPr>
            </w:pPr>
            <w:r>
              <w:rPr>
                <w:rFonts w:ascii="Arial" w:cs="Arial" w:eastAsia="Arial" w:hAnsi="Arial"/>
                <w:sz w:val="18"/>
                <w:szCs w:val="18"/>
                <w:color w:val="auto"/>
              </w:rPr>
              <w:t>(6,206)</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3,980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3"/>
        </w:trPr>
        <w:tc>
          <w:tcPr>
            <w:tcW w:w="580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(3,011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Accounts Receivable, Net</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3"/>
          </w:tcPr>
          <w:p>
            <w:pPr>
              <w:ind w:left="440"/>
              <w:spacing w:after="0"/>
              <w:rPr>
                <w:sz w:val="20"/>
                <w:szCs w:val="20"/>
                <w:color w:val="auto"/>
              </w:rPr>
            </w:pPr>
            <w:r>
              <w:rPr>
                <w:rFonts w:ascii="Arial" w:cs="Arial" w:eastAsia="Arial" w:hAnsi="Arial"/>
                <w:sz w:val="18"/>
                <w:szCs w:val="18"/>
                <w:color w:val="auto"/>
              </w:rPr>
              <w:t>Accounts receivable, net consists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As of</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1060" w:type="dxa"/>
            <w:vAlign w:val="bottom"/>
            <w:gridSpan w:val="5"/>
          </w:tcPr>
          <w:p>
            <w:pPr>
              <w:ind w:left="1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$754,099</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664,099</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248,938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229,695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(20,824)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340" w:type="dxa"/>
            <w:vAlign w:val="bottom"/>
            <w:gridSpan w:val="2"/>
          </w:tcPr>
          <w:p>
            <w:pPr>
              <w:ind w:left="8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982,213</w:t>
            </w:r>
          </w:p>
        </w:tc>
        <w:tc>
          <w:tcPr>
            <w:tcW w:w="1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865,068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3"/>
          </w:tcPr>
          <w:p>
            <w:pPr>
              <w:ind w:left="440"/>
              <w:spacing w:after="0"/>
              <w:rPr>
                <w:sz w:val="20"/>
                <w:szCs w:val="20"/>
                <w:color w:val="auto"/>
              </w:rPr>
            </w:pPr>
            <w:r>
              <w:rPr>
                <w:rFonts w:ascii="Arial" w:cs="Arial" w:eastAsia="Arial" w:hAnsi="Arial"/>
                <w:sz w:val="18"/>
                <w:szCs w:val="18"/>
                <w:color w:val="auto"/>
                <w:w w:val="96"/>
              </w:rPr>
              <w:t>Accrued expenses and other current liabilities consist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As of</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5"/>
          </w:tcPr>
          <w:p>
            <w:pPr>
              <w:jc w:val="right"/>
              <w:ind w:right="60"/>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$232,770</w:t>
            </w:r>
          </w:p>
        </w:tc>
        <w:tc>
          <w:tcPr>
            <w:tcW w:w="54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242,918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Project-related provision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180,176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227,049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42,814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35,363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31,736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18,797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159,167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126,556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669,087</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668,087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Restructuring charges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of June 30 2018, the Company approved a restructuring, primarily associated with recently completed acquisitions and internal business realignment action in North America. During the three months ended June 30, 2018 the Company incurred restructuring charges of $30,057 million primarily related to employee severance expenses to be paid over the next several quarters.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(8,423)</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$32,656</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$46,389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Deferred</w:t>
            </w:r>
          </w:p>
        </w:tc>
        <w:tc>
          <w:tcPr>
            <w:tcW w:w="2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19,199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(9,688)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13,372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10,776</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11,800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53,590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2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taxes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19"/>
                <w:szCs w:val="19"/>
                <w:color w:val="auto"/>
              </w:rPr>
            </w:pP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9</w:t>
            </w:r>
          </w:p>
        </w:tc>
        <w:tc>
          <w:tcPr>
            <w:tcW w:w="6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10.5%</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40"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During the nine months ended June 30, 2018, as a result of funding decisions for the construction of the Company’s new campus in Israel (see Note 1) the Company recorded a tax benefit of $23,099 related to the release of withholding and income tax reserves for pre-2018 unremitted earnings.</w:t>
      </w:r>
    </w:p>
    <w:p>
      <w:pPr>
        <w:spacing w:after="0" w:line="12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Foreign taxes in the nine months ended June 30, 2018 also included a benefit of $20,976 relating to release of gross unrecognized tax benefits due to conclusions of tax audits and expiration of the periods set forth in statutes of limitations in certain jurisdictions.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foreign taxes in the nine months ended June 30, 2018 included an expense of $431 relating to changes in tax law in the United States. The expense is attributable to deemed repatriation of foreign income partially offset by a benefit resulting from the re-evaluation of the Company’s deferred tax assets and liabilities due to the expected lower blended effective U.S. federal tax rate when the assets and liabilities are expected to be utilized.</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an indirect consequence to the changes in tax law in the United States the Company no longer makes a permanently reinvest assertion relating to one of its subsidiaries, therefore, a tax liability of $4,059 was recorded related to the tax implications of remitting earnings that were previously asserted as permanently reinvested.</w:t>
      </w:r>
    </w:p>
    <w:p>
      <w:pPr>
        <w:spacing w:after="0" w:line="18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Foreign taxes in the nine months ended June 30, 2018 also included a tax expense of $11,162 resulting from the increase of valuation allowances on deferred tax assets at several of the Company’s subsidiaries, which may not be realized based on the Company’s projections of future taxable income.</w:t>
      </w:r>
    </w:p>
    <w:p>
      <w:pPr>
        <w:spacing w:after="0" w:line="12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Foreign taxes in the nine months ended June 30, 2017 included $5,307 of deferred income tax expense as a result of enacted changes in tax laws or rates during the three months ended December 31, 2016. Foreign taxes in the nine months ended June 30, 2017 also included a benefit of $7,986 due to conclusions of tax audits in certain jurisdictions during the three months ended December 31, 2016, which resulted in a reduction to the Company’s provision for gross unrecognized tax benefits. In addition, foreign taxes in the three and nine months ended June 30, 2017 included a net benefit of $9,037 due to a reduction of taxes payable, partially offset by a reduction of deferred tax asset on operating loss carryforwards of certain of the Company’s subsidiaries resulting from internal structural changes in incorporation in certain jurisdictions in which the Company operates.</w:t>
      </w:r>
    </w:p>
    <w:p>
      <w:pPr>
        <w:spacing w:after="0" w:line="16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 of June 30, 2018, deferred tax assets of $110,424, derived primarily from tax credits, net capital and operating loss carry forwards related to some of the Company’s subsidiaries, were offset by valuation allowances due to the uncertainty of realizing tax benefit for such credits and losses.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$185,056 as of June 30, 2018, all of which would affect the effective tax rate if realized.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June 30, 2018, the Company had accrued $27,928 in income taxes payable for interest and penalties relating to unrecognized tax benefits.</w:t>
      </w:r>
    </w:p>
    <w:p>
      <w:pPr>
        <w:spacing w:after="0" w:line="24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91,530</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119,264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310,130</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329,617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Less-net income and dividends attributable to participating restricted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Numerator for basic earnings per common share</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118,315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307,793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w w:val="99"/>
              </w:rPr>
              <w:t>Less-undistributed income reallocated to participating restricted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for diluted earnings per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118,322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307,808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326,958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141,972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145,904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142,982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Less- weighted average number of participating restricted shares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 basic</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140,924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144,745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141,904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340"/>
              <w:spacing w:after="0"/>
              <w:rPr>
                <w:sz w:val="20"/>
                <w:szCs w:val="20"/>
                <w:color w:val="auto"/>
              </w:rPr>
            </w:pPr>
            <w:r>
              <w:rPr>
                <w:rFonts w:ascii="Arial" w:cs="Arial" w:eastAsia="Arial" w:hAnsi="Arial"/>
                <w:sz w:val="18"/>
                <w:szCs w:val="18"/>
                <w:color w:val="auto"/>
              </w:rPr>
              <w:t>Effect of dilutive stock options granted</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 diluted</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142,147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143,242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3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For the three and nine months ended June 30, 2018, 1,767 and 1,213 shares, respectively, on a weighted average basis, were attributable to antidilutive outstanding stock options. For the three and nine months ended June 30, 2017, 1,664 and 1,686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Repurchase of Shares</w:t>
      </w:r>
    </w:p>
    <w:p>
      <w:pPr>
        <w:spacing w:after="0" w:line="121"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The Company’s Board of Directors adopted a share repurchase plan, on February 2, 2016, which authorized the repurchase of up to $750,000 of the Company’s outstanding ordinary shares with no expiration date. On November 8, 2017, the Company’s Board of Directors adopted another share repurchase plan for the repurchase of up to an additional $800,000 of the Company’s outstanding ordinary shares with no expiration date. In April 2018, the Company completed the repurchase of the remaining authorized amount of ordinary shares under the February 2016 plan and began executing repurchases under the November 2017 plan. In the nine months ended June 30, 2018, the Company repurchased approximately 4,973 ordinary shares at an average price of $66.27 per share (excluding broker and transaction fees). The November 2017 plan permit the Company to purchase its ordinary shares in open market or privately negotiated transactions at times and prices that it considers appropriate. As of June 30, 2018, the Company had remaining authority to repurchase up to $726,742 of its outstanding ordinary shares under the November 2017 plan.</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Financing Arrangements</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In March 2018, the Company borrowed an aggregate of $120,000 under its unsecured $500,000 facility and repaid it in full in April 2018. As of June 30, 2018, the Company was in compliance with the financial covenants under the revolving credit facility.</w:t>
      </w:r>
    </w:p>
    <w:p>
      <w:pPr>
        <w:spacing w:after="0" w:line="154"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As of June 30, 2018, the Company had additional uncommitted lines of credit available for general corporate and other specific purposes and had outstanding letters of credit and bank guarantees from various banks totaling $54,804. These were supported by a combination of the uncommitted lines of credit that the Company maintains with various banks.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Stock Option and Incentive Plan</w:t>
      </w:r>
    </w:p>
    <w:p>
      <w:pPr>
        <w:spacing w:after="0" w:line="121"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by the Company’s Board of Directors to be granted under the Equity Incentive Plan was increased from 62,300 to 67,550. The issuance of such additional shares was registered with the SEC in February 2018. Awards granted under the Equity Incentive Plan generally vest over a period of four years and stock options have a term of ten years.</w:t>
      </w:r>
    </w:p>
    <w:p>
      <w:pPr>
        <w:spacing w:after="0" w:line="165"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During the nine months ended June 30, 2018, the Company granted 428 restricted shares and options to purchase 1,813 ordinary shares. The weighted average fair values associated with these grants were $65.33 per restricted share and $8.70 per option.</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2018 and 2017 was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320" w:type="dxa"/>
            <w:vAlign w:val="bottom"/>
          </w:tcPr>
          <w:p>
            <w:pPr>
              <w:spacing w:after="0"/>
              <w:rPr>
                <w:sz w:val="14"/>
                <w:szCs w:val="14"/>
                <w:color w:val="auto"/>
              </w:rPr>
            </w:pPr>
          </w:p>
        </w:tc>
        <w:tc>
          <w:tcPr>
            <w:tcW w:w="1940" w:type="dxa"/>
            <w:vAlign w:val="bottom"/>
            <w:gridSpan w:val="6"/>
          </w:tcPr>
          <w:p>
            <w:pPr>
              <w:ind w:left="80"/>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4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10,253</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of June 30, 2018, there was $50,283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2018 and 2017:</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Declaration Date</w:t>
            </w:r>
          </w:p>
        </w:tc>
        <w:tc>
          <w:tcPr>
            <w:tcW w:w="2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Dividends Per</w:t>
            </w:r>
          </w:p>
        </w:tc>
        <w:tc>
          <w:tcPr>
            <w:tcW w:w="640" w:type="dxa"/>
            <w:vAlign w:val="bottom"/>
          </w:tcPr>
          <w:p>
            <w:pPr>
              <w:spacing w:after="0"/>
              <w:rPr>
                <w:sz w:val="14"/>
                <w:szCs w:val="14"/>
                <w:color w:val="auto"/>
              </w:rPr>
            </w:pPr>
          </w:p>
        </w:tc>
        <w:tc>
          <w:tcPr>
            <w:tcW w:w="22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Record Date</w:t>
            </w:r>
          </w:p>
        </w:tc>
        <w:tc>
          <w:tcPr>
            <w:tcW w:w="11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Total Amount</w:t>
            </w:r>
          </w:p>
        </w:tc>
        <w:tc>
          <w:tcPr>
            <w:tcW w:w="640" w:type="dxa"/>
            <w:vAlign w:val="bottom"/>
          </w:tcPr>
          <w:p>
            <w:pPr>
              <w:spacing w:after="0"/>
              <w:rPr>
                <w:sz w:val="14"/>
                <w:szCs w:val="14"/>
                <w:color w:val="auto"/>
              </w:rPr>
            </w:pPr>
          </w:p>
        </w:tc>
        <w:tc>
          <w:tcPr>
            <w:tcW w:w="23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w w:val="96"/>
              </w:rPr>
              <w:t>Ordinary Share</w:t>
            </w:r>
          </w:p>
        </w:tc>
        <w:tc>
          <w:tcPr>
            <w:tcW w:w="6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10, 2018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6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29, 2018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35,363</w:t>
            </w:r>
          </w:p>
        </w:tc>
        <w:tc>
          <w:tcPr>
            <w:tcW w:w="6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January 30, 2018</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0.250</w:t>
            </w:r>
          </w:p>
        </w:tc>
        <w:tc>
          <w:tcPr>
            <w:tcW w:w="2920" w:type="dxa"/>
            <w:vAlign w:val="bottom"/>
            <w:gridSpan w:val="2"/>
          </w:tcPr>
          <w:p>
            <w:pPr>
              <w:ind w:left="640"/>
              <w:spacing w:after="0"/>
              <w:rPr>
                <w:sz w:val="20"/>
                <w:szCs w:val="20"/>
                <w:color w:val="auto"/>
              </w:rPr>
            </w:pPr>
            <w:r>
              <w:rPr>
                <w:rFonts w:ascii="Arial" w:cs="Arial" w:eastAsia="Arial" w:hAnsi="Arial"/>
                <w:sz w:val="18"/>
                <w:szCs w:val="18"/>
                <w:color w:val="auto"/>
              </w:rPr>
              <w:t>March 30, 2018</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35,635</w:t>
            </w:r>
          </w:p>
        </w:tc>
        <w:tc>
          <w:tcPr>
            <w:tcW w:w="2940" w:type="dxa"/>
            <w:vAlign w:val="bottom"/>
            <w:gridSpan w:val="2"/>
          </w:tcPr>
          <w:p>
            <w:pPr>
              <w:ind w:left="64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5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292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December 29, 2017</w:t>
            </w:r>
          </w:p>
        </w:tc>
        <w:tc>
          <w:tcPr>
            <w:tcW w:w="5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29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May 9, 2017</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0.220</w:t>
            </w:r>
          </w:p>
        </w:tc>
        <w:tc>
          <w:tcPr>
            <w:tcW w:w="2920" w:type="dxa"/>
            <w:vAlign w:val="bottom"/>
            <w:gridSpan w:val="2"/>
          </w:tcPr>
          <w:p>
            <w:pPr>
              <w:ind w:left="640"/>
              <w:spacing w:after="0"/>
              <w:rPr>
                <w:sz w:val="20"/>
                <w:szCs w:val="20"/>
                <w:color w:val="auto"/>
              </w:rPr>
            </w:pPr>
            <w:r>
              <w:rPr>
                <w:rFonts w:ascii="Arial" w:cs="Arial" w:eastAsia="Arial" w:hAnsi="Arial"/>
                <w:sz w:val="18"/>
                <w:szCs w:val="18"/>
                <w:color w:val="auto"/>
              </w:rPr>
              <w:t>June 30, 2017</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31,983</w:t>
            </w:r>
          </w:p>
        </w:tc>
        <w:tc>
          <w:tcPr>
            <w:tcW w:w="2940" w:type="dxa"/>
            <w:vAlign w:val="bottom"/>
            <w:gridSpan w:val="2"/>
          </w:tcPr>
          <w:p>
            <w:pPr>
              <w:ind w:left="640"/>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2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March 31, 2017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32,223</w:t>
            </w:r>
          </w:p>
        </w:tc>
        <w:tc>
          <w:tcPr>
            <w:tcW w:w="2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November 8, 2016</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0.195</w:t>
            </w:r>
          </w:p>
        </w:tc>
        <w:tc>
          <w:tcPr>
            <w:tcW w:w="2920" w:type="dxa"/>
            <w:vAlign w:val="bottom"/>
            <w:gridSpan w:val="2"/>
          </w:tcPr>
          <w:p>
            <w:pPr>
              <w:ind w:left="640"/>
              <w:spacing w:after="0"/>
              <w:rPr>
                <w:sz w:val="20"/>
                <w:szCs w:val="20"/>
                <w:color w:val="auto"/>
              </w:rPr>
            </w:pPr>
            <w:r>
              <w:rPr>
                <w:rFonts w:ascii="Arial" w:cs="Arial" w:eastAsia="Arial" w:hAnsi="Arial"/>
                <w:sz w:val="18"/>
                <w:szCs w:val="18"/>
                <w:color w:val="auto"/>
              </w:rPr>
              <w:t>December 30, 2016</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28,606</w:t>
            </w:r>
          </w:p>
        </w:tc>
        <w:tc>
          <w:tcPr>
            <w:tcW w:w="2940" w:type="dxa"/>
            <w:vAlign w:val="bottom"/>
            <w:gridSpan w:val="2"/>
          </w:tcPr>
          <w:p>
            <w:pPr>
              <w:ind w:left="640"/>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amounts payable as a result of the May 10, 2018 and May 9, 2017 declarations were included in accrued expenses and other current liabilities as of June 30, 2018 and 2017,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July 31, 2018, the Company’s Board of Directors approved a quarterly dividend payment of $0.25 per share, and set September 28, 2018 as the record date for determining the shareholders entitled to receive the dividend, which is payable on October 19, 2018.</w:t>
      </w:r>
    </w:p>
    <w:p>
      <w:pPr>
        <w:spacing w:after="0" w:line="275" w:lineRule="exact"/>
        <w:rPr>
          <w:sz w:val="20"/>
          <w:szCs w:val="20"/>
          <w:color w:val="auto"/>
        </w:rPr>
      </w:pPr>
    </w:p>
    <w:p>
      <w:pPr>
        <w:ind w:left="640" w:right="9220" w:hanging="436"/>
        <w:spacing w:after="0" w:line="425" w:lineRule="auto"/>
        <w:tabs>
          <w:tab w:leader="none" w:pos="46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is currently defending a lawsuit against certain of its subsidiaries in the U.S. District Court in Oregon alleging breach of contract and trade secret misappropriation. According to the suit, the Company improperly utilized information received from the plaintiff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District Court scheduled a tentative date for trial for late October 2018. The Company filed a motion for summary judgment with the District Court during fiscal year 2018. In the event the District Court does not grant, or only partially grants, the Company’s motion for summary judgment, the Company intends to continue to vigorously defend against the allegations set forth in the complaint at trial. At this stage, the Company cannot determine that a loss amount is probable and is unable to reasonably estimate the ultimate outcome of the above suit, therefore no amounts have been accrued related to the outcome of such suit.</w:t>
      </w:r>
    </w:p>
    <w:p>
      <w:pPr>
        <w:spacing w:after="0" w:line="182"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enterprise in Ecuador, which appears to have political aspects. The Company’s counterparty has claimed monetary damages. The dispute is over a contract, under which the Company was providing certain services, and which has been terminated by the counterparty in connection with such dispute and which is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ind w:left="20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2017, filed on December 11, 2017 with the U.S. Securities and Exchange Commission.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280" w:firstLine="441"/>
        <w:spacing w:after="0" w:line="272"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service providers in developed countries and emerging markets. We develop, implement and manage software and services associated with business support systems (BSS), operational support systems (OSS), the service-driven network and other network solutions, media offerings and digital solutions to enable service providers to efficiently and cost-effectively introduce new products and services, process orders, monetize data, support new business models and generally enhance their understanding of their customers. Our amdocsONE solution set, launched in the second quarter of fiscal 2018, leverages industry-specific best practices and methodologies to give service providers of all sizes the business agility to successfully navigate the continuous digital transformation process.</w:t>
      </w:r>
    </w:p>
    <w:p>
      <w:pPr>
        <w:spacing w:after="0" w:line="17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We believe the demand for our solutions is driven by our clients’ continued transformation into digital service providers seeking to provide wireless access services, content and apps on any device through 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154"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amdocsONE is designed to meet the challenges facing our customers as they transform into digital service providers within the framework of a hybrid IT environment, which requires them to rapidly introduce new cloud-native applications while still operating legacy systems. It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In addition, amdocsONE provides machine-learning-driven business process automation to improve operations.</w:t>
      </w:r>
    </w:p>
    <w:p>
      <w:pPr>
        <w:spacing w:after="0" w:line="173"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 In the second quarter of fiscal 2018, we acquired Vubiquity, a leading provider of premium content services and technology solutions, to further expand into the media business.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also offer a comprehensive line of services designed to address every stage of a service provider’s lifecycle, from planning, delivery and implementation to ongoing support. Our services include managed services (which we refer to as intelligent operations), testing (which we refer to as quality engineering), digital business operations, revenue guard, personalized digital interactive billing services, network service assurance and advisory services.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the nine months ended June 30, 2018, customers in North America accounted for 64.3% of our revenue, while customers in Europe and the rest of the world accounted for 14.2% and 21.5%, respectively. We maintain development facilities in Brazil, Canada, Cyprus, India, Ireland, Israel, Mexico, the Philippines, the UK and the United States.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60" w:right="1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9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Revenue from managed services arrangements accounted for approximately $515.0 million and $496.3 million in the three months ended June 30, 2018 and 2017, respectively, and $1.54 billion and $1.50 billion in the nine months ended June 30, 2018 and 2017, respectively. In the initial period of our managed services projects, we often invest in modernization and consolidation of the customer’s systems. Managed services engagements can be less profitable in their early stages; however, margins tend to improve over time.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2018 and 2017, certain items in our consolidated statements of income reflected as a percentage of revenue:</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Three months</w:t>
            </w: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ended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4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65.0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w w:val="98"/>
              </w:rPr>
              <w:t>Amortization of purchased intangible assets and other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89.5</w:t>
            </w:r>
          </w:p>
        </w:tc>
        <w:tc>
          <w:tcPr>
            <w:tcW w:w="4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86.6</w:t>
            </w:r>
          </w:p>
        </w:tc>
        <w:tc>
          <w:tcPr>
            <w:tcW w:w="4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46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86.7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Interest and other expense, net</w:t>
            </w:r>
          </w:p>
        </w:tc>
        <w:tc>
          <w:tcPr>
            <w:tcW w:w="2440" w:type="dxa"/>
            <w:vAlign w:val="bottom"/>
          </w:tcPr>
          <w:p>
            <w:pPr>
              <w:spacing w:after="0"/>
              <w:rPr>
                <w:sz w:val="19"/>
                <w:szCs w:val="19"/>
                <w:color w:val="auto"/>
              </w:rPr>
            </w:pP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24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10.2</w:t>
            </w:r>
          </w:p>
        </w:tc>
        <w:tc>
          <w:tcPr>
            <w:tcW w:w="4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13.6</w:t>
            </w: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4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2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12.3%</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7"/>
              </w:rPr>
              <w:t>10.4%</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vMerge w:val="restart"/>
          </w:tcPr>
          <w:p>
            <w:pPr>
              <w:jc w:val="right"/>
              <w:ind w:right="1810"/>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Nine Months Ended June 30, 2018 and 2017</w:t>
      </w:r>
    </w:p>
    <w:p>
      <w:pPr>
        <w:spacing w:after="0" w:line="121"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2018 compared to the nine months ended June 30, 2017. Following the table is a discussion and analysis of our business and results of operations for such periods.</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2,972,249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2,887,431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84,818</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1,940,353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1,871,211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69,142</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205,832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194,411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11,421</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2,612,761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2,502,145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110,616</w:t>
            </w:r>
          </w:p>
        </w:tc>
        <w:tc>
          <w:tcPr>
            <w:tcW w:w="3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(25,798)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(1,251)</w:t>
            </w:r>
          </w:p>
        </w:tc>
        <w:tc>
          <w:tcPr>
            <w:tcW w:w="460" w:type="dxa"/>
            <w:vAlign w:val="bottom"/>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(27,049)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(7,562)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(19,487)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$84.8 million, or 2.9%, to $2,972.2 million in the nine months ended June 30, 2018, from $2,887.4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2017. The majority of increase in revenue in absolute amounts, which was net of a decrease of approximately 0.4% from the sale of directory systems, was attributable to increased activity in Europe, and in the rest of the world, and to a lesser extent to North America. The 2.9% increase in revenue, was positively affected by activity related to the acquisitions of Vubiquity, Projekt202 and UXP, which were acquired in fiscal year 2018, as well as approximately one percent from foreign exchange fluctuations.</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$96.3 million, or 3.4%, to $2,937.6 million in the nine months ended June 30, 2018, from $2,841.3 million in the nine months ended June 30, 2017. The majority of increase in revenue in absolute amounts was attributable to increased activity in Europe, in the rest of the world, and to a lesser extent in North America. Revenue resulting from the sale of customer experience solutions represented 98.8% and 98.4% of our total revenue in the nine months ended June 30, 2018 and 2017.</w:t>
      </w:r>
    </w:p>
    <w:p>
      <w:pPr>
        <w:spacing w:after="0" w:line="171"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Revenue attributable to the sale of directory systems decreased by $11.5 million, or 24.9%, to $34.6 million in the nine months ended June 30, 2018, from $46.1 million in the nine months ended June 30, 2017. This decrease was primarily attributable to continued slowness in the directory systems market and we anticipate revenue from the sale of directory systems will continue to decline in fiscal year 2018. Revenue from the sale of directory systems represented 1.2% and 1.6% of our total revenue in the nine months ended June 30, 2018 and 2017.</w:t>
      </w:r>
    </w:p>
    <w:p>
      <w:pPr>
        <w:spacing w:after="0" w:line="154"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the nine months ended June 30, 2018, revenue from customers in North America, Europe and the rest of the world accounted for 64.3%, 14.2% and 21.5%, respectively, of total revenue, compared to 65.9%, 12.4% and 21.7%, respectively, the nine months ended June 30, 2017. The decrease in the percentage of revenue from customers in North America was primarily attributable to lower activity with AT&amp;T which was partially offset by higher revenue from other key customers in North America and by activities related to fiscal year 2018 acquisitions. The increase in revenue from customers in Europe was primarily attributable to higher revenue from development and modernization activities as well as to positive foreign exchange fluctuations.</w:t>
      </w:r>
    </w:p>
    <w:p>
      <w:pPr>
        <w:spacing w:after="0" w:line="158"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Revenue from customers in the rest of the world slightly increased in the nine months ended June 30, 2018, while total revenue increased at a higher rate, which resulted in a decrease in revenue from customers in the rest of the world as a percentage of total revenue. The slight increase in revenue from customers in the rest of the world was driven by increased activity in Asia-Pacific.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costs of third-party products, as well as fee and royalty payments to software suppliers. Cost of revenue increased by $69.1 million, or 3.7%, to $1,940.4 million in the nine months ended June 30, 2018, from $1,871.2 million in the nine months ended June 30, 2017. As a percentage of revenue, cost of revenue increased to 65.3% in the nine months ended June 30, 2018 from 64.8% in the nine months ended June 30, 2017, as a result of changes in fair value of certain acquisition-related liabilities recognized in the nine months ended June 30, 2018 and June 30, 2017.</w:t>
      </w:r>
    </w:p>
    <w:p>
      <w:pPr>
        <w:spacing w:after="0" w:line="15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 is primarily comprised of compensation expense.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increased by $11.4 million, or 5.9%, to $205.8 million in the nine months ended June 30, 2018, from $194.4 million in the nine months ended June 30, 2017. Research and development expense increased as a percentage of revenue from 6.7% in the nine months ended June 30, 2017, to 6.9% in the nine months ended June 30, 2018, as we continue to expand our digital offering as well as our media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$2.7 million, or 0.8%, to $355.3 million in the nine months ended June 30, 2018, from $352.5 million in the nine months ended June 30, 2017. Selling, general and administrative expense may fluctuate from time to time, depending upon such factors as changes in our workforce and sales efforts and the results of any operational efficiency programs that we may undertake.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nine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decreased by $2.7 million, or 3.2% to $81.3 million from $84.0 million in the nine months ended June 30, 2017. The decrease in amortization of purchased intangible assets and other was primarily attributable to a decrease in amortization of intangible assets due to timing of amortization charges of previously purchased intangible assets offset by increase of amortization of intangible assets due to the acquisitions completed in fiscal year 2018.</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for the nine months ended June 30, 2018 were $30.1 million, while there were no such charges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June 30, 2017. The restructuring charges were primarily associated with recently completed acquisitions and internal business realignment actions in North America. Please see Note 10 to our consolidated financial statements.</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$25.8 million, or 6.7%, in the nine months ended June 30, 2018, to $359.5 million, or 12.1%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$385.3 million, or 13.3% of revenue, in the nine months ended June 30, 2017. The decrease in operating income as a percentage of revenue was attributable to operating expenses, particularly to restructuring charges recognized in the nine months ended June 30, 2018. Negative foreign exchange impacts on our operating expenses were partially offset by the positive foreign exchange impacts on our revenue, resulting in a negative impact on our operating income.</w:t>
      </w:r>
    </w:p>
    <w:p>
      <w:pPr>
        <w:spacing w:after="0" w:line="188"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loss of $2.1 million in the nine months ended June 30,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 million net loss in the nine months ended June 30, 2018. The decrease in interest and other expense, net, was primarily attributable to foreign exchange impacts.</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nine months ended June 30, 2018 were $46.0 million on pre-tax income of $356.2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12.9%, compared to 14.0% in the nine months ended June 30, 2017. Our effective tax rate may fluctuate between periods as a result of discrete items that may affect a particular period. Please see Note 11 to our consolidated financial statements.</w:t>
      </w:r>
    </w:p>
    <w:p>
      <w:pPr>
        <w:spacing w:after="0" w:line="166"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$19.5 million, or 5.9%, to $310.1 million in the nine months ended June 30, 2018, from $329.6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June 30, 2017. The decrease in net income was attributable to the decrease in operating income partially offset by decrease in income taxes.</w:t>
      </w:r>
    </w:p>
    <w:p>
      <w:pPr>
        <w:spacing w:after="0" w:line="18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decreased by $0.08, or 3.6%, to $2.15 in the nine months ended June 30, 2018,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$2.23 in the nine months ended June 30, 2017. The decrease in diluted earnings per share was primarily attributable to the decrease in net income, partially offset by the decrease in the diluted weighted average number of shares outstanding which resulted from share repurchases.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Months Ended June 30, 2018 and 2017</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2018 compared to the three months ended June 30, 2017. Following the table is a discussion and analysis of our business and results of operations for such periods.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82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$966,695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$ 35,503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628,640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21,929</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72,729</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67,118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5,611</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26,929</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27,028</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836,783</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59,897</w:t>
            </w:r>
          </w:p>
        </w:tc>
        <w:tc>
          <w:tcPr>
            <w:tcW w:w="38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129,912</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(24,394)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(4,364)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(28,758)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11,800</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119,264</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(27,734)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$35.5 million, or 3.7%, to $1002.2 million in the three months ended June 30, 2018, from $966.7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2017. The majority of the increase in revenue in absolute amounts, was attributable to increased activity in Europe, and in the rest of the world, and to a lesser extent to North America. The 3.7% increase in revenue, was positively affected to a large extent by activity related to the acquisitions of Vubiquity, Projekt202 and UXP, which were acquired in fiscal year 2018, as well as approximately half a percent from foreign exchange fluctuations.</w:t>
      </w:r>
    </w:p>
    <w:p>
      <w:pPr>
        <w:spacing w:after="0" w:line="18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Revenue attributable to the sale of customer experience solutions increased by $36.2 million, or 3.8%, to $991.0 million in the three months ended June 30, 2018, from $954.8 million in the three months ended June 30, 2017. The majority of the increase in revenue in absolute amounts, was attributable to increased activity in Europe, in the rest of the world, and to a lesser extent in North America. Revenue resulting from the sale of customer experience solutions represented 98.9% and 98.8% of our total revenue in the three months ended June 30, 2018 and 2017, respectively.</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Revenue attributable to the sale of directory systems decreased by $0.7 million, or 5.9%, to $11.2 million in the three months ended June 30, 2018, from $11.9 million in the three months ended June 30, 2017. This decrease was primarily attributable to continued slowness in the directory systems market and we anticipate revenue from the sale of directory systems will continue to decline in fiscal year 2018. Revenue from the sale of directory systems represented 1.1% and 1.2% of our total revenue in the three months ended June 30, 2018 and 2017, respectively.</w:t>
      </w:r>
    </w:p>
    <w:p>
      <w:pPr>
        <w:spacing w:after="0" w:line="171"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In the three months ended June 30, 2018, revenue from customers in North America, Europe and the rest of the world accounted for 64.3%, 13.9% and 21.8%, respectively, of total revenue, compared to 66.0%, 12.9% and 21.1%, respectively, in the three months ended June 30, 2017. The decrease in the percentage of revenue from customers in North America was primarily attributable to lower activity with AT&amp;T which was partially offset by higher revenue from other key customers in North America and by activities related to fiscal year 2018 acquisitions. The increase in revenue from customers in Europe was primarily attributable to higher revenue from development and modernization activities as well as to positive foreign exchange fluctuations.</w:t>
      </w:r>
    </w:p>
    <w:p>
      <w:pPr>
        <w:spacing w:after="0" w:line="15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increase in revenue from customers in the rest of the world was attributable to higher revenue from customers in Asia-Pacific as a result of our progress for new and existing customers.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increased by $21.9 million, or 3.5%, to $650.6 million in the three months ended June 30, 2018,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$628.6 million in the three months ended June 30, 2017. As a percentage of revenue, cost of revenue decreased to 64.9% in the three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from 65.0% in the three months ended June 30, 2017.</w:t>
      </w:r>
    </w:p>
    <w:p>
      <w:pPr>
        <w:spacing w:after="0" w:line="21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 increased by $5.6 million, or 8.4%, to $72.7 million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2018, from $67.1 million in the three months ended June 30, 2017. Research and development expense as a percentage of revenue increased to 7.3% in the three months ended June 30, 2018, from 6.9% in the three months ended June 30, 2017 as we continue to expand our media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78"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$2.4 million, or 2.1%, to $116.4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2018, from $114.0 million in the three months ended June 30, 2017. The increase in Selling, general and administrative expense is primarily attributable to activities related to fiscal year 2018 acquisitions.</w:t>
      </w:r>
    </w:p>
    <w:p>
      <w:pPr>
        <w:spacing w:after="0" w:line="18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decreased by $0.1 million, or 0.4% to $26.9 million from $27.0 million in the three months ended June 30, 2017. The decrease in amortization of purchased intangible assets and other was primarily attributable to a decrease in amortization of intangible assets due to timing of amortization charges of previously purchased intangible assets offset by increase of amortization of intangible assets due to the acquisitions completed in fiscal year 2018.</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for the three months ended June 30, 2018 were $30.1 million, while there were no such charges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2017. The restructuring charges were primarily associated with recently completed acquisitions and internal business realignment actions in North America. Please see Note 10 to our consolidated financial statements.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$24.4 million, or 18.8%, in the three months ended June 30, 2018, to $105.5 million, or 10.5%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$129.9 million, or 13.4% of revenue, in the three months ended June 30, 2017. The decrease in operating income as a percentage of revenue was attributable to operating expenses, particularly to restructuring charges recognized in the three months ended June 30, 2018. Negative foreign exchange impacts on our operating expenses were partially offset by the positive foreign exchange impacts on our revenue, resulting in a minor negative impact on our operating income.</w:t>
      </w:r>
    </w:p>
    <w:p>
      <w:pPr>
        <w:spacing w:after="0" w:line="18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gain of $1.2 million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to a net loss of $3.2 million in the three months ended June 30, 2018. This change in interest and other expense, net, was primarily attributable to foreign exchange impacts.</w:t>
      </w:r>
    </w:p>
    <w:p>
      <w:pPr>
        <w:spacing w:after="0" w:line="18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2018 were $10.8 million on pre-tax income of $102.3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10.5%, compared to 9.0% in the three months ended June 30, 2017. Our effective tax rate may fluctuate between periods as a result of discrete items that may affect a particular period. Please see Note 11 to our consolidated financial statements.</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$27.7 million, or 23.3%, to $91.5 million in the three months ended June 30, 2018, from $119.3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2017. The decrease in net income was primarily attributable to the decrease in operating income coupled with the change in interest and other expense, Net.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decreased by $0.17, or 21.0%, to $0.64 in the three months ended June 30, 2018, from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$0.81 in the three months ended June 30, 2017. The decrease in diluted earnings per share was attributable to the decrease in net income, partially offset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decrease in the diluted weighted average number of shares outstanding which resulted from share repurchases.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$561.0 million as of June 30, 2018, compared to $979.6 million as of September 30, 2017. The decrease was mainly attributable to $352.6 million in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paid for acquisition, $329.6 million used to repurchase our ordinary shares, $197.3 million for capital expenditures, net and $98.9 million of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dividend payment, partially offset by $441.9 million positive cash flow from operations, proceeds from stock option exercises $76.2 million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$47.0 million investment by noncontrolling interests, net. Net cash provided by operating activities amounted to $441.9 million and $437.1 million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nine months ended June 30, 2018 and 2017, respectively.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2018, we plan to return to shareholders approximately 100% of our free cash flow before the capital expenditures associated with the multiyear development of our new campus in Israel, through our ongoing share repurchase and dividend program.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bank deposits, corporate bonds, money market funds ,U.S. government treasuries, U.S. agency securities, and asset backed obligations. We believe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have conservative investment policy guidelines. Our interest-bearing investments are stated at fair value with the unrealized gains or losses reported as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separate component of accumulated other comprehensive (loss) income, net of tax, unless a security is other than temporarily impaired, in which case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loss is recorded in the consolidated statements of income. Our interest-bearing investments are priced by pricing vendors and are classified 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Level 1 or Level 2 investments, since these vendors either provide a quoted market price in an active market or use other observable inputs to price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During the nine months ended June 30, 2018 and 2017, we did not recognize credit losses. Please see Notes 5 and 6 to the consolidated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financial 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December 2011, we entered into an unsecured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 million five-year revolving credit facility with a syndicate of banks. In December 2014 and in December 2017, the credit facility was amended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restated to, among other things, extend the maturity date of the facility to December 2019 and December 2022, respectively. In March 2018,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borrowed an aggregate of $120.0 under the unsecured $500.0 facility and repaid it in full in April 2018. As of June 30, 2018, we were in compliance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the financial covenants under the revolving credit facility.</w:t>
      </w:r>
    </w:p>
    <w:p>
      <w:pPr>
        <w:spacing w:after="0" w:line="21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of June 30, 2018, we had additional uncommitted lines of credit available for general corporate and other specific purposes and had outstanding letters of credit and bank guarantees from various banks totaling $54.8 million. These were supported by a combination of the uncommitted lines of credit that we maintain with various banks.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2017, filed on December 11, 2017 with the SEC. Since September 30, 2017, there have been no material changes in our aggregate contractual obligations other than as set forth in Note 1 to our consolidated financial statements.</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(excluding the investment in our new campus in Israel)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computer equipment, and the remainder is attributable mainly to leasehold improvements. Our capital expenditures were approximately $197.3 million in the nine months ended June 30, 2018 and were mainly attributable to investments in our operating facilities and our development centers around the world. Our policy is to fund our capital expenditures from operating cash flows and we do not anticipate any changes to this policy in the foreseeable future. Regarding our expected investment in our new Campus in Israel. Please see Note 1 to our consolidated financial statements.</w:t>
      </w:r>
    </w:p>
    <w:p>
      <w:pPr>
        <w:spacing w:after="0" w:line="158"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can adopt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Our Board of Directors adopted a share repurchase plan, on February 2, 2016, which authorized the repurchase of up to $750.0 of our outstanding ordinary shares with no expiration date. On November 8, 2017, Our Board of Directors adopted another share repurchase plan for the repurchase of up to an additional $800.0 of our outstanding ordinary shares with no expiration date. In April 2018, we completed the repurchase of the remaining authorized amount of ordinary shares under the February, 2016 plan and began executing repurchases under the November 2017 plan. In the nine months ended June 30, 2018, we repurchased approximately 5.0 million ordinary shares at an average price of $66.27 per share (excluding broker and transaction fees). The November 2017 plan permit us to purchase our ordinary shares in open market or privately negotiated transactions at times and prices that it considers appropriate. As of June 30, 2018, we had remaining authority to repurchase up to $726.7 of our outstanding ordinary shares under the November 2017 plan.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2018 and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Dividends Per</w:t>
            </w:r>
          </w:p>
        </w:tc>
        <w:tc>
          <w:tcPr>
            <w:tcW w:w="460" w:type="dxa"/>
            <w:vAlign w:val="bottom"/>
          </w:tcPr>
          <w:p>
            <w:pPr>
              <w:spacing w:after="0"/>
              <w:rPr>
                <w:sz w:val="14"/>
                <w:szCs w:val="14"/>
                <w:color w:val="auto"/>
              </w:rPr>
            </w:pPr>
          </w:p>
        </w:tc>
        <w:tc>
          <w:tcPr>
            <w:tcW w:w="15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280" w:type="dxa"/>
            <w:vAlign w:val="bottom"/>
            <w:gridSpan w:val="3"/>
          </w:tcPr>
          <w:p>
            <w:pPr>
              <w:ind w:left="420"/>
              <w:spacing w:after="0"/>
              <w:rPr>
                <w:sz w:val="20"/>
                <w:szCs w:val="20"/>
                <w:color w:val="auto"/>
              </w:rPr>
            </w:pPr>
            <w:r>
              <w:rPr>
                <w:rFonts w:ascii="Arial" w:cs="Arial" w:eastAsia="Arial" w:hAnsi="Arial"/>
                <w:sz w:val="14"/>
                <w:szCs w:val="14"/>
                <w:b w:val="1"/>
                <w:bCs w:val="1"/>
                <w:color w:val="auto"/>
                <w:w w:val="93"/>
              </w:rPr>
              <w:t>Total Amount</w:t>
            </w:r>
          </w:p>
        </w:tc>
        <w:tc>
          <w:tcPr>
            <w:tcW w:w="460" w:type="dxa"/>
            <w:vAlign w:val="bottom"/>
          </w:tcPr>
          <w:p>
            <w:pPr>
              <w:spacing w:after="0"/>
              <w:rPr>
                <w:sz w:val="14"/>
                <w:szCs w:val="14"/>
                <w:color w:val="auto"/>
              </w:rPr>
            </w:pPr>
          </w:p>
        </w:tc>
        <w:tc>
          <w:tcPr>
            <w:tcW w:w="13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2760" w:type="dxa"/>
            <w:vAlign w:val="bottom"/>
            <w:gridSpan w:val="3"/>
            <w:vMerge w:val="continue"/>
          </w:tcPr>
          <w:p>
            <w:pPr>
              <w:spacing w:after="0"/>
              <w:rPr>
                <w:sz w:val="15"/>
                <w:szCs w:val="15"/>
                <w:color w:val="auto"/>
              </w:rPr>
            </w:pPr>
          </w:p>
        </w:tc>
        <w:tc>
          <w:tcPr>
            <w:tcW w:w="2380" w:type="dxa"/>
            <w:vAlign w:val="bottom"/>
            <w:gridSpan w:val="3"/>
          </w:tcPr>
          <w:p>
            <w:pPr>
              <w:ind w:left="1400"/>
              <w:spacing w:after="0" w:line="158" w:lineRule="exact"/>
              <w:rPr>
                <w:sz w:val="20"/>
                <w:szCs w:val="20"/>
                <w:color w:val="auto"/>
              </w:rPr>
            </w:pPr>
            <w:r>
              <w:rPr>
                <w:rFonts w:ascii="Arial" w:cs="Arial" w:eastAsia="Arial" w:hAnsi="Arial"/>
                <w:sz w:val="14"/>
                <w:szCs w:val="14"/>
                <w:b w:val="1"/>
                <w:bCs w:val="1"/>
                <w:color w:val="auto"/>
                <w:w w:val="94"/>
              </w:rPr>
              <w:t>Ordinary Share</w:t>
            </w:r>
          </w:p>
        </w:tc>
        <w:tc>
          <w:tcPr>
            <w:tcW w:w="4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9"/>
              </w:rPr>
              <w:t>(In millions)</w:t>
            </w:r>
          </w:p>
        </w:tc>
        <w:tc>
          <w:tcPr>
            <w:tcW w:w="4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May 10, 2018</w:t>
            </w:r>
          </w:p>
        </w:tc>
        <w:tc>
          <w:tcPr>
            <w:tcW w:w="17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0.250</w:t>
            </w:r>
          </w:p>
        </w:tc>
        <w:tc>
          <w:tcPr>
            <w:tcW w:w="4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29, 2018</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w:t>
            </w:r>
          </w:p>
        </w:tc>
        <w:tc>
          <w:tcPr>
            <w:tcW w:w="4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January 30, 2018</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0.250</w:t>
            </w:r>
          </w:p>
        </w:tc>
        <w:tc>
          <w:tcPr>
            <w:tcW w:w="1960" w:type="dxa"/>
            <w:vAlign w:val="bottom"/>
            <w:gridSpan w:val="2"/>
          </w:tcPr>
          <w:p>
            <w:pPr>
              <w:ind w:left="460"/>
              <w:spacing w:after="0"/>
              <w:rPr>
                <w:sz w:val="20"/>
                <w:szCs w:val="20"/>
                <w:color w:val="auto"/>
              </w:rPr>
            </w:pPr>
            <w:r>
              <w:rPr>
                <w:rFonts w:ascii="Arial" w:cs="Arial" w:eastAsia="Arial" w:hAnsi="Arial"/>
                <w:sz w:val="18"/>
                <w:szCs w:val="18"/>
                <w:color w:val="auto"/>
              </w:rPr>
              <w:t>March 30, 2018</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35.6</w:t>
            </w:r>
          </w:p>
        </w:tc>
        <w:tc>
          <w:tcPr>
            <w:tcW w:w="1760" w:type="dxa"/>
            <w:vAlign w:val="bottom"/>
            <w:gridSpan w:val="2"/>
          </w:tcPr>
          <w:p>
            <w:pPr>
              <w:ind w:left="46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1740" w:type="dxa"/>
            <w:vAlign w:val="bottom"/>
            <w:tcBorders>
              <w:bottom w:val="single" w:sz="8" w:color="auto"/>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196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3"/>
              </w:rPr>
              <w:t>December 29, 2017</w:t>
            </w:r>
          </w:p>
        </w:tc>
        <w:tc>
          <w:tcPr>
            <w:tcW w:w="74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76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1"/>
              </w:rPr>
              <w:t>January 19,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May 9, 2017</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0.220</w:t>
            </w:r>
          </w:p>
        </w:tc>
        <w:tc>
          <w:tcPr>
            <w:tcW w:w="1960" w:type="dxa"/>
            <w:vAlign w:val="bottom"/>
            <w:gridSpan w:val="2"/>
          </w:tcPr>
          <w:p>
            <w:pPr>
              <w:ind w:left="460"/>
              <w:spacing w:after="0"/>
              <w:rPr>
                <w:sz w:val="20"/>
                <w:szCs w:val="20"/>
                <w:color w:val="auto"/>
              </w:rPr>
            </w:pPr>
            <w:r>
              <w:rPr>
                <w:rFonts w:ascii="Arial" w:cs="Arial" w:eastAsia="Arial" w:hAnsi="Arial"/>
                <w:sz w:val="18"/>
                <w:szCs w:val="18"/>
                <w:color w:val="auto"/>
              </w:rPr>
              <w:t>June 30, 2017</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1760" w:type="dxa"/>
            <w:vAlign w:val="bottom"/>
            <w:gridSpan w:val="2"/>
          </w:tcPr>
          <w:p>
            <w:pPr>
              <w:ind w:left="460"/>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1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March 31, 2017</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November 8, 2016</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0.195</w:t>
            </w:r>
          </w:p>
        </w:tc>
        <w:tc>
          <w:tcPr>
            <w:tcW w:w="1960" w:type="dxa"/>
            <w:vAlign w:val="bottom"/>
            <w:gridSpan w:val="2"/>
          </w:tcPr>
          <w:p>
            <w:pPr>
              <w:ind w:left="460"/>
              <w:spacing w:after="0"/>
              <w:rPr>
                <w:sz w:val="20"/>
                <w:szCs w:val="20"/>
                <w:color w:val="auto"/>
              </w:rPr>
            </w:pPr>
            <w:r>
              <w:rPr>
                <w:rFonts w:ascii="Arial" w:cs="Arial" w:eastAsia="Arial" w:hAnsi="Arial"/>
                <w:sz w:val="18"/>
                <w:szCs w:val="18"/>
                <w:color w:val="auto"/>
                <w:w w:val="93"/>
              </w:rPr>
              <w:t>December 30, 2016</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1760" w:type="dxa"/>
            <w:vAlign w:val="bottom"/>
            <w:gridSpan w:val="2"/>
          </w:tcPr>
          <w:p>
            <w:pPr>
              <w:ind w:left="460"/>
              <w:spacing w:after="0"/>
              <w:rPr>
                <w:sz w:val="20"/>
                <w:szCs w:val="20"/>
                <w:color w:val="auto"/>
              </w:rPr>
            </w:pPr>
            <w:r>
              <w:rPr>
                <w:rFonts w:ascii="Arial" w:cs="Arial" w:eastAsia="Arial" w:hAnsi="Arial"/>
                <w:sz w:val="18"/>
                <w:szCs w:val="18"/>
                <w:color w:val="auto"/>
                <w:w w:val="91"/>
              </w:rPr>
              <w:t>January 13, 2017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July 31, 2018, our Board of Directors approved a quarterly dividend payment of $0.25 per share, and set September 28, 2018 as the record date for determining the shareholders entitled to receive the dividend, which is payable on October 19, 2018.</w:t>
      </w:r>
    </w:p>
    <w:p>
      <w:pPr>
        <w:spacing w:after="0" w:line="17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During the nine months ended June 30, 2018 and 2017,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Changes in Securities, Use of Proceeds and Issuer Purchases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2018 of equity securities that are registered by us pursuant to Section 12 of the Exchange Act:</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2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8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(b)</w:t>
            </w:r>
          </w:p>
        </w:tc>
        <w:tc>
          <w:tcPr>
            <w:tcW w:w="1700" w:type="dxa"/>
            <w:vAlign w:val="bottom"/>
            <w:gridSpan w:val="2"/>
          </w:tcPr>
          <w:p>
            <w:pPr>
              <w:jc w:val="center"/>
              <w:ind w:left="496"/>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58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gridSpan w:val="2"/>
          </w:tcPr>
          <w:p>
            <w:pPr>
              <w:jc w:val="center"/>
              <w:ind w:left="1196"/>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58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30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5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58"/>
        </w:trPr>
        <w:tc>
          <w:tcPr>
            <w:tcW w:w="3060" w:type="dxa"/>
            <w:vAlign w:val="bottom"/>
            <w:gridSpan w:val="4"/>
            <w:vMerge w:val="continue"/>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1680" w:type="dxa"/>
            <w:vAlign w:val="bottom"/>
            <w:gridSpan w:val="3"/>
          </w:tcPr>
          <w:p>
            <w:pPr>
              <w:ind w:left="580"/>
              <w:spacing w:after="0" w:line="158" w:lineRule="exact"/>
              <w:rPr>
                <w:sz w:val="20"/>
                <w:szCs w:val="20"/>
                <w:color w:val="auto"/>
              </w:rPr>
            </w:pPr>
            <w:r>
              <w:rPr>
                <w:rFonts w:ascii="Arial" w:cs="Arial" w:eastAsia="Arial" w:hAnsi="Arial"/>
                <w:sz w:val="14"/>
                <w:szCs w:val="14"/>
                <w:b w:val="1"/>
                <w:bCs w:val="1"/>
                <w:color w:val="auto"/>
                <w:w w:val="93"/>
              </w:rPr>
              <w:t>Paid per Share(1)</w:t>
            </w:r>
          </w:p>
        </w:tc>
        <w:tc>
          <w:tcPr>
            <w:tcW w:w="5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2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04/01/18-04/30/18</w:t>
            </w:r>
          </w:p>
        </w:tc>
        <w:tc>
          <w:tcPr>
            <w:tcW w:w="1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301,268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66.69</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301,268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816,535,701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05/01/18-05/31/18</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559,087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66.35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559,087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796,443,427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06/01/18-06/30/18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759,345,919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4"/>
          </w:tcPr>
          <w:p>
            <w:pPr>
              <w:ind w:left="42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1,332,675</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67.38</w:t>
            </w:r>
          </w:p>
        </w:tc>
        <w:tc>
          <w:tcPr>
            <w:tcW w:w="5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1,332,675</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726,741,836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hanging="436"/>
        <w:spacing w:after="0" w:line="273"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February 2016, our Board of Directors adopted a share repurchase plan authorizing the repurchase of up to $750.0 million of our outstanding ordinary shares. On November 8, 2017,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32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Reports on Form 6-K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2018:</w:t>
      </w:r>
    </w:p>
    <w:p>
      <w:pPr>
        <w:spacing w:after="0" w:line="131"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May 11,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May 21, 2018</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24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August 13, 2018</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sectPr>
      <w:pgSz w:w="11900" w:h="16838" w:orient="portrait"/>
      <w:cols w:equalWidth="0" w:num="1">
        <w:col w:w="10920"/>
      </w:cols>
      <w:pgMar w:left="240" w:top="45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7"/>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2019-12-06T13:04:46Z</dcterms:created>
  <dcterms:modified xsi:type="dcterms:W3CDTF">2019-12-06T13:04:46Z</dcterms:modified>
</cp:coreProperties>
</file>