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580"/>
        <w:spacing w:after="0"/>
        <w:rPr>
          <w:sz w:val="20"/>
          <w:szCs w:val="20"/>
          <w:color w:val="auto"/>
        </w:rPr>
      </w:pPr>
      <w:r>
        <w:rPr>
          <w:rFonts w:ascii="Arial" w:cs="Arial" w:eastAsia="Arial" w:hAnsi="Arial"/>
          <w:sz w:val="22"/>
          <w:szCs w:val="22"/>
          <w:b w:val="1"/>
          <w:bCs w:val="1"/>
          <w:color w:val="auto"/>
        </w:rPr>
        <w:t>PURSUANT TO RULE 13a-16 OR 15d-16 OF</w:t>
      </w:r>
    </w:p>
    <w:p>
      <w:pPr>
        <w:ind w:left="34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For the Quarter Ended December 31, 2019</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6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240" w:top="230" w:right="8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8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4"/>
          </w:tcPr>
          <w:p>
            <w:pPr>
              <w:jc w:val="center"/>
              <w:ind w:right="2480"/>
              <w:spacing w:after="0"/>
              <w:rPr>
                <w:sz w:val="20"/>
                <w:szCs w:val="20"/>
                <w:color w:val="auto"/>
              </w:rPr>
            </w:pPr>
            <w:r>
              <w:rPr>
                <w:rFonts w:ascii="Arial" w:cs="Arial" w:eastAsia="Arial" w:hAnsi="Arial"/>
                <w:sz w:val="18"/>
                <w:szCs w:val="18"/>
                <w:color w:val="auto"/>
              </w:rPr>
              <w:t>AMDOCS LIMITED</w:t>
            </w:r>
          </w:p>
        </w:tc>
        <w:tc>
          <w:tcPr>
            <w:tcW w:w="19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2"/>
          </w:tcPr>
          <w:p>
            <w:pPr>
              <w:jc w:val="center"/>
              <w:ind w:right="3060"/>
              <w:spacing w:after="0"/>
              <w:rPr>
                <w:sz w:val="20"/>
                <w:szCs w:val="20"/>
                <w:color w:val="auto"/>
              </w:rPr>
            </w:pPr>
            <w:r>
              <w:rPr>
                <w:rFonts w:ascii="Arial" w:cs="Arial" w:eastAsia="Arial" w:hAnsi="Arial"/>
                <w:sz w:val="18"/>
                <w:szCs w:val="18"/>
                <w:color w:val="auto"/>
                <w:w w:val="97"/>
              </w:rPr>
              <w:t>FORM 6-K</w:t>
            </w:r>
          </w:p>
        </w:tc>
        <w:tc>
          <w:tcPr>
            <w:tcW w:w="19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40" w:type="dxa"/>
            <w:vAlign w:val="bottom"/>
            <w:gridSpan w:val="7"/>
          </w:tcPr>
          <w:p>
            <w:pPr>
              <w:jc w:val="center"/>
              <w:ind w:right="1680"/>
              <w:spacing w:after="0"/>
              <w:rPr>
                <w:sz w:val="20"/>
                <w:szCs w:val="20"/>
                <w:color w:val="auto"/>
              </w:rPr>
            </w:pPr>
            <w:r>
              <w:rPr>
                <w:rFonts w:ascii="Arial" w:cs="Arial" w:eastAsia="Arial" w:hAnsi="Arial"/>
                <w:sz w:val="18"/>
                <w:szCs w:val="18"/>
                <w:color w:val="auto"/>
                <w:w w:val="92"/>
              </w:rPr>
              <w:t>REPORT OF FOREIGN PRIVATE ISSUER</w:t>
            </w:r>
          </w:p>
        </w:tc>
        <w:tc>
          <w:tcPr>
            <w:tcW w:w="1900" w:type="dxa"/>
            <w:vAlign w:val="bottom"/>
          </w:tcPr>
          <w:p>
            <w:pPr>
              <w:spacing w:after="0"/>
              <w:rPr>
                <w:sz w:val="24"/>
                <w:szCs w:val="24"/>
                <w:color w:val="auto"/>
              </w:rPr>
            </w:pPr>
          </w:p>
        </w:tc>
      </w:tr>
      <w:tr>
        <w:trPr>
          <w:trHeight w:val="418"/>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00" w:type="dxa"/>
            <w:vAlign w:val="bottom"/>
            <w:gridSpan w:val="8"/>
          </w:tcPr>
          <w:p>
            <w:pPr>
              <w:jc w:val="center"/>
              <w:ind w:right="1240"/>
              <w:spacing w:after="0"/>
              <w:rPr>
                <w:sz w:val="20"/>
                <w:szCs w:val="20"/>
                <w:color w:val="auto"/>
              </w:rPr>
            </w:pPr>
            <w:r>
              <w:rPr>
                <w:rFonts w:ascii="Arial" w:cs="Arial" w:eastAsia="Arial" w:hAnsi="Arial"/>
                <w:sz w:val="18"/>
                <w:szCs w:val="18"/>
                <w:color w:val="auto"/>
                <w:w w:val="92"/>
              </w:rPr>
              <w:t>FOR THE QUARTER ENDED December 31, 2019</w:t>
            </w:r>
          </w:p>
        </w:tc>
        <w:tc>
          <w:tcPr>
            <w:tcW w:w="190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60" w:type="dxa"/>
            <w:vAlign w:val="bottom"/>
            <w:gridSpan w:val="2"/>
          </w:tcPr>
          <w:p>
            <w:pPr>
              <w:jc w:val="center"/>
              <w:ind w:right="3060"/>
              <w:spacing w:after="0"/>
              <w:rPr>
                <w:sz w:val="20"/>
                <w:szCs w:val="20"/>
                <w:color w:val="auto"/>
              </w:rPr>
            </w:pPr>
            <w:r>
              <w:rPr>
                <w:rFonts w:ascii="Arial" w:cs="Arial" w:eastAsia="Arial" w:hAnsi="Arial"/>
                <w:sz w:val="18"/>
                <w:szCs w:val="18"/>
                <w:color w:val="auto"/>
              </w:rPr>
              <w:t>INDEX</w:t>
            </w:r>
          </w:p>
        </w:tc>
        <w:tc>
          <w:tcPr>
            <w:tcW w:w="1900" w:type="dxa"/>
            <w:vAlign w:val="bottom"/>
          </w:tcPr>
          <w:p>
            <w:pPr>
              <w:spacing w:after="0"/>
              <w:rPr>
                <w:sz w:val="20"/>
                <w:szCs w:val="20"/>
                <w:color w:val="auto"/>
              </w:rPr>
            </w:pPr>
          </w:p>
        </w:tc>
      </w:tr>
      <w:tr>
        <w:trPr>
          <w:trHeight w:val="419"/>
        </w:trPr>
        <w:tc>
          <w:tcPr>
            <w:tcW w:w="200" w:type="dxa"/>
            <w:vAlign w:val="bottom"/>
          </w:tcPr>
          <w:p>
            <w:pPr>
              <w:spacing w:after="0"/>
              <w:rPr>
                <w:sz w:val="24"/>
                <w:szCs w:val="24"/>
                <w:color w:val="auto"/>
              </w:rPr>
            </w:pPr>
          </w:p>
        </w:tc>
        <w:tc>
          <w:tcPr>
            <w:tcW w:w="90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6240" w:type="dxa"/>
            <w:vAlign w:val="bottom"/>
            <w:gridSpan w:val="9"/>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72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5900" w:type="dxa"/>
            <w:vAlign w:val="bottom"/>
            <w:gridSpan w:val="8"/>
          </w:tcPr>
          <w:p>
            <w:pPr>
              <w:spacing w:after="0"/>
              <w:rPr>
                <w:sz w:val="16"/>
                <w:szCs w:val="16"/>
                <w:color w:val="auto"/>
              </w:rPr>
            </w:pPr>
          </w:p>
        </w:tc>
        <w:tc>
          <w:tcPr>
            <w:tcW w:w="19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Equity</w:t>
              </w:r>
            </w:hyperlink>
          </w:p>
        </w:tc>
        <w:tc>
          <w:tcPr>
            <w:tcW w:w="380" w:type="dxa"/>
            <w:vAlign w:val="bottom"/>
            <w:tcBorders>
              <w:top w:val="single" w:sz="8" w:color="0000EE"/>
            </w:tcBorders>
          </w:tcPr>
          <w:p>
            <w:pPr>
              <w:spacing w:after="0"/>
              <w:rPr>
                <w:sz w:val="17"/>
                <w:szCs w:val="17"/>
                <w:color w:val="auto"/>
              </w:rPr>
            </w:pPr>
          </w:p>
        </w:tc>
        <w:tc>
          <w:tcPr>
            <w:tcW w:w="4260" w:type="dxa"/>
            <w:vAlign w:val="bottom"/>
            <w:gridSpan w:val="3"/>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Cash Flows</w:t>
              </w:r>
            </w:hyperlink>
          </w:p>
        </w:tc>
        <w:tc>
          <w:tcPr>
            <w:tcW w:w="512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98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Consolidated Financial Statements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2. Operating and Financial Review and Prospects</w:t>
              </w:r>
            </w:hyperlink>
          </w:p>
        </w:tc>
        <w:tc>
          <w:tcPr>
            <w:tcW w:w="4780" w:type="dxa"/>
            <w:vAlign w:val="bottom"/>
            <w:gridSpan w:val="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PART II OTHER INFORMATION</w:t>
              </w:r>
            </w:hyperlink>
          </w:p>
        </w:tc>
        <w:tc>
          <w:tcPr>
            <w:tcW w:w="6540" w:type="dxa"/>
            <w:vAlign w:val="bottom"/>
            <w:gridSpan w:val="10"/>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1. Changes in Securities, Use of Proceeds and Issuer Purchases of Equity Securities</w:t>
              </w:r>
            </w:hyperlink>
          </w:p>
        </w:tc>
        <w:tc>
          <w:tcPr>
            <w:tcW w:w="2320" w:type="dxa"/>
            <w:vAlign w:val="bottom"/>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2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Reports on Form 6-K</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620" w:type="dxa"/>
            <w:vAlign w:val="bottom"/>
            <w:gridSpan w:val="11"/>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08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19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1,002,264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987,858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223,385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1,711,524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1,675,574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Lease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280,670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2,460,793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2,462,835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184,548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205,162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456,031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423,941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5,632,275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5,292,826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606,784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647,657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personnel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57,752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134,401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1,268,486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1,207,930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and taxes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223,664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325,605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334,922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2,050,471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1,750,360</w:t>
            </w:r>
          </w:p>
        </w:tc>
        <w:tc>
          <w:tcPr>
            <w:tcW w:w="1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8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Equity: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Ordinary Shares — Authorized 700,000 shares; £0.01 par value; 278,264 and 277,148 issued and 134,580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134,773 outstanding,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3,719,810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3,667,662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143,684 and 142,375 ordinary shares, respectively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(5,272,429)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(5,182,409)</w:t>
            </w:r>
          </w:p>
        </w:tc>
      </w:tr>
      <w:tr>
        <w:trPr>
          <w:trHeight w:val="216"/>
        </w:trPr>
        <w:tc>
          <w:tcPr>
            <w:tcW w:w="20" w:type="dxa"/>
            <w:vAlign w:val="bottom"/>
          </w:tcPr>
          <w:p>
            <w:pPr>
              <w:spacing w:after="0"/>
              <w:rPr>
                <w:sz w:val="18"/>
                <w:szCs w:val="18"/>
                <w:color w:val="auto"/>
              </w:rPr>
            </w:pPr>
          </w:p>
        </w:tc>
        <w:tc>
          <w:tcPr>
            <w:tcW w:w="85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(2,547)</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5,090,374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5,012,799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Amdocs Limited shareholders’ equity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3,539,295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3,499,957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700"/>
              <w:spacing w:after="0"/>
              <w:rPr>
                <w:sz w:val="20"/>
                <w:szCs w:val="20"/>
                <w:color w:val="auto"/>
              </w:rPr>
            </w:pPr>
            <w:r>
              <w:rPr>
                <w:rFonts w:ascii="Arial" w:cs="Arial" w:eastAsia="Arial" w:hAnsi="Arial"/>
                <w:sz w:val="18"/>
                <w:szCs w:val="18"/>
                <w:b w:val="1"/>
                <w:bCs w:val="1"/>
                <w:color w:val="auto"/>
              </w:rPr>
              <w:t>Total equity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3,581,804</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3,542,466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5,632,275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5,292,826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jc w:val="center"/>
        <w:ind w:left="90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1,041,957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1,012,055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Three months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$115,932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$101,692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60" w:type="dxa"/>
            <w:vAlign w:val="bottom"/>
            <w:shd w:val="clear" w:color="auto" w:fill="CCEEFF"/>
          </w:tcPr>
          <w:p>
            <w:pPr>
              <w:spacing w:after="0"/>
              <w:rPr>
                <w:sz w:val="18"/>
                <w:szCs w:val="18"/>
                <w:color w:val="auto"/>
              </w:rPr>
            </w:pPr>
          </w:p>
        </w:tc>
      </w:tr>
      <w:tr>
        <w:trPr>
          <w:trHeight w:val="223"/>
        </w:trPr>
        <w:tc>
          <w:tcPr>
            <w:tcW w:w="92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115,553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106,136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of $211 and $1,914 for the three months ended December 31, 2019 and 2018, respectively.</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tax (expense) benefit for the three months ended December 31, 2019 and 2018, respectively.</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40" w:type="dxa"/>
            <w:vAlign w:val="bottom"/>
            <w:gridSpan w:val="4"/>
            <w:vMerge w:val="restart"/>
          </w:tcPr>
          <w:p>
            <w:pPr>
              <w:jc w:val="right"/>
              <w:ind w:right="7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Loss (1)</w:t>
            </w:r>
          </w:p>
        </w:tc>
        <w:tc>
          <w:tcPr>
            <w:tcW w:w="60" w:type="dxa"/>
            <w:vAlign w:val="bottom"/>
          </w:tcPr>
          <w:p>
            <w:pPr>
              <w:spacing w:after="0"/>
              <w:rPr>
                <w:sz w:val="12"/>
                <w:szCs w:val="12"/>
                <w:color w:val="auto"/>
              </w:rPr>
            </w:pPr>
          </w:p>
        </w:tc>
        <w:tc>
          <w:tcPr>
            <w:tcW w:w="9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8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0"/>
              </w:rPr>
              <w:t>interests (2)</w:t>
            </w:r>
          </w:p>
        </w:tc>
        <w:tc>
          <w:tcPr>
            <w:tcW w:w="16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 September 30,</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134,773</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$ 4,452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$3,667,662</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$(5,182,409)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$5,012,799</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$ 3,499,957</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$3,542,466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(2)</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Employee stock options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640" w:type="dxa"/>
            <w:vAlign w:val="bottom"/>
          </w:tcPr>
          <w:p>
            <w:pPr>
              <w:ind w:left="360"/>
              <w:spacing w:after="0"/>
              <w:rPr>
                <w:sz w:val="20"/>
                <w:szCs w:val="20"/>
                <w:color w:val="auto"/>
              </w:rPr>
            </w:pPr>
            <w:r>
              <w:rPr>
                <w:rFonts w:ascii="Arial" w:cs="Arial" w:eastAsia="Arial" w:hAnsi="Arial"/>
                <w:sz w:val="18"/>
                <w:szCs w:val="18"/>
                <w:color w:val="auto"/>
                <w:w w:val="86"/>
              </w:rPr>
              <w:t>803</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41,387</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41,397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41,397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w w:val="93"/>
              </w:rPr>
              <w:t>Cash dividends declared ($0.285</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per ordinary share)</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(38,357)</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(38,357)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(38,357)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forfeitures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313</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w w:val="95"/>
              </w:rPr>
              <w:t>expense related to employees</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10,761</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December 31,</w:t>
            </w: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134,580</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4,466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3,719,810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(5,272,429)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5,090,374</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$ 3,539,295</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3,581,804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Amdocs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40" w:type="dxa"/>
            <w:vAlign w:val="bottom"/>
            <w:gridSpan w:val="4"/>
            <w:vMerge w:val="restart"/>
          </w:tcPr>
          <w:p>
            <w:pPr>
              <w:jc w:val="right"/>
              <w:ind w:right="7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Shareholders’</w:t>
            </w:r>
          </w:p>
        </w:tc>
        <w:tc>
          <w:tcPr>
            <w:tcW w:w="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8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Loss (1)</w:t>
            </w:r>
          </w:p>
        </w:tc>
        <w:tc>
          <w:tcPr>
            <w:tcW w:w="60" w:type="dxa"/>
            <w:vAlign w:val="bottom"/>
          </w:tcPr>
          <w:p>
            <w:pPr>
              <w:spacing w:after="0"/>
              <w:rPr>
                <w:sz w:val="12"/>
                <w:szCs w:val="12"/>
                <w:color w:val="auto"/>
              </w:rPr>
            </w:pPr>
          </w:p>
        </w:tc>
        <w:tc>
          <w:tcPr>
            <w:tcW w:w="9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8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0"/>
              </w:rPr>
              <w:t>interests (2)</w:t>
            </w:r>
          </w:p>
        </w:tc>
        <w:tc>
          <w:tcPr>
            <w:tcW w:w="16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 September 30,</w:t>
            </w: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140,177</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$ 4,436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$3,587,625</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$(4,784,352)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$4,673,901</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$ 3,448,879</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$3,492,042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Cumulative effect adjustment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340"/>
              <w:spacing w:after="0"/>
              <w:rPr>
                <w:sz w:val="20"/>
                <w:szCs w:val="20"/>
                <w:color w:val="auto"/>
              </w:rPr>
            </w:pPr>
            <w:r>
              <w:rPr>
                <w:rFonts w:ascii="Arial" w:cs="Arial" w:eastAsia="Arial" w:hAnsi="Arial"/>
                <w:sz w:val="18"/>
                <w:szCs w:val="18"/>
                <w:color w:val="auto"/>
              </w:rPr>
              <w:t>Net income (2)</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101,692</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101,692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comprehensive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 stock options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182</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(1,580)</w:t>
            </w:r>
          </w:p>
        </w:tc>
        <w:tc>
          <w:tcPr>
            <w:tcW w:w="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(99,182)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(99,182)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(99,182)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dividends declared ($0.250</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ordinary share)</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(34,755)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(34,755)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w w:val="97"/>
              </w:rPr>
              <w:t>Issuance of restricted stock, net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of forfeitures</w:t>
            </w:r>
          </w:p>
        </w:tc>
        <w:tc>
          <w:tcPr>
            <w:tcW w:w="640" w:type="dxa"/>
            <w:vAlign w:val="bottom"/>
          </w:tcPr>
          <w:p>
            <w:pPr>
              <w:ind w:left="360"/>
              <w:spacing w:after="0"/>
              <w:rPr>
                <w:sz w:val="20"/>
                <w:szCs w:val="20"/>
                <w:color w:val="auto"/>
              </w:rPr>
            </w:pPr>
            <w:r>
              <w:rPr>
                <w:rFonts w:ascii="Arial" w:cs="Arial" w:eastAsia="Arial" w:hAnsi="Arial"/>
                <w:sz w:val="18"/>
                <w:szCs w:val="18"/>
                <w:color w:val="auto"/>
                <w:w w:val="86"/>
              </w:rPr>
              <w:t>233</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expense related to employees</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Changes in Noncontrolling</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December 31,</w:t>
            </w: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139,012</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4,441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3,608,139</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(4,883,534)</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4,751,272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$ 3,452,031</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3,499,160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December 31, 2019 and 2018, accumulated other comprehensive loss is comprised of unrealized gain (loss) on derivatives, net of tax, of</w:t>
      </w:r>
    </w:p>
    <w:p>
      <w:pPr>
        <w:spacing w:after="0" w:line="46" w:lineRule="exact"/>
        <w:rPr>
          <w:rFonts w:ascii="Arial" w:cs="Arial" w:eastAsia="Arial" w:hAnsi="Arial"/>
          <w:sz w:val="16"/>
          <w:szCs w:val="16"/>
          <w:color w:val="auto"/>
        </w:rPr>
      </w:pPr>
    </w:p>
    <w:p>
      <w:pPr>
        <w:ind w:left="640" w:right="120"/>
        <w:spacing w:after="0" w:line="250" w:lineRule="auto"/>
        <w:rPr>
          <w:rFonts w:ascii="Arial" w:cs="Arial" w:eastAsia="Arial" w:hAnsi="Arial"/>
          <w:sz w:val="16"/>
          <w:szCs w:val="16"/>
          <w:color w:val="auto"/>
        </w:rPr>
      </w:pPr>
      <w:r>
        <w:rPr>
          <w:rFonts w:ascii="Arial" w:cs="Arial" w:eastAsia="Arial" w:hAnsi="Arial"/>
          <w:sz w:val="18"/>
          <w:szCs w:val="18"/>
          <w:color w:val="auto"/>
        </w:rPr>
        <w:t>$3,566 and $(22,555), unrealized (loss) on short-term interest-bearing investments, net of tax, of $0 and $(1,201) and unrealized (loss) on defined benefit plan, net of tax, of $(6,492) and $(4,531).</w:t>
      </w:r>
    </w:p>
    <w:p>
      <w:pPr>
        <w:ind w:left="640" w:right="520" w:hanging="436"/>
        <w:spacing w:after="0" w:line="250"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months ended December 31, 2019, and 2018, all of the Company’s net income is attributable to Amdocs Limited as the net income attributable to the Non-controlling interests is negligible.</w:t>
      </w:r>
    </w:p>
    <w:p>
      <w:pPr>
        <w:ind w:left="640" w:right="340" w:hanging="436"/>
        <w:spacing w:after="0" w:line="261"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 amounts in thousands)</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115,932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101,692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short-term interest-bearing investments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(34,693)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Lease assets and liabilities, net</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163,908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(58,535)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(60,993)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(43,892)</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(90,020)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Proceeds from employee stock option exercises</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(38,413)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(88,672)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(125,884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471,632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418,783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485,875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15,002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(2)</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360" w:hanging="436"/>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$373 and $31 for the three months ended December 31, 2019 and 2018, respectively.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amdocsONE, an open and modular solution set.</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18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2019, set forth in the Company’s Annual Report on Form 20-F filed on December 16, 2019 with the U.S. Securities and Exchange Commission, or the SEC.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November 2018, the Financial Accounting Standards Board, or FASB, issued Accounting Standard Update, or ASU, No. 2018-18</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The ASU clarifies the interaction between collaborative arrangements and the new revenue standards. This ASU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Company on October 1, 2020, and early adoption is permitted. The Company currently expects that adoption of this ASU will not have a material impact on its consolidated financial statements.</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This ASU will be effective for the Company on October 1, 2020, and early adoption is permitted. The Company currently expects that adoption of this ASU will not have a material impact on its consolidated financial statements.</w:t>
      </w:r>
    </w:p>
    <w:p>
      <w:pPr>
        <w:spacing w:after="0" w:line="18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This ASU will be effective for the Company on October 1, 2020, and early adoption is permitted with specific limitations. The Company currently expects that adoption of this ASU may result in changes to its financial statements disclosure but will not have a material impact on its consolidated financial statements.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 retirement benefit plans. This ASU will be effective for the Company on October 1, 2020, and early adoption is permitted. The Company expects that the adoption of this ASU will not have a material impact on its consolidated financial statements.</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The ASU amends existing guidance to simplify the application of hedge accounting in certain situations and allows companies to better align their hedge accounting with their risk management activities. This ASU will be effective for the Company on October 1, 2020, and earlier adoption by one year is permitted. The Company currently expects that adoption of this ASU will not have a material impact on its consolidated financial statements.</w:t>
      </w:r>
    </w:p>
    <w:p>
      <w:pPr>
        <w:spacing w:after="0" w:line="17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ASU which introduces an impairment model that is based on expected losses rather than incurred losses and will apply to financial assets subject to credit losses and measured at amortized cost, and certain off-balance sheet credit exposures. This ASU will be effective for the Company on October 1, 2020, and earlier adoption by one year is permitted. The Company is currently evaluating the impact of adoption of this ASU on its consolidated financial statements.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February 2016, the FASB issued ASU No. 2016-02, “Leases”. The ASU increases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As of October 1, 2019, the Company adopted this ASU using the modified retrospective transition approach. Prior period amounts were not adjusted. The Company elected the package of practical expedients which does not require reassessment of prior conclusions related to identifying leases, lease classification or initial direct costs. The Company also elected the practical expedient not to separate non-lease components from lease components and instead to account for each separate lease component and the non-lease components associated with that lease component as a single lease component for its real estate and vehicle leases. The adoption of this ASU did not have a material impact on its consolidated statement of income and on its consolidated statement of cash flow.</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impact of adopting this ASU on its Consolidated Balance Sheets was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Balance as of</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Balance as of</w:t>
            </w:r>
          </w:p>
        </w:tc>
      </w:tr>
      <w:tr>
        <w:trPr>
          <w:trHeight w:val="149"/>
        </w:trPr>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due to ASC</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October 1,</w:t>
            </w:r>
          </w:p>
        </w:tc>
      </w:tr>
      <w:tr>
        <w:trPr>
          <w:trHeight w:val="171"/>
        </w:trPr>
        <w:tc>
          <w:tcPr>
            <w:tcW w:w="1140" w:type="dxa"/>
            <w:vAlign w:val="bottom"/>
            <w:tcBorders>
              <w:bottom w:val="single" w:sz="8" w:color="CCEEFF"/>
            </w:tcBorders>
          </w:tcPr>
          <w:p>
            <w:pPr>
              <w:spacing w:after="0"/>
              <w:rPr>
                <w:sz w:val="14"/>
                <w:szCs w:val="14"/>
                <w:color w:val="auto"/>
              </w:rPr>
            </w:pPr>
          </w:p>
        </w:tc>
        <w:tc>
          <w:tcPr>
            <w:tcW w:w="46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842</w:t>
            </w:r>
          </w:p>
        </w:tc>
        <w:tc>
          <w:tcPr>
            <w:tcW w:w="4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4"/>
                <w:szCs w:val="14"/>
                <w:color w:val="auto"/>
              </w:rPr>
            </w:pPr>
          </w:p>
        </w:tc>
      </w:tr>
      <w:tr>
        <w:trPr>
          <w:trHeight w:val="156"/>
        </w:trPr>
        <w:tc>
          <w:tcPr>
            <w:tcW w:w="57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w:t>
            </w: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  216,084</w:t>
            </w:r>
          </w:p>
        </w:tc>
        <w:tc>
          <w:tcPr>
            <w:tcW w:w="4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   (6,697)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209,387</w:t>
            </w: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281,785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281,785</w:t>
            </w: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423,941</w:t>
            </w:r>
          </w:p>
        </w:tc>
        <w:tc>
          <w:tcPr>
            <w:tcW w:w="4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(2,755)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421,186</w:t>
            </w: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(647,657)</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(644,104)</w:t>
            </w: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Lease liabilities (current)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(63,351)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(63,351)</w:t>
            </w: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liabilities (non-current)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(221,050)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(221,050)</w:t>
            </w:r>
          </w:p>
        </w:tc>
      </w:tr>
      <w:tr>
        <w:trPr>
          <w:trHeight w:val="230"/>
        </w:trPr>
        <w:tc>
          <w:tcPr>
            <w:tcW w:w="5780" w:type="dxa"/>
            <w:vAlign w:val="bottom"/>
            <w:gridSpan w:val="2"/>
          </w:tcPr>
          <w:p>
            <w:pPr>
              <w:ind w:left="360"/>
              <w:spacing w:after="0"/>
              <w:rPr>
                <w:sz w:val="20"/>
                <w:szCs w:val="20"/>
                <w:color w:val="auto"/>
              </w:rPr>
            </w:pPr>
            <w:r>
              <w:rPr>
                <w:rFonts w:ascii="Arial" w:cs="Arial" w:eastAsia="Arial" w:hAnsi="Arial"/>
                <w:sz w:val="18"/>
                <w:szCs w:val="18"/>
                <w:color w:val="auto"/>
              </w:rPr>
              <w:t>Other noncurrent liabilities</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(334,922)</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8,515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(326,407)</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15 (Leases) to these Consolidated Financial Statements for further details.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The ASU aligns the measurement and classification for share-based payments to nonemployees with the guidance for share-based payments to employees, with certain exceptions. The Company prospectively adopted this ASU effective October 1, 2019. As of the date of the adoption there was no impact on the Company’s consolidated financial statements.</w:t>
      </w:r>
    </w:p>
    <w:p>
      <w:pPr>
        <w:spacing w:after="0" w:line="291" w:lineRule="exact"/>
        <w:rPr>
          <w:sz w:val="20"/>
          <w:szCs w:val="20"/>
          <w:color w:val="auto"/>
        </w:rPr>
      </w:pPr>
    </w:p>
    <w:p>
      <w:pPr>
        <w:ind w:left="420" w:right="8920" w:hanging="216"/>
        <w:spacing w:after="0" w:line="528" w:lineRule="auto"/>
        <w:tabs>
          <w:tab w:leader="none" w:pos="3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Contract Balances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40" w:type="dxa"/>
            <w:vAlign w:val="bottom"/>
            <w:gridSpan w:val="3"/>
          </w:tcPr>
          <w:p>
            <w:pPr>
              <w:ind w:left="3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Accounts receivable - billed (net of allowances for doubtful accounts of</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$39,016 and $36,121 as of December 31, 2019 and September 30, 2019,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797,184</w:t>
            </w:r>
          </w:p>
        </w:tc>
        <w:tc>
          <w:tcPr>
            <w:tcW w:w="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205,080</w:t>
            </w:r>
          </w:p>
        </w:tc>
        <w:tc>
          <w:tcPr>
            <w:tcW w:w="6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227,061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37,275</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 Accounts receivable – unbilled</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242,355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(134,401)</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(20,421)</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(154,822)</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(141,967)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Revenue recognized during the three months ended December 31, 2019, which was included in deferred revenue (current) as of September 30, 2019 was $55,693.</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As of December 31, 2019, the aggregate amount of the transaction price allocated to remaining performance obligations that are unsatisfied or partially unsatisfied was approximately $5.5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44" w:lineRule="exact"/>
        <w:rPr>
          <w:sz w:val="20"/>
          <w:szCs w:val="20"/>
          <w:color w:val="auto"/>
        </w:rPr>
      </w:pPr>
    </w:p>
    <w:p>
      <w:pPr>
        <w:jc w:val="center"/>
        <w:ind w:left="6240"/>
        <w:spacing w:after="0"/>
        <w:rPr>
          <w:sz w:val="20"/>
          <w:szCs w:val="20"/>
          <w:color w:val="auto"/>
        </w:rPr>
      </w:pPr>
      <w:r>
        <w:rPr>
          <w:rFonts w:ascii="Arial" w:cs="Arial" w:eastAsia="Arial" w:hAnsi="Arial"/>
          <w:sz w:val="14"/>
          <w:szCs w:val="14"/>
          <w:b w:val="1"/>
          <w:bCs w:val="1"/>
          <w:color w:val="auto"/>
        </w:rPr>
        <w:t>Three months ended</w:t>
      </w:r>
    </w:p>
    <w:p>
      <w:pPr>
        <w:jc w:val="center"/>
        <w:ind w:left="6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579,669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Others</w:t>
            </w:r>
          </w:p>
        </w:tc>
        <w:tc>
          <w:tcPr>
            <w:tcW w:w="3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462,288</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1,041,957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1,012,055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20" w:type="dxa"/>
            <w:vAlign w:val="bottom"/>
            <w:vMerge w:val="restart"/>
          </w:tcPr>
          <w:p>
            <w:pPr>
              <w:jc w:val="right"/>
              <w:ind w:right="193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240" w:top="459" w:right="7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44"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Three months ended</w:t>
      </w:r>
    </w:p>
    <w:p>
      <w:pPr>
        <w:jc w:val="center"/>
        <w:ind w:left="62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660,441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154,662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146,131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225,188</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205,483</w:t>
            </w:r>
          </w:p>
        </w:tc>
        <w:tc>
          <w:tcPr>
            <w:tcW w:w="40" w:type="dxa"/>
            <w:vAlign w:val="bottom"/>
            <w:shd w:val="clear" w:color="auto" w:fill="CCEEFF"/>
          </w:tcPr>
          <w:p>
            <w:pPr>
              <w:spacing w:after="0"/>
              <w:rPr>
                <w:sz w:val="18"/>
                <w:szCs w:val="18"/>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1,041,957</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1,012,055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Measurement</w:t>
      </w:r>
    </w:p>
    <w:p>
      <w:pPr>
        <w:spacing w:after="0" w:line="12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4"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640" w:right="14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December 31, 2019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30, 2019:</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136,409</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7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136,409</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Equity Investment</w:t>
            </w:r>
          </w:p>
        </w:tc>
        <w:tc>
          <w:tcPr>
            <w:tcW w:w="2700" w:type="dxa"/>
            <w:vAlign w:val="bottom"/>
          </w:tcPr>
          <w:p>
            <w:pPr>
              <w:spacing w:after="0"/>
              <w:rPr>
                <w:sz w:val="19"/>
                <w:szCs w:val="19"/>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2,343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7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(30,616)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136,409</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2,343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(10,608)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700" w:type="dxa"/>
            <w:vAlign w:val="bottom"/>
            <w:vMerge w:val="restart"/>
          </w:tcPr>
          <w:p>
            <w:pPr>
              <w:jc w:val="right"/>
              <w:ind w:right="1270"/>
              <w:spacing w:after="0"/>
              <w:rPr>
                <w:sz w:val="20"/>
                <w:szCs w:val="20"/>
                <w:color w:val="auto"/>
              </w:rPr>
            </w:pPr>
            <w:r>
              <w:rPr>
                <w:rFonts w:ascii="Arial" w:cs="Arial" w:eastAsia="Arial" w:hAnsi="Arial"/>
                <w:sz w:val="18"/>
                <w:szCs w:val="18"/>
                <w:color w:val="auto"/>
              </w:rPr>
              <w:t>11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97"/>
              </w:rPr>
              <w:t>As of September 30, 2019</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8"/>
              </w:rPr>
              <w:t>Level 3</w:t>
            </w:r>
          </w:p>
        </w:tc>
        <w:tc>
          <w:tcPr>
            <w:tcW w:w="14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69,370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$ 69,370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69,370</w:t>
            </w:r>
          </w:p>
        </w:tc>
        <w:tc>
          <w:tcPr>
            <w:tcW w:w="100" w:type="dxa"/>
            <w:vAlign w:val="bottom"/>
            <w:shd w:val="clear" w:color="auto" w:fill="CCEEFF"/>
          </w:tcPr>
          <w:p>
            <w:pPr>
              <w:spacing w:after="0"/>
              <w:rPr>
                <w:sz w:val="18"/>
                <w:szCs w:val="18"/>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Equity Investment</w:t>
            </w:r>
          </w:p>
        </w:tc>
        <w:tc>
          <w:tcPr>
            <w:tcW w:w="2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(29,805)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(29,805)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69,370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7,890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(11,797)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$ 65,463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Company’s derivative instruments are classified as Level 2 as they represent foreign currency forward and option contracts valued primarily based on observable inputs including forward rates and yield curves. Level 3 liabilities relate to certain acquisition-related liabilities, which were generally valued using a Monte-Carlo simulation model. These liabilities were included in both accrued expenses and other current liabilities and other noncurrent liabilities as of December 31, 2019 and September 30, 2019. The slight increase in Level 3 liabilities is a result of expense recorded in the consolidated statements of income, offset by payment of certain acquisition-related liabilities during the three months ended December 31, 2019. Level 3 assets relate to an equity investment, which was valued based on price changes in orderly transactions for similar investments of the same issuer.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expenses and other current liabilities, accrued personnel costs and lease liabilities approximate their fair value because of the relatively short maturity of these items.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Available-For-Sale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December 31, 2019</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Amortized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18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5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136,409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136,409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3"/>
          </w:tcPr>
          <w:p>
            <w:pPr>
              <w:ind w:left="420"/>
              <w:spacing w:after="0"/>
              <w:rPr>
                <w:sz w:val="20"/>
                <w:szCs w:val="20"/>
                <w:color w:val="auto"/>
              </w:rPr>
            </w:pPr>
            <w:r>
              <w:rPr>
                <w:rFonts w:ascii="Arial" w:cs="Arial" w:eastAsia="Arial" w:hAnsi="Arial"/>
                <w:sz w:val="18"/>
                <w:szCs w:val="18"/>
                <w:color w:val="auto"/>
              </w:rPr>
              <w:t>Total(1)</w:t>
            </w:r>
          </w:p>
        </w:tc>
        <w:tc>
          <w:tcPr>
            <w:tcW w:w="262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136,409</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136,409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20" w:type="dxa"/>
            <w:vAlign w:val="bottom"/>
            <w:vMerge w:val="restart"/>
          </w:tcPr>
          <w:p>
            <w:pPr>
              <w:jc w:val="right"/>
              <w:ind w:right="610"/>
              <w:spacing w:after="0"/>
              <w:rPr>
                <w:sz w:val="20"/>
                <w:szCs w:val="20"/>
                <w:color w:val="auto"/>
              </w:rPr>
            </w:pPr>
            <w:r>
              <w:rPr>
                <w:rFonts w:ascii="Arial" w:cs="Arial" w:eastAsia="Arial" w:hAnsi="Arial"/>
                <w:sz w:val="18"/>
                <w:szCs w:val="18"/>
                <w:color w:val="auto"/>
              </w:rPr>
              <w:t>12</w:t>
            </w: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2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As of September 30, 2019</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160" w:type="dxa"/>
            <w:vAlign w:val="bottom"/>
            <w:gridSpan w:val="3"/>
          </w:tcPr>
          <w:p>
            <w:pPr>
              <w:ind w:left="4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$ 69,370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$ 69,370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3"/>
          </w:tcPr>
          <w:p>
            <w:pPr>
              <w:ind w:left="420"/>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$ 69,370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$ 69,370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40" w:right="360" w:hanging="436"/>
        <w:spacing w:after="0" w:line="342"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Available-for-sale securities with maturities of 90 days or less from the date of acquisition were included in cash and cash equivalents on the Company’s balance sheet. As of December 31, 2019, and September 30, 2019, all the securities were classified as cash and cash equivalents.</w:t>
      </w:r>
    </w:p>
    <w:p>
      <w:pPr>
        <w:spacing w:after="0" w:line="124"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The Company assessed whether unrealized losses for the investments in its portfolio were other-than-temporary. Based on this assessment, the Company did not recognize any credit losses in the three months ended December 31, 2019 and 2018. Realized gains and losses on available-for-sale securities were included in earnings and are derived using the first-in-first-out (FIFO) method for determining the cost of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$6,825 as of December 31, 2019. The Company has limited its credit risk by entering into derivative transactions exclusively with investment-grade rated financial institutions and monitors the creditworthiness of these financial institutions on an ongoing basis.</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December 31, 2019. Notional values are in U.S. dollars and are translated and calculated based on forward rates as of December 31, 2019 for forward contracts, and based on spot rates as of December 31, 2019 for options.</w:t>
      </w:r>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280" w:type="dxa"/>
            <w:vAlign w:val="bottom"/>
            <w:gridSpan w:val="3"/>
          </w:tcPr>
          <w:p>
            <w:pPr>
              <w:ind w:left="224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1,163,765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20" w:right="160" w:hanging="2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December 31, 2019 and September 30, 2019, is as follows: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440" w:type="dxa"/>
            <w:vAlign w:val="bottom"/>
            <w:gridSpan w:val="3"/>
          </w:tcPr>
          <w:p>
            <w:pPr>
              <w:ind w:left="56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(3,304)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(2,977)</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(2,076)</w:t>
            </w: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December 31, 2019 is scheduled to mature within the next 12 months.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jc w:val="both"/>
        <w:ind w:left="200" w:right="40" w:firstLine="441"/>
        <w:spacing w:after="0" w:line="288"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ind w:left="200" w:right="8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income, net.</w:t>
      </w:r>
    </w:p>
    <w:p>
      <w:pPr>
        <w:spacing w:after="0" w:line="177"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three months ended December 31, 2019 and 2018, respectively, which partially offsets the foreign currency impact from the underlying exposures, is summarized as follows:</w:t>
      </w:r>
    </w:p>
    <w:p>
      <w:pPr>
        <w:spacing w:after="0" w:line="130"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Gains (Losses) Reclassified from</w:t>
            </w: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Other Comprehensive</w:t>
            </w:r>
          </w:p>
        </w:tc>
      </w:t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Loss (Effective Portion)</w:t>
            </w: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Revenue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(5,944)</w:t>
            </w: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w w:val="98"/>
              </w:rPr>
              <w:t>(1,468)</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(1,499)</w:t>
            </w: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4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7"/>
              </w:rPr>
              <w:t>(8,911)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loss, net of tax, is as follows:</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7"/>
              </w:rPr>
              <w:t>Three months ended</w:t>
            </w:r>
          </w:p>
        </w:tc>
      </w:t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(losses)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$3,945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$(26,608)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(3,639)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losses into earnings, net of tax</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Net unrealized gains (losses) on cash flow hedges, net of tax, end of period</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3,566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(22,555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200" w:firstLine="441"/>
        <w:spacing w:after="0" w:line="282" w:lineRule="auto"/>
        <w:rPr>
          <w:sz w:val="20"/>
          <w:szCs w:val="20"/>
          <w:color w:val="auto"/>
        </w:rPr>
      </w:pPr>
      <w:r>
        <w:rPr>
          <w:rFonts w:ascii="Arial" w:cs="Arial" w:eastAsia="Arial" w:hAnsi="Arial"/>
          <w:sz w:val="18"/>
          <w:szCs w:val="18"/>
          <w:color w:val="auto"/>
        </w:rPr>
        <w:t>Net gains (losses) from cash flow hedges recognized in other comprehensive (loss) income were $625 and $(6,748)</w:t>
      </w:r>
      <w:r>
        <w:rPr>
          <w:rFonts w:ascii="Arial" w:cs="Arial" w:eastAsia="Arial" w:hAnsi="Arial"/>
          <w:sz w:val="18"/>
          <w:szCs w:val="18"/>
          <w:b w:val="1"/>
          <w:bCs w:val="1"/>
          <w:color w:val="auto"/>
        </w:rPr>
        <w:t>,</w:t>
      </w:r>
      <w:r>
        <w:rPr>
          <w:rFonts w:ascii="Arial" w:cs="Arial" w:eastAsia="Arial" w:hAnsi="Arial"/>
          <w:sz w:val="18"/>
          <w:szCs w:val="18"/>
          <w:color w:val="auto"/>
        </w:rPr>
        <w:t xml:space="preserve"> or $614 and $(3,639) net of taxes, during the three months ended December 31, 2019 and 2018, respectively.</w:t>
      </w:r>
    </w:p>
    <w:p>
      <w:pPr>
        <w:spacing w:after="0" w:line="166"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Of the net unrealized gain related to derivatives designated as cash flow hedges and recorded in accumulated other comprehensive loss as of December 31, 2019, a net gain of $3,457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ended December 31, 2019 and 2018, was not material.</w:t>
      </w:r>
    </w:p>
    <w:p>
      <w:pPr>
        <w:spacing w:after="0" w:line="170"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70"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ended December 31, 2019 and 2018, respectively, which partially offsets the foreign currency impact from the underlying exposure, is summarized as follows:</w:t>
      </w:r>
    </w:p>
    <w:p>
      <w:pPr>
        <w:spacing w:after="0" w:line="200"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(Losses) Gains</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Recognized in Income</w:t>
      </w:r>
    </w:p>
    <w:p>
      <w:pPr>
        <w:jc w:val="center"/>
        <w:ind w:left="666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666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200" w:type="dxa"/>
        <w:tblCellMar>
          <w:top w:w="0" w:type="dxa"/>
          <w:left w:w="0" w:type="dxa"/>
          <w:bottom w:w="0" w:type="dxa"/>
          <w:right w:w="0" w:type="dxa"/>
        </w:tblCellMar>
      </w:tblPr>
      <w:tr>
        <w:trPr>
          <w:trHeight w:val="142"/>
        </w:trPr>
        <w:tc>
          <w:tcPr>
            <w:tcW w:w="13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$ 1,124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9"/>
              </w:rPr>
              <w:t>$ (2,027)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 income, net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(6,705)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(2,747)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4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gridSpan w:val="5"/>
          </w:tcPr>
          <w:p>
            <w:pPr>
              <w:jc w:val="center"/>
              <w:ind w:right="5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920" w:type="dxa"/>
            <w:vAlign w:val="bottom"/>
            <w:gridSpan w:val="5"/>
          </w:tcPr>
          <w:p>
            <w:pPr>
              <w:jc w:val="right"/>
              <w:ind w:righ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243,913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259,661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125,618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140,701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Dividends payable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38,357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38,413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165,537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175,494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606,784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647,657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4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$20,934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Deferred</w:t>
            </w:r>
          </w:p>
        </w:tc>
        <w:tc>
          <w:tcPr>
            <w:tcW w:w="4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6,359</w:t>
            </w:r>
          </w:p>
        </w:tc>
        <w:tc>
          <w:tcPr>
            <w:tcW w:w="3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180" w:type="dxa"/>
            <w:vAlign w:val="bottom"/>
            <w:vMerge w:val="restart"/>
          </w:tcPr>
          <w:p>
            <w:pPr>
              <w:jc w:val="right"/>
              <w:ind w:right="2350"/>
              <w:spacing w:after="0"/>
              <w:rPr>
                <w:sz w:val="20"/>
                <w:szCs w:val="20"/>
                <w:color w:val="auto"/>
              </w:rPr>
            </w:pPr>
            <w:r>
              <w:rPr>
                <w:rFonts w:ascii="Arial" w:cs="Arial" w:eastAsia="Arial" w:hAnsi="Arial"/>
                <w:sz w:val="18"/>
                <w:szCs w:val="18"/>
                <w:color w:val="auto"/>
              </w:rPr>
              <w:t>16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4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Three months ended</w:t>
      </w:r>
    </w:p>
    <w:p>
      <w:pPr>
        <w:jc w:val="center"/>
        <w:ind w:left="62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Foreign taxes</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19.1(1)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763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(1) Foreign taxes for the three months ended December 31, 2019:</w:t>
      </w:r>
    </w:p>
    <w:p>
      <w:pPr>
        <w:spacing w:after="0" w:line="117" w:lineRule="exact"/>
        <w:rPr>
          <w:sz w:val="20"/>
          <w:szCs w:val="20"/>
          <w:color w:val="auto"/>
        </w:rPr>
      </w:pPr>
    </w:p>
    <w:p>
      <w:pPr>
        <w:ind w:left="640" w:firstLine="423"/>
        <w:spacing w:after="0" w:line="259" w:lineRule="auto"/>
        <w:rPr>
          <w:sz w:val="20"/>
          <w:szCs w:val="20"/>
          <w:color w:val="auto"/>
        </w:rPr>
      </w:pPr>
      <w:r>
        <w:rPr>
          <w:rFonts w:ascii="Arial" w:cs="Arial" w:eastAsia="Arial" w:hAnsi="Arial"/>
          <w:sz w:val="18"/>
          <w:szCs w:val="18"/>
          <w:color w:val="auto"/>
        </w:rPr>
        <w:t>Foreign taxes in the three months ended December 31, 2019 included a benefit of $10,689 relating to release of gross unrecognized tax benefits due to settlements with tax authorities and expiration of the periods set forth in statutes of limitations in certain jurisdictions (the majority of which was offset by decrease in tax assets). as a result, a net benefit of $1,417 was included within income tax expense for the three months ended December 31, 2019.</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 Foreign taxes for the three months ended December 31, 2018:</w:t>
      </w:r>
    </w:p>
    <w:p>
      <w:pPr>
        <w:spacing w:after="0" w:line="117" w:lineRule="exact"/>
        <w:rPr>
          <w:sz w:val="20"/>
          <w:szCs w:val="20"/>
          <w:color w:val="auto"/>
        </w:rPr>
      </w:pPr>
    </w:p>
    <w:p>
      <w:pPr>
        <w:ind w:left="640" w:right="320" w:firstLine="423"/>
        <w:spacing w:after="0" w:line="277" w:lineRule="auto"/>
        <w:rPr>
          <w:sz w:val="20"/>
          <w:szCs w:val="20"/>
          <w:color w:val="auto"/>
        </w:rPr>
      </w:pPr>
      <w:r>
        <w:rPr>
          <w:rFonts w:ascii="Arial" w:cs="Arial" w:eastAsia="Arial" w:hAnsi="Arial"/>
          <w:sz w:val="18"/>
          <w:szCs w:val="18"/>
          <w:color w:val="auto"/>
        </w:rPr>
        <w:t>Foreign taxes in the three months ended December 31, 2018 included a tax expense of $4,575 resulting from an internal restructuring in certain jurisdictions in which the Company operates.</w:t>
      </w:r>
    </w:p>
    <w:p>
      <w:pPr>
        <w:spacing w:after="0" w:line="62" w:lineRule="exact"/>
        <w:rPr>
          <w:sz w:val="20"/>
          <w:szCs w:val="20"/>
          <w:color w:val="auto"/>
        </w:rPr>
      </w:pPr>
    </w:p>
    <w:p>
      <w:pPr>
        <w:ind w:left="640" w:right="60" w:firstLine="423"/>
        <w:spacing w:after="0" w:line="312" w:lineRule="auto"/>
        <w:rPr>
          <w:sz w:val="20"/>
          <w:szCs w:val="20"/>
          <w:color w:val="auto"/>
        </w:rPr>
      </w:pPr>
      <w:r>
        <w:rPr>
          <w:rFonts w:ascii="Arial" w:cs="Arial" w:eastAsia="Arial" w:hAnsi="Arial"/>
          <w:sz w:val="16"/>
          <w:szCs w:val="16"/>
          <w:color w:val="auto"/>
        </w:rPr>
        <w:t>Foreign taxes in the three months ended December 31, 2018 also included $40,291 relating to release of a provision for gross unrecognized tax benefits due to conclusions of tax audits and expiration of the periods set forth in statutes of limitations in certain jurisdictions, the vast majority of which was offset by an increase in Tax Payables and a benefit of $2,920, which was recorded in income tax expense.</w:t>
      </w:r>
    </w:p>
    <w:p>
      <w:pPr>
        <w:spacing w:after="0" w:line="14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As of December 31, 2019, deferred tax assets of $89,694,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$165,618 as of December 31, 2019, all of which would affect the effective tax rate if realized.</w:t>
      </w:r>
    </w:p>
    <w:p>
      <w:pPr>
        <w:spacing w:after="0" w:line="170" w:lineRule="exact"/>
        <w:rPr>
          <w:sz w:val="20"/>
          <w:szCs w:val="20"/>
          <w:color w:val="auto"/>
        </w:rPr>
      </w:pPr>
    </w:p>
    <w:p>
      <w:pPr>
        <w:ind w:left="200" w:right="940" w:firstLine="441"/>
        <w:spacing w:after="0" w:line="277" w:lineRule="auto"/>
        <w:rPr>
          <w:sz w:val="20"/>
          <w:szCs w:val="20"/>
          <w:color w:val="auto"/>
        </w:rPr>
      </w:pPr>
      <w:r>
        <w:rPr>
          <w:rFonts w:ascii="Arial" w:cs="Arial" w:eastAsia="Arial" w:hAnsi="Arial"/>
          <w:sz w:val="18"/>
          <w:szCs w:val="18"/>
          <w:color w:val="auto"/>
        </w:rPr>
        <w:t>As of December 31, 2019, the Company had accrued $30,450 in long term income taxes payable for interest and penalties relating to unrecognized tax benefits.</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Three months ended</w:t>
      </w:r>
    </w:p>
    <w:p>
      <w:pPr>
        <w:jc w:val="center"/>
        <w:ind w:left="55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5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115,932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Less-net income and dividends attributable to participating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restricted shares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Add-undistributed income allocated to participating restricted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360"/>
              <w:spacing w:after="0" w:line="201" w:lineRule="exact"/>
              <w:rPr>
                <w:sz w:val="20"/>
                <w:szCs w:val="20"/>
                <w:color w:val="auto"/>
              </w:rPr>
            </w:pPr>
            <w:r>
              <w:rPr>
                <w:rFonts w:ascii="Arial" w:cs="Arial" w:eastAsia="Arial" w:hAnsi="Arial"/>
                <w:sz w:val="18"/>
                <w:szCs w:val="18"/>
                <w:color w:val="auto"/>
                <w:w w:val="97"/>
              </w:rPr>
              <w:t>Less-undistributed income reallocated to participating restricted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4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115,172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outstanding—basic</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134,596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139,639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w w:val="95"/>
              </w:rPr>
              <w:t>Less- weighted average number of participating restricted shares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shares—basic</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133,709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shares—diluted</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134,730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the three months ended December 31, 2019 and 2018, 1,933 and 2,155 shares, respectively, on a weighted average basis, were attributable to antidilutive outstanding stock options. Shares attributable to antidilutive outstanding stock options were not included in the calculation of diluted earnings per share.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Repurchase of Shares</w:t>
      </w:r>
    </w:p>
    <w:p>
      <w:pPr>
        <w:spacing w:after="0" w:line="12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 ordinary shares. On November 8, 2017, the Company’s Board of Directors adopted a share repurchase plan for the repurchase of up to an additional $800,000 of the Company’s outstanding ordinary shares with no expiration date. In the three months ended December 31, 2019, the Company repurchased 1,309 ordinary shares at an average price of $68.78 per share (excluding broker and transaction fees). The November 2017 plan permits the Company to purchase its ordinary shares in the open market or through privately negotiated transactions at times and prices that it considers appropriate. As of December 31, 2019, the Company had remaining authority to repurchase up to $149,171 of its outstanding ordinary shares under the November 2017 plan. On November 12, 2019, the Company’s Board of Directors adopted another share repurchase plan authorizing the repurchase of up to an additional $800,000 of the Company’s outstanding ordinary shares which brings the unused authorization as of December 31, 2019 to $949,171. The November 2019 plan authorizations has no expiration date and permits the Company to purchase its ordinary shares in the open market or through privately negotiated transactions at times and prices that it considers appropriate.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December 2011, the Company entered into a $500,000 five-year revolving credit facility with a syndicate of banks. In December 2014, the credit facility was amended and restated to, among other things, extend the maturity date of the facility to December 2019. In December 2017, the credit facility was amended and restated again to, among other things, extend the maturity date of the facility to December 2022. As of December 31, 2019, the Company was in compliance with the financial covenants under the revolving credit facility and had no outstanding borrowings under the facility.</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of December 31, 2019, the Company had additional uncommitted lines of credit available for general corporate and other specific purposes and had outstanding letters of credit and bank guarantees from various banks totaling $91,091. These were supported by a combination of the uncommitted lines of credit that the Company maintains with various banks.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The issuance of such additional shares was registered with the SEC in February 2018. Awards granted under the Equity Incentive Plan generally vest over a period of three to four years and stock options have a term of ten years. Also, in accordance with the Equity Incentive Plan, options are issued at or above the market price at the time of grant.</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During the three months ended December 31, 2019, the Company granted 326 restricted shares and options to purchase 540 ordinary shares. The weighted average fair values associated with these grants were $69.24 per restricted share and $8.81 per option.</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equity-based compensation pre-tax expense for the three months ended December 31, 2019 and 2018 was as follows:</w:t>
      </w:r>
    </w:p>
    <w:p>
      <w:pPr>
        <w:spacing w:after="0" w:line="24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Three months ended</w:t>
      </w:r>
    </w:p>
    <w:p>
      <w:pPr>
        <w:jc w:val="center"/>
        <w:ind w:left="67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4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10,761</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12,117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December 31, 2019, there was $49,706 of unrecognized compensation expense related to unvested stock options and unvested restricted shares which is expected to be recognized over a weighted average period of approximately one year, based on the vesting periods of the grants.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Dividends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Board of Directors declared the following dividends during the three months ended December 31, 2019 and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5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Dividends Per</w:t>
            </w:r>
          </w:p>
        </w:tc>
        <w:tc>
          <w:tcPr>
            <w:tcW w:w="4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0" w:type="dxa"/>
            <w:vAlign w:val="bottom"/>
          </w:tcPr>
          <w:p>
            <w:pPr>
              <w:spacing w:after="0"/>
              <w:rPr>
                <w:sz w:val="1"/>
                <w:szCs w:val="1"/>
                <w:color w:val="auto"/>
              </w:rPr>
            </w:pPr>
          </w:p>
        </w:tc>
      </w:tr>
      <w:tr>
        <w:trPr>
          <w:trHeight w:val="158"/>
        </w:trPr>
        <w:tc>
          <w:tcPr>
            <w:tcW w:w="2940" w:type="dxa"/>
            <w:vAlign w:val="bottom"/>
            <w:gridSpan w:val="3"/>
            <w:vMerge w:val="continue"/>
          </w:tcPr>
          <w:p>
            <w:pPr>
              <w:spacing w:after="0"/>
              <w:rPr>
                <w:sz w:val="13"/>
                <w:szCs w:val="13"/>
                <w:color w:val="auto"/>
              </w:rPr>
            </w:pPr>
          </w:p>
        </w:tc>
        <w:tc>
          <w:tcPr>
            <w:tcW w:w="2500" w:type="dxa"/>
            <w:vAlign w:val="bottom"/>
            <w:gridSpan w:val="3"/>
          </w:tcPr>
          <w:p>
            <w:pPr>
              <w:ind w:left="1500"/>
              <w:spacing w:after="0" w:line="158" w:lineRule="exact"/>
              <w:rPr>
                <w:sz w:val="20"/>
                <w:szCs w:val="20"/>
                <w:color w:val="auto"/>
              </w:rPr>
            </w:pPr>
            <w:r>
              <w:rPr>
                <w:rFonts w:ascii="Arial" w:cs="Arial" w:eastAsia="Arial" w:hAnsi="Arial"/>
                <w:sz w:val="14"/>
                <w:szCs w:val="14"/>
                <w:b w:val="1"/>
                <w:bCs w:val="1"/>
                <w:color w:val="auto"/>
                <w:w w:val="96"/>
              </w:rPr>
              <w:t>Ordinary Share</w:t>
            </w:r>
          </w:p>
        </w:tc>
        <w:tc>
          <w:tcPr>
            <w:tcW w:w="4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12, 2019</w:t>
            </w: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0.285</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December 31, 2019</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38,357</w:t>
            </w: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18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0.250</w:t>
            </w:r>
          </w:p>
        </w:tc>
        <w:tc>
          <w:tcPr>
            <w:tcW w:w="182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December 31, 2018</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34,755</w:t>
            </w:r>
          </w:p>
        </w:tc>
        <w:tc>
          <w:tcPr>
            <w:tcW w:w="1660" w:type="dxa"/>
            <w:vAlign w:val="bottom"/>
            <w:gridSpan w:val="2"/>
          </w:tcPr>
          <w:p>
            <w:pPr>
              <w:jc w:val="center"/>
              <w:ind w:left="330"/>
              <w:spacing w:after="0"/>
              <w:rPr>
                <w:sz w:val="20"/>
                <w:szCs w:val="20"/>
                <w:color w:val="auto"/>
              </w:rPr>
            </w:pPr>
            <w:r>
              <w:rPr>
                <w:rFonts w:ascii="Arial" w:cs="Arial" w:eastAsia="Arial" w:hAnsi="Arial"/>
                <w:sz w:val="18"/>
                <w:szCs w:val="18"/>
                <w:color w:val="auto"/>
                <w:w w:val="89"/>
              </w:rPr>
              <w:t>January 18, 2019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460" w:firstLine="441"/>
        <w:spacing w:after="0" w:line="277" w:lineRule="auto"/>
        <w:rPr>
          <w:sz w:val="20"/>
          <w:szCs w:val="20"/>
          <w:color w:val="auto"/>
        </w:rPr>
      </w:pPr>
      <w:r>
        <w:rPr>
          <w:rFonts w:ascii="Arial" w:cs="Arial" w:eastAsia="Arial" w:hAnsi="Arial"/>
          <w:sz w:val="18"/>
          <w:szCs w:val="18"/>
          <w:color w:val="auto"/>
        </w:rPr>
        <w:t>The amounts payable as a result of the November 12, 2019 and November 8, 2018 declarations were included in accrued expenses and other current liabilities as of December 31, 2019 and 2018,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On February 4, 2020 the Company’s Board of Directors approved the next quarterly dividend payment and set March 31, 2020 as the record date for determining the shareholders entitled to receive the dividend, which is payable on April 24, 2020. On January 31, 2020, at the annual general meeting of shareholders, the Company’s shareholders approved an increase in the rate of the quarterly cash dividend from $0.285 per share to $0.3275 per share. As a result, the April 24, 2020 cash dividend will be paid at the increased rate of $0.3275 per share.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As discussed in Note 3,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 lessee, substantially all of the Company’s lease obligation is for office real estate. The significant judgments used in determining its lease obligation include whether a contract is or contains a lease and the determination of the discount rate used to calculate the lease liability.</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Company’s leases may include the option to extend or terminate before the end of the contractual term and are often non-cancelable or cancelable only by the payment of penalties. The lease assets and liabilities include these options in the lease term when it is reasonably certain that they will be exercised. In certain cases, the Company subleases excess office real estate to third-party tenants in immaterial amounts.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8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Effective October 1, 2019, when the Company is the lessee, all leases are recognized as lease liabilities and associated lease assets on the Consolidated Balance Sheet. Lease liabilities represent the Company’s obligation to make payments arising from the lease. Lease assets represent the Company’s right to use an underlying asset for the lease term and may also include advance payments, initial direct costs or lease incentives. Fixed and variable payments that depend upon an index or rate, such as the Consumer Price Index (CPI), are included in the recognition of lease assets and liabilities at the commencement-date rate. Other variable payments, such as common area maintenance, property and other taxes, utilities and insurance that are based on the lessor’s cost, are recognized in the Consolidated Income Statement in the period incurred.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2019, the Company had no material finance leases. Operating lease expense is recorded on a straight-line basis over the lease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term.</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 costs were as follows</w:t>
      </w:r>
      <w:r>
        <w:rPr>
          <w:rFonts w:ascii="Arial" w:cs="Arial" w:eastAsia="Arial" w:hAnsi="Arial"/>
          <w:sz w:val="18"/>
          <w:szCs w:val="18"/>
          <w:b w:val="1"/>
          <w:bCs w:val="1"/>
          <w:color w:val="auto"/>
        </w:rPr>
        <w:t>:</w:t>
      </w:r>
    </w:p>
    <w:p>
      <w:pPr>
        <w:spacing w:after="0" w:line="248"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December 31,</w:t>
      </w:r>
    </w:p>
    <w:p>
      <w:pPr>
        <w:ind w:left="8620"/>
        <w:spacing w:after="0" w:line="235" w:lineRule="auto"/>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0</wp:posOffset>
            </wp:positionV>
            <wp:extent cx="475107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ind w:left="1980"/>
        <w:spacing w:after="0"/>
        <w:tabs>
          <w:tab w:leader="none" w:pos="8120" w:val="left"/>
          <w:tab w:leader="none" w:pos="8880" w:val="left"/>
        </w:tabs>
        <w:rPr>
          <w:sz w:val="20"/>
          <w:szCs w:val="20"/>
          <w:color w:val="auto"/>
        </w:rPr>
      </w:pPr>
      <w:r>
        <w:rPr>
          <w:rFonts w:ascii="Arial" w:cs="Arial" w:eastAsia="Arial" w:hAnsi="Arial"/>
          <w:sz w:val="18"/>
          <w:szCs w:val="18"/>
          <w:color w:val="auto"/>
        </w:rPr>
        <w:t>Total net lease cost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21,414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13335</wp:posOffset>
            </wp:positionV>
            <wp:extent cx="8058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57"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Variable lease cost is immaterial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Supplemental information related to operating lease transactions was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5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payments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22,441</w:t>
            </w:r>
          </w:p>
        </w:tc>
        <w:tc>
          <w:tcPr>
            <w:tcW w:w="60" w:type="dxa"/>
            <w:vAlign w:val="bottom"/>
            <w:shd w:val="clear" w:color="auto" w:fill="CCEEFF"/>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Lease assets obtained in exchange for liabilities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16,963</w:t>
            </w:r>
          </w:p>
        </w:tc>
        <w:tc>
          <w:tcPr>
            <w:tcW w:w="60" w:type="dxa"/>
            <w:vAlign w:val="bottom"/>
          </w:tcPr>
          <w:p>
            <w:pPr>
              <w:spacing w:after="0"/>
              <w:rPr>
                <w:sz w:val="20"/>
                <w:szCs w:val="20"/>
                <w:color w:val="auto"/>
              </w:rPr>
            </w:pPr>
          </w:p>
        </w:tc>
      </w:tr>
      <w:tr>
        <w:trPr>
          <w:trHeight w:val="355"/>
        </w:trPr>
        <w:tc>
          <w:tcPr>
            <w:tcW w:w="5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71"/>
        </w:trPr>
        <w:tc>
          <w:tcPr>
            <w:tcW w:w="5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7.4 Years</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79"/>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maturity analysis presents future undiscounted cash outflows for operating leases as of December 31, 2019</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December 31,</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24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2021</w:t>
            </w:r>
          </w:p>
        </w:tc>
        <w:tc>
          <w:tcPr>
            <w:tcW w:w="2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2023</w:t>
            </w:r>
          </w:p>
        </w:tc>
        <w:tc>
          <w:tcPr>
            <w:tcW w:w="2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(61,613)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281,416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Future minimum rental commitments under non-cancelable operating leases as of September 30, 2019, which were accounted for per prior lease accounting (ASC 840), were as follows: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w w:val="91"/>
              </w:rPr>
              <w:t>For the year ended September 30,</w:t>
            </w:r>
          </w:p>
        </w:tc>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2021</w:t>
            </w: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2023</w:t>
            </w:r>
          </w:p>
        </w:tc>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Thereafter</w:t>
            </w:r>
          </w:p>
        </w:tc>
        <w:tc>
          <w:tcPr>
            <w:tcW w:w="4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60" w:type="dxa"/>
            <w:vAlign w:val="bottom"/>
            <w:vMerge w:val="restart"/>
          </w:tcPr>
          <w:p>
            <w:pPr>
              <w:jc w:val="right"/>
              <w:ind w:right="283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59" w:right="6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200" w:right="160" w:firstLine="441"/>
        <w:spacing w:after="0" w:line="288"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ind w:left="200" w:right="2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2019, filed on December 16, 2019 with the U.S. Securities and Exchange Commission.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Amdocs is a leading provider of software and services for more than 350 communications, Pay TV, entertainment and media industry and other service providers in developed countries and emerging markets. Amdocs also has technology and distribution ties to more than 600 content creators to bring premium content to over 1,000 video distributors. Our software and services, which we develop, implement and manage, are designed to meet the business imperatives of our customers and help them modernize, automate and digitize their business. These imperatives address service provider needs around consumer experience and monetization; media and digital services; enterprise and connected society; open cloud networks; new domains and disruptions, and services and hybrid operations.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open and dynamic amdocsONE portfolio is designed to meet the challenges facing our customers as they transform into digital service providers within the framework of a hybrid IT environment, which requires them to rapidly introduce new cloud-native applications while still operating legacy systems. amdocsONE enables modular expansion as a service provider evolves, ensuring low-cost and reduced-risk implementations, while its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consulting services, managed services, digital business operations, quality engineering services, cloud services, integration services and data and intelligence services.</w:t>
      </w:r>
    </w:p>
    <w:p>
      <w:pPr>
        <w:spacing w:after="0" w:line="189"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entertainment and media industry. In the three months ended December 31, 2019, customers in North America accounted for 63.5% of our revenue, while customers in Europe and the rest of the world accounted for 14.9% and 21.6%, respectively. We maintain and support development facilities in Brazil, Canada, Cyprus, India, Ireland, Israel, Mexico, the Philippines, the UK and the United States.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180" w:right="6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ectPr>
          <w:pgSz w:w="11900" w:h="16838" w:orient="portrait"/>
          <w:cols w:equalWidth="0" w:num="1">
            <w:col w:w="11200"/>
          </w:cols>
          <w:pgMar w:left="240" w:top="459" w:right="459" w:bottom="1440" w:gutter="0" w:footer="0" w:header="0"/>
        </w:sectPr>
      </w:pP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00"/>
          </w:cols>
          <w:pgMar w:left="24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1"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4 to our consolidated financial statements.</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$579.7 million and $525.5 million in the three months ended December 31, 2019 and 2018,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table sets forth for the three months ended December 31, 2019 and 2018, certain items in our consolidated statements of income reflected as a percentage of revenue (figures may not sum because of rounding):</w:t>
      </w:r>
    </w:p>
    <w:p>
      <w:pPr>
        <w:spacing w:after="0" w:line="18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Three months ended</w:t>
      </w:r>
    </w:p>
    <w:p>
      <w:pPr>
        <w:jc w:val="center"/>
        <w:ind w:left="64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6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6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(expense) income, net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11.1%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jc w:val="right"/>
              <w:ind w:right="2230"/>
              <w:spacing w:after="0"/>
              <w:rPr>
                <w:sz w:val="20"/>
                <w:szCs w:val="20"/>
                <w:color w:val="auto"/>
              </w:rPr>
            </w:pPr>
            <w:r>
              <w:rPr>
                <w:rFonts w:ascii="Arial" w:cs="Arial" w:eastAsia="Arial" w:hAnsi="Arial"/>
                <w:sz w:val="18"/>
                <w:szCs w:val="18"/>
                <w:color w:val="auto"/>
              </w:rPr>
              <w:t>25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Three Months Ended December 31, 2019 and 2018</w:t>
      </w:r>
    </w:p>
    <w:p>
      <w:pPr>
        <w:spacing w:after="0" w:line="12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three months ended December 31, 2019 compared to the three months ended December 31, 2018. Following the table is a discussion and analysis of our business and results of operations for such periods.</w:t>
      </w:r>
    </w:p>
    <w:p>
      <w:pPr>
        <w:spacing w:after="0" w:line="15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491"/>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Amount</w:t>
            </w:r>
          </w:p>
        </w:tc>
        <w:tc>
          <w:tcPr>
            <w:tcW w:w="5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1,041,957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1,012,055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$29,902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68,686</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(1,375)</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25,844</w:t>
            </w:r>
          </w:p>
        </w:tc>
        <w:tc>
          <w:tcPr>
            <w:tcW w:w="34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(4,554)</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878,958</w:t>
            </w: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w:t>
            </w:r>
          </w:p>
        </w:tc>
        <w:tc>
          <w:tcPr>
            <w:tcW w:w="32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133,097</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10,480</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(123.1)</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134,619</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8,606</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32,927</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115,932</w:t>
            </w: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101,692</w:t>
            </w:r>
          </w:p>
        </w:tc>
        <w:tc>
          <w:tcPr>
            <w:tcW w:w="3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14,240</w:t>
            </w: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$29.9 million, or 3.0%, to $1,042.0 million in the three months ended December 31, 2019, from $1,012.1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December 31, 2018. The increase in revenue was attributable to increased managed services including managed transformation activities. Revenue for the three months ended December 31, 2019 was positively affected by activities related to an acquisition completed in fiscal year 2019. Foreign exchange fluctuations impact on our revenue growth in the three months ended December 31, 2019, was immaterial.</w:t>
      </w:r>
    </w:p>
    <w:p>
      <w:pPr>
        <w:spacing w:after="0" w:line="188"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In the three months ended December 31, 2019, revenue from customers in North America, Europe and the rest of the world accounted for 63.5%, 14.9% and 21.6%, respectively, of total revenue, compared to 65.3%, 14.4% and 20.3%, respectively, the three months ended December 31, 2018. Revenue from customers in North America in absolute amount was at the same level during the three months ended December 31, 2019 and 2018, while total revenue increased and as a result the percentage of revenue from customers in North America decreased. This was mainly due to the lower activity with AT&amp;T, which was offset by higher revenue from other key customers in North America, as we support the continuous digital transformation of the region’s communications, Pay TV and media companies and by activities related to a fiscal year 2019 acquisition. Having said that, we note that ongoing consolidation activity in the region remains a source of uncertainty and we continue to see some indication of softness relating to the uncertainty around the T-Mobile and Sprint merger.</w:t>
      </w:r>
    </w:p>
    <w:p>
      <w:pPr>
        <w:spacing w:after="0" w:line="179"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Revenue from customers in Europe increased during the three months ended December 31, 2019, primarily as a result of higher revenue from development and modernization activities while we expand our presence in this region. Revenue from customers in the rest of the world increased during the three months ended December 31, 2019, as a result of our expansion and progress of managed transformations activities for customers.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$23.7 million, or 3.6%,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$686.3 million in the three months ended December 31, 2019, from $662.6 million in the three months ended December 31, 2018. The Cost of revenue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 in the three months ended December 31, 2019 and December 31, 2018, was mainly due to investments required to support ramp-up of new</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deals and was also commensurate with revenue growth.</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expense decreased by $1.4 million, or 2.0%, to $67.3 million in the three months ended December 31, 2019, from $68.7 million in the three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ended December 31, 2018. Research and development expense decreased as a percentage of revenue from 6.8% in the three months ended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to 6.5% in the three months ended December 31, 2019. We continue to invest in our digital offering as well as our media offering,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 in our network related innovation and in developing cloud native offering. Our research and development efforts are a key element of our strategy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are essential to our success, and we intend to maintain our commitment to research and development. An increase or a decrease in our revenue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would not necessarily result in a proportional increase or decrease in the levels of our research and development expenditures, which could affect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margin.</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$1.6 million, or 1.3%, to $123.5 million in the three months ended December 31, 2019, from $121.9 million in the three months ended December 31, 2018. Selling, general and administrative expense decreased as a percentage of revenue from 12.0% in the three months ended December 31, 2018, to 11.8% in the three months ended December 31, 2019. Selling, general and administrative expense may fluctuate from time to time, depending upon such factors as changes in our workforce and sales efforts and the results of any operational efficiency programs that we may undertake.</w:t>
      </w:r>
    </w:p>
    <w:p>
      <w:pPr>
        <w:spacing w:after="0" w:line="193"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b w:val="1"/>
          <w:bCs w:val="1"/>
          <w:i w:val="1"/>
          <w:iCs w:val="1"/>
          <w:color w:val="auto"/>
        </w:rPr>
        <w:t xml:space="preserve">Amortization of Purchased Intangible Assets and Other. </w:t>
      </w:r>
      <w:r>
        <w:rPr>
          <w:rFonts w:ascii="Arial" w:cs="Arial" w:eastAsia="Arial" w:hAnsi="Arial"/>
          <w:sz w:val="16"/>
          <w:szCs w:val="16"/>
          <w:color w:val="auto"/>
        </w:rPr>
        <w:t>Amortization of purchased intangible assets and other in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2019, decreased by $4.6 million, or 17.6% to $21.3 million from $25.8 million in the three months ended December 31, 2018.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 2019.</w:t>
      </w:r>
    </w:p>
    <w:p>
      <w:pPr>
        <w:spacing w:after="0" w:line="154"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b w:val="1"/>
          <w:bCs w:val="1"/>
          <w:i w:val="1"/>
          <w:iCs w:val="1"/>
          <w:color w:val="auto"/>
        </w:rPr>
        <w:t>Operating Income</w:t>
      </w:r>
      <w:r>
        <w:rPr>
          <w:rFonts w:ascii="Arial" w:cs="Arial" w:eastAsia="Arial" w:hAnsi="Arial"/>
          <w:sz w:val="16"/>
          <w:szCs w:val="16"/>
          <w:color w:val="auto"/>
        </w:rPr>
        <w:t>. Operating income increased by $10.5 million, or 7.9%, in the three months ended December 31, 2019, to $143.6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13.8% of revenue, from $133.1 million, or 13.2% of revenue, in the three months ended December 31, 2018. The increase in operating income was attributable primarily to the increase in revenue partially offset by the increase in cost of revenue, and to the decrease in amortization of purchased intangible assets and other during the three months ended December 31, 2019. Negative foreign exchange impacts on our revenue were partially offset by the negative foreign exchange impacts on our operating expense, resulting in an immaterial negative impact on our operating income.</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(Expense) Income, Net. </w:t>
      </w:r>
      <w:r>
        <w:rPr>
          <w:rFonts w:ascii="Arial" w:cs="Arial" w:eastAsia="Arial" w:hAnsi="Arial"/>
          <w:sz w:val="18"/>
          <w:szCs w:val="18"/>
          <w:color w:val="auto"/>
        </w:rPr>
        <w:t>Interest and other (expense) income, net, changed from a net gain of $1.5 million in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to a net loss of $0.4 million in the three months ended December 31, 2019. The change in interest and other (expense) income, net, was primarily attributable to the realized gain of a minority equity investment recorded in the three months ended December 31, 2018, offset by decrease in foreign exchange impacts.</w:t>
      </w:r>
    </w:p>
    <w:p>
      <w:pPr>
        <w:spacing w:after="0" w:line="187"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the three months ended December 31, 2019 were $27.3 million on pre-tax income of $143.2 million, resulting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effective tax rate of 19.1%, compared to 24.5% in the three months ended December 31, 2018. Our effective tax rate may fluctuate between periods as a result of discrete items that may affect a particular period. Please see Note 9 to our consolidated financial statements.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$14.2 million, or 14.0%, to $115.9 million in the three months ended December 31, 2019, from</w:t>
      </w:r>
    </w:p>
    <w:p>
      <w:pPr>
        <w:spacing w:after="0" w:line="23"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color w:val="auto"/>
        </w:rPr>
        <w:t>$101.7 million in the three months ended December 31, 2018. The increase in net income was attributable to the increase in Operating Income coupled with decrease in income taxes.</w:t>
      </w:r>
    </w:p>
    <w:p>
      <w:pPr>
        <w:spacing w:after="0" w:line="184"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$0.13, or 18.1%, to $0.85 in the three months ended December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$0.72 in the three months ended December 31, 2018. The increase in diluted earnings per share was primarily attributable to the increase in net income as well as to the decrease in the diluted weighted average number of shares outstanding which resulted from share repurchases. Please see also Note 10 to our consolidated financial statements.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i w:val="1"/>
          <w:iCs w:val="1"/>
          <w:color w:val="auto"/>
        </w:rPr>
        <w:t xml:space="preserve">Cash, Cash Equivalents and Short-Term Interest-Bearing Investments. </w:t>
      </w:r>
      <w:r>
        <w:rPr>
          <w:rFonts w:ascii="Arial" w:cs="Arial" w:eastAsia="Arial" w:hAnsi="Arial"/>
          <w:sz w:val="18"/>
          <w:szCs w:val="18"/>
          <w:color w:val="auto"/>
        </w:rPr>
        <w:t>Cash, cash equivalents and short-term interest-bearing investments,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$485.9 million as of December 31, 2019, compared to $471.6 million as of September 30, 2019. The increase was mainly attributable to $163.9 million in positive cash flow from operations and $41.2 million of proceeds from stock option exercises, partially offset $90.0 million repurchase of our ordinary shares, $58.5 million for capital expenditures, net, $38.4 million of cash dividend payment and $1.4 million contingent consideration payment from a business acquisition. Net cash provided by operating activities amounted to $163.9 million and $109.7 in the three months ended December 31, 2019 and 2018, respectively.</w:t>
      </w:r>
    </w:p>
    <w:p>
      <w:pPr>
        <w:spacing w:after="0" w:line="193"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free cash flow for the three months ended December 31, 2019 was $105.4 million and is calculated as net cash provided by operating activities of $163.9 million for the period less $58.5 million for capital expenditures, net.</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Our policy is to retain sufficient cash balances in order to support our growth. We believe that our current cash balances, cash generated from operations, our current lines of credit and our ability to access capital markets will provide sufficient resources to meet our operational needs, fund the construction of the new campus in Israel, fund share repurchases and the payment of cash dividends for at least the fiscal year 2020.</w:t>
      </w:r>
    </w:p>
    <w:p>
      <w:pPr>
        <w:spacing w:after="0" w:line="14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bank deposits and money market funds. We believe we have conservative investment policy guidelines. Our interest-bearing investments are priced by pricing vendors and are classified as Level 1, since these vendors provide a quoted market price in an active market. During the three months ended December 31, 2019 and 2018, we did not recognize any credit losses. Please see Notes 5 and 6 to the consolidated financial statements.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December 2011, we entered into an unsecured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 million five-year revolving credit facility with a syndicate of banks. In December 2014, the credit facility was amended and restated to, among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things, extend the maturity date of the facility to December 2019. In December 2017, the credit facility was amended and restated again to, among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things, extend the maturity date of the facility to December 2022. As of December 31, 2019, we were in compliance with the financial covenants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the revolving credit facility and had no outstanding borrowings under the facility.</w:t>
      </w:r>
    </w:p>
    <w:p>
      <w:pPr>
        <w:spacing w:after="0" w:line="21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December 31, 2019, we had additional uncommitted lines of credit available for general corporate and other specific purposes and had outstanding letters of credit and bank guarantees from various banks totaling $91.1 million. These were supported by a combination of the uncommitted lines of credit that we maintain with various banks.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contractual obligations for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2019, filed on December 16, 2019 with the SEC. Since September 30, 2019, there have been no material changes in our aggregate contractual obligations.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(excluding the investment in our new campus in Israel) consist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purchases of computer equipment, and the remainder is attributable mainly to leasehold improvements. Our capital expenditures were approximately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$58.5 million in the three months ended December 31, 2019 and were mainly attributable to investments in our operating facilities and our development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centers around the world. The total net investment we expect to make in connection with the construction of the new campus is estimated to be up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$350 million over a period of four to five years, starting with fiscal year 2018, out of which approximately $96 million was incurred in fiscal years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both us and our partner Union at equal portions (i.e. our net investment was approximately $48 million) and $7 million was incurred by us in fiscal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year 2019. We expect to incur up to $90 million in fiscal year 2020.</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November 8, 2017, our Board of Directors adopted a share repurchase plan for the repurchase of up to an additional $800.0 million of our outstanding ordinary shares with no expiration date. In the three months ended December 31, 2019, we repurchased 1.3 million ordinary shares at an average price of $68.78 per share (excluding broker and transaction fees). The November 2017 plan permits us to purchase our ordinary shares in the open market or through privately negotiated transactions at times and prices that we consider appropriate. As of December 31, 2019, we had remaining authority to repurchase up to $149.2 million of our outstanding ordinary shares under the November 2017 plan. On November 12, 2019, our Board of Directors adopted another share repurchase plan authorizing the repurchase of up to an additional $800.0 million of our outstanding ordinary shares with no expiration date which brings the unused authorization as of December 31, 2019 to $949.2 million. The authorizations permit us to purchase our ordinary shares in the open market or through privately negotiated transactions at times and prices that we consider appropriate.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three months ended December 31, 2019 and 2018:</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4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Dividends Per</w:t>
            </w:r>
          </w:p>
        </w:tc>
        <w:tc>
          <w:tcPr>
            <w:tcW w:w="50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2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3"/>
              </w:rPr>
              <w:t>Total Amount</w:t>
            </w:r>
          </w:p>
        </w:tc>
        <w:tc>
          <w:tcPr>
            <w:tcW w:w="4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0" w:type="dxa"/>
            <w:vAlign w:val="bottom"/>
          </w:tcPr>
          <w:p>
            <w:pPr>
              <w:spacing w:after="0"/>
              <w:rPr>
                <w:sz w:val="1"/>
                <w:szCs w:val="1"/>
                <w:color w:val="auto"/>
              </w:rPr>
            </w:pPr>
          </w:p>
        </w:tc>
      </w:tr>
      <w:tr>
        <w:trPr>
          <w:trHeight w:val="158"/>
        </w:trPr>
        <w:tc>
          <w:tcPr>
            <w:tcW w:w="2840" w:type="dxa"/>
            <w:vAlign w:val="bottom"/>
            <w:gridSpan w:val="3"/>
            <w:vMerge w:val="continue"/>
          </w:tcPr>
          <w:p>
            <w:pPr>
              <w:spacing w:after="0"/>
              <w:rPr>
                <w:sz w:val="13"/>
                <w:szCs w:val="13"/>
                <w:color w:val="auto"/>
              </w:rPr>
            </w:pPr>
          </w:p>
        </w:tc>
        <w:tc>
          <w:tcPr>
            <w:tcW w:w="2380" w:type="dxa"/>
            <w:vAlign w:val="bottom"/>
            <w:gridSpan w:val="3"/>
          </w:tcPr>
          <w:p>
            <w:pPr>
              <w:ind w:left="1400"/>
              <w:spacing w:after="0" w:line="158" w:lineRule="exact"/>
              <w:rPr>
                <w:sz w:val="20"/>
                <w:szCs w:val="20"/>
                <w:color w:val="auto"/>
              </w:rPr>
            </w:pPr>
            <w:r>
              <w:rPr>
                <w:rFonts w:ascii="Arial" w:cs="Arial" w:eastAsia="Arial" w:hAnsi="Arial"/>
                <w:sz w:val="14"/>
                <w:szCs w:val="14"/>
                <w:b w:val="1"/>
                <w:bCs w:val="1"/>
                <w:color w:val="auto"/>
                <w:w w:val="94"/>
              </w:rPr>
              <w:t>Ordinary Share</w:t>
            </w:r>
          </w:p>
        </w:tc>
        <w:tc>
          <w:tcPr>
            <w:tcW w:w="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November 12, 2019</w:t>
            </w: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0.285</w:t>
            </w: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December 31, 2019</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38.4</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November 8, 2018</w:t>
            </w:r>
          </w:p>
        </w:tc>
        <w:tc>
          <w:tcPr>
            <w:tcW w:w="17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0.250</w:t>
            </w:r>
          </w:p>
        </w:tc>
        <w:tc>
          <w:tcPr>
            <w:tcW w:w="19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December 31, 2018</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34.8</w:t>
            </w:r>
          </w:p>
        </w:tc>
        <w:tc>
          <w:tcPr>
            <w:tcW w:w="172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January 18, 2019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February 4, 2020, our Board of Directors approved the next quarterly dividend payment and set March 31, 2020 as the record date for determining the shareholders entitled to receive the dividend, which is payable on April 24, 2020. On January 31, 2020, at the annual general meeting of shareholders, our shareholders approved an increase in the rate of the quarterly cash dividend from $0.285 per share to $0.3275 per share. As a result, the April 24, 2020 cash dividend will be paid at the increased rate of $0.3275.</w:t>
      </w:r>
    </w:p>
    <w:p>
      <w:pPr>
        <w:spacing w:after="0" w:line="18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During the three months ended December 31, 2019 and 2018,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December 31, 2019 of equity securities that are registered by us pursuant to Section 12 of the Exchange Act:</w:t>
      </w:r>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760" w:type="dxa"/>
            <w:vAlign w:val="bottom"/>
            <w:gridSpan w:val="4"/>
          </w:tcPr>
          <w:p>
            <w:pPr>
              <w:ind w:left="52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0" w:type="dxa"/>
            <w:vAlign w:val="bottom"/>
            <w:gridSpan w:val="2"/>
            <w:vMerge w:val="restart"/>
          </w:tcPr>
          <w:p>
            <w:pPr>
              <w:jc w:val="center"/>
              <w:ind w:left="1296"/>
              <w:spacing w:after="0"/>
              <w:rPr>
                <w:sz w:val="20"/>
                <w:szCs w:val="20"/>
                <w:color w:val="auto"/>
              </w:rPr>
            </w:pPr>
            <w:r>
              <w:rPr>
                <w:rFonts w:ascii="Arial" w:cs="Arial" w:eastAsia="Arial" w:hAnsi="Arial"/>
                <w:sz w:val="14"/>
                <w:szCs w:val="14"/>
                <w:b w:val="1"/>
                <w:bCs w:val="1"/>
                <w:color w:val="auto"/>
                <w:w w:val="94"/>
              </w:rPr>
              <w:t>Total 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gridSpan w:val="2"/>
          </w:tcPr>
          <w:p>
            <w:pPr>
              <w:jc w:val="center"/>
              <w:ind w:left="416"/>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5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of Shares that May</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Average Price</w:t>
            </w:r>
          </w:p>
        </w:tc>
        <w:tc>
          <w:tcPr>
            <w:tcW w:w="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Publicly</w:t>
            </w:r>
          </w:p>
        </w:tc>
        <w:tc>
          <w:tcPr>
            <w:tcW w:w="5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31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Period</w:t>
            </w:r>
          </w:p>
        </w:tc>
        <w:tc>
          <w:tcPr>
            <w:tcW w:w="13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58"/>
        </w:trPr>
        <w:tc>
          <w:tcPr>
            <w:tcW w:w="3160" w:type="dxa"/>
            <w:vAlign w:val="bottom"/>
            <w:gridSpan w:val="4"/>
            <w:vMerge w:val="continue"/>
          </w:tcPr>
          <w:p>
            <w:pPr>
              <w:spacing w:after="0"/>
              <w:rPr>
                <w:sz w:val="13"/>
                <w:szCs w:val="13"/>
                <w:color w:val="auto"/>
              </w:rPr>
            </w:pPr>
          </w:p>
        </w:tc>
        <w:tc>
          <w:tcPr>
            <w:tcW w:w="138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w:t>
            </w:r>
          </w:p>
        </w:tc>
        <w:tc>
          <w:tcPr>
            <w:tcW w:w="1620" w:type="dxa"/>
            <w:vAlign w:val="bottom"/>
            <w:gridSpan w:val="3"/>
          </w:tcPr>
          <w:p>
            <w:pPr>
              <w:ind w:left="520"/>
              <w:spacing w:after="0" w:line="158" w:lineRule="exact"/>
              <w:rPr>
                <w:sz w:val="20"/>
                <w:szCs w:val="20"/>
                <w:color w:val="auto"/>
              </w:rPr>
            </w:pPr>
            <w:r>
              <w:rPr>
                <w:rFonts w:ascii="Arial" w:cs="Arial" w:eastAsia="Arial" w:hAnsi="Arial"/>
                <w:sz w:val="14"/>
                <w:szCs w:val="14"/>
                <w:b w:val="1"/>
                <w:bCs w:val="1"/>
                <w:color w:val="auto"/>
                <w:w w:val="93"/>
              </w:rPr>
              <w:t>Paid per Share(1)</w:t>
            </w:r>
          </w:p>
        </w:tc>
        <w:tc>
          <w:tcPr>
            <w:tcW w:w="5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or Programs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or Programs(2)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10/01/19-10/31/19</w:t>
            </w: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349,599</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65.76</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349,599</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216,182,714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11/01/19-11/30/19</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296,733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67.40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296,733</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996,183,385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12/01/19-12/31/19</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662,269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662,269</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949,171,077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gridSpan w:val="4"/>
          </w:tcPr>
          <w:p>
            <w:pPr>
              <w:ind w:left="42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1,308,601</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68.78</w:t>
            </w:r>
          </w:p>
        </w:tc>
        <w:tc>
          <w:tcPr>
            <w:tcW w:w="5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1,308,601</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949,171,077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12, 2019, our Board of Directors adopted another share repurchase plan for the repurchase of up to an additional $800.0 million of our outstanding ordinary shares. The authorizations have no expiration date and permit us to purchase our ordinary shares in open market or privately negotiated transactions at times and prices we consider appropriate.</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furnished or filed the following reports on Form 6-K during the three months ended December 31, 2019:</w:t>
      </w:r>
    </w:p>
    <w:p>
      <w:pPr>
        <w:spacing w:after="0" w:line="131" w:lineRule="exact"/>
        <w:rPr>
          <w:sz w:val="20"/>
          <w:szCs w:val="20"/>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November 13, 2019</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6-K dated December 26, 2019</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240" w:top="459" w:right="5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Matthew E. Smith</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7959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February 18, 2020</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sectPr>
      <w:pgSz w:w="11900" w:h="16838" w:orient="portrait"/>
      <w:cols w:equalWidth="0" w:num="1">
        <w:col w:w="10920"/>
      </w:cols>
      <w:pgMar w:left="240" w:top="459"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2020-02-18T07:04:46Z</dcterms:created>
  <dcterms:modified xsi:type="dcterms:W3CDTF">2020-02-18T07:04:46Z</dcterms:modified>
</cp:coreProperties>
</file>