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#2</w:t>
      </w: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190"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Amdocs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G02602103</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December 31, 2010</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This Schedule is filed pursuant to Rule 13d-1(b)</w:t>
      </w:r>
    </w:p>
    <w:p>
      <w:pPr>
        <w:spacing w:after="0" w:line="11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22" w:right="4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color w:val="auto"/>
              </w:rPr>
              <w:t>G02602103</w:t>
            </w:r>
          </w:p>
        </w:tc>
        <w:tc>
          <w:tcPr>
            <w:tcW w:w="8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Ameriprise Financial, Inc.</w:t>
            </w:r>
          </w:p>
        </w:tc>
        <w:tc>
          <w:tcPr>
            <w:tcW w:w="0" w:type="dxa"/>
            <w:vAlign w:val="bottom"/>
          </w:tcPr>
          <w:p>
            <w:pPr>
              <w:spacing w:after="0"/>
              <w:rPr>
                <w:sz w:val="1"/>
                <w:szCs w:val="1"/>
                <w:color w:val="auto"/>
              </w:rPr>
            </w:pPr>
          </w:p>
        </w:tc>
      </w:tr>
      <w:tr>
        <w:trPr>
          <w:trHeight w:val="4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S.S. or I.R.S. Identification</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IRS No. 13-3180631</w:t>
            </w:r>
          </w:p>
        </w:tc>
        <w:tc>
          <w:tcPr>
            <w:tcW w:w="0" w:type="dxa"/>
            <w:vAlign w:val="bottom"/>
          </w:tcPr>
          <w:p>
            <w:pPr>
              <w:spacing w:after="0"/>
              <w:rPr>
                <w:sz w:val="1"/>
                <w:szCs w:val="1"/>
                <w:color w:val="auto"/>
              </w:rPr>
            </w:pPr>
          </w:p>
        </w:tc>
      </w:tr>
      <w:tr>
        <w:trPr>
          <w:trHeight w:val="431"/>
        </w:trPr>
        <w:tc>
          <w:tcPr>
            <w:tcW w:w="64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No. of Above Person</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207"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w:t>
            </w:r>
          </w:p>
        </w:tc>
        <w:tc>
          <w:tcPr>
            <w:tcW w:w="4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4,010,936</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12,931,201</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12,931,201</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Not Applicable</w:t>
            </w: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This filing describes the reporting person’s relationship with other persons, but the reporting person does not affirm the existence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G02602103</w:t>
            </w:r>
          </w:p>
        </w:tc>
        <w:tc>
          <w:tcPr>
            <w:tcW w:w="8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tcPr>
          <w:p>
            <w:pPr>
              <w:spacing w:after="0"/>
              <w:rPr>
                <w:sz w:val="18"/>
                <w:szCs w:val="18"/>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Columbia Management</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Investment Advisers, LLC</w:t>
            </w:r>
          </w:p>
        </w:tc>
        <w:tc>
          <w:tcPr>
            <w:tcW w:w="0" w:type="dxa"/>
            <w:vAlign w:val="bottom"/>
          </w:tcPr>
          <w:p>
            <w:pPr>
              <w:spacing w:after="0"/>
              <w:rPr>
                <w:sz w:val="1"/>
                <w:szCs w:val="1"/>
                <w:color w:val="auto"/>
              </w:rPr>
            </w:pPr>
          </w:p>
        </w:tc>
      </w:tr>
      <w:tr>
        <w:trPr>
          <w:trHeight w:val="418"/>
        </w:trPr>
        <w:tc>
          <w:tcPr>
            <w:tcW w:w="640" w:type="dxa"/>
            <w:vAlign w:val="bottom"/>
            <w:tcBorders>
              <w:left w:val="single" w:sz="8" w:color="auto"/>
              <w:right w:val="single" w:sz="8" w:color="auto"/>
            </w:tcBorders>
            <w:vMerge w:val="continue"/>
          </w:tcPr>
          <w:p>
            <w:pPr>
              <w:spacing w:after="0"/>
              <w:rPr>
                <w:sz w:val="24"/>
                <w:szCs w:val="24"/>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S.S. or I.R.S. Identification</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tcPr>
          <w:p>
            <w:pPr>
              <w:spacing w:after="0"/>
              <w:rPr>
                <w:sz w:val="20"/>
                <w:szCs w:val="20"/>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IRS No. 41-1533211</w:t>
            </w:r>
          </w:p>
        </w:tc>
        <w:tc>
          <w:tcPr>
            <w:tcW w:w="0" w:type="dxa"/>
            <w:vAlign w:val="bottom"/>
          </w:tcPr>
          <w:p>
            <w:pPr>
              <w:spacing w:after="0"/>
              <w:rPr>
                <w:sz w:val="1"/>
                <w:szCs w:val="1"/>
                <w:color w:val="auto"/>
              </w:rPr>
            </w:pPr>
          </w:p>
        </w:tc>
      </w:tr>
      <w:tr>
        <w:trPr>
          <w:trHeight w:val="432"/>
        </w:trPr>
        <w:tc>
          <w:tcPr>
            <w:tcW w:w="640" w:type="dxa"/>
            <w:vAlign w:val="bottom"/>
            <w:tcBorders>
              <w:left w:val="single" w:sz="8" w:color="auto"/>
              <w:right w:val="single" w:sz="8" w:color="auto"/>
            </w:tcBorders>
          </w:tcPr>
          <w:p>
            <w:pPr>
              <w:spacing w:after="0"/>
              <w:rPr>
                <w:sz w:val="24"/>
                <w:szCs w:val="24"/>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No. of Above Person</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958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60" w:type="dxa"/>
            <w:vAlign w:val="bottom"/>
            <w:tcBorders>
              <w:bottom w:val="single" w:sz="8" w:color="auto"/>
            </w:tcBorders>
            <w:gridSpan w:val="2"/>
          </w:tcPr>
          <w:p>
            <w:pPr>
              <w:ind w:left="40"/>
              <w:spacing w:after="0" w:line="207"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8"/>
                <w:szCs w:val="18"/>
                <w:color w:val="auto"/>
              </w:rPr>
              <w:t>*</w:t>
            </w:r>
          </w:p>
        </w:tc>
        <w:tc>
          <w:tcPr>
            <w:tcW w:w="3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8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140" w:type="dxa"/>
            <w:vAlign w:val="bottom"/>
          </w:tcPr>
          <w:p>
            <w:pPr>
              <w:spacing w:after="0"/>
              <w:rPr>
                <w:sz w:val="24"/>
                <w:szCs w:val="24"/>
                <w:color w:val="auto"/>
              </w:rPr>
            </w:pPr>
          </w:p>
        </w:tc>
        <w:tc>
          <w:tcPr>
            <w:tcW w:w="8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8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9"/>
              </w:rPr>
              <w:t>Minnesota</w:t>
            </w: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4,010,936</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3"/>
                <w:szCs w:val="23"/>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WITH</w:t>
            </w: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4"/>
                <w:szCs w:val="24"/>
                <w:color w:val="auto"/>
              </w:rPr>
            </w:pPr>
          </w:p>
        </w:tc>
        <w:tc>
          <w:tcPr>
            <w:tcW w:w="948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12,931,201</w:t>
            </w: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12,931,201</w:t>
            </w: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color w:val="auto"/>
              </w:rPr>
              <w:t>Not Applicable</w:t>
            </w: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6.29%</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This filing describes the reporting person’s relationship with other persons, but the reporting person does not affirm the existence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1(a)</w:t>
            </w:r>
          </w:p>
        </w:tc>
        <w:tc>
          <w:tcPr>
            <w:tcW w:w="3840" w:type="dxa"/>
            <w:vAlign w:val="bottom"/>
          </w:tcPr>
          <w:p>
            <w:pPr>
              <w:ind w:left="140"/>
              <w:spacing w:after="0"/>
              <w:rPr>
                <w:sz w:val="20"/>
                <w:szCs w:val="20"/>
                <w:color w:val="auto"/>
              </w:rPr>
            </w:pPr>
            <w:r>
              <w:rPr>
                <w:rFonts w:ascii="Arial" w:cs="Arial" w:eastAsia="Arial" w:hAnsi="Arial"/>
                <w:sz w:val="18"/>
                <w:szCs w:val="18"/>
                <w:color w:val="auto"/>
              </w:rPr>
              <w:t>Name of Issuer:</w:t>
            </w:r>
          </w:p>
        </w:tc>
        <w:tc>
          <w:tcPr>
            <w:tcW w:w="3800" w:type="dxa"/>
            <w:vAlign w:val="bottom"/>
          </w:tcPr>
          <w:p>
            <w:pPr>
              <w:ind w:left="980"/>
              <w:spacing w:after="0"/>
              <w:rPr>
                <w:sz w:val="20"/>
                <w:szCs w:val="20"/>
                <w:color w:val="auto"/>
              </w:rPr>
            </w:pPr>
            <w:r>
              <w:rPr>
                <w:rFonts w:ascii="Arial" w:cs="Arial" w:eastAsia="Arial" w:hAnsi="Arial"/>
                <w:sz w:val="18"/>
                <w:szCs w:val="18"/>
                <w:color w:val="auto"/>
              </w:rPr>
              <w:t>Amdocs Ltd.</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1(b)</w:t>
            </w:r>
          </w:p>
        </w:tc>
        <w:tc>
          <w:tcPr>
            <w:tcW w:w="3840" w:type="dxa"/>
            <w:vAlign w:val="bottom"/>
          </w:tcPr>
          <w:p>
            <w:pPr>
              <w:ind w:left="140"/>
              <w:spacing w:after="0"/>
              <w:rPr>
                <w:sz w:val="20"/>
                <w:szCs w:val="20"/>
                <w:color w:val="auto"/>
              </w:rPr>
            </w:pPr>
            <w:r>
              <w:rPr>
                <w:rFonts w:ascii="Arial" w:cs="Arial" w:eastAsia="Arial" w:hAnsi="Arial"/>
                <w:sz w:val="18"/>
                <w:szCs w:val="18"/>
                <w:color w:val="auto"/>
              </w:rPr>
              <w:t>Address of Issuer’s Principal</w:t>
            </w:r>
          </w:p>
        </w:tc>
        <w:tc>
          <w:tcPr>
            <w:tcW w:w="3800" w:type="dxa"/>
            <w:vAlign w:val="bottom"/>
          </w:tcPr>
          <w:p>
            <w:pPr>
              <w:ind w:left="980"/>
              <w:spacing w:after="0"/>
              <w:rPr>
                <w:sz w:val="20"/>
                <w:szCs w:val="20"/>
                <w:color w:val="auto"/>
              </w:rPr>
            </w:pPr>
            <w:r>
              <w:rPr>
                <w:rFonts w:ascii="Arial" w:cs="Arial" w:eastAsia="Arial" w:hAnsi="Arial"/>
                <w:sz w:val="18"/>
                <w:szCs w:val="18"/>
                <w:color w:val="auto"/>
                <w:w w:val="91"/>
              </w:rPr>
              <w:t>Tower Hill House Le Bordage, Suite 5,</w:t>
            </w:r>
          </w:p>
        </w:tc>
      </w:tr>
      <w:tr>
        <w:trPr>
          <w:trHeight w:val="216"/>
        </w:trPr>
        <w:tc>
          <w:tcPr>
            <w:tcW w:w="440" w:type="dxa"/>
            <w:vAlign w:val="bottom"/>
          </w:tcPr>
          <w:p>
            <w:pPr>
              <w:spacing w:after="0"/>
              <w:rPr>
                <w:sz w:val="18"/>
                <w:szCs w:val="18"/>
                <w:color w:val="auto"/>
              </w:rPr>
            </w:pPr>
          </w:p>
        </w:tc>
        <w:tc>
          <w:tcPr>
            <w:tcW w:w="3840" w:type="dxa"/>
            <w:vAlign w:val="bottom"/>
          </w:tcPr>
          <w:p>
            <w:pPr>
              <w:ind w:left="140"/>
              <w:spacing w:after="0"/>
              <w:rPr>
                <w:sz w:val="20"/>
                <w:szCs w:val="20"/>
                <w:color w:val="auto"/>
              </w:rPr>
            </w:pPr>
            <w:r>
              <w:rPr>
                <w:rFonts w:ascii="Arial" w:cs="Arial" w:eastAsia="Arial" w:hAnsi="Arial"/>
                <w:sz w:val="18"/>
                <w:szCs w:val="18"/>
                <w:color w:val="auto"/>
              </w:rPr>
              <w:t>Executive Offices:</w:t>
            </w:r>
          </w:p>
        </w:tc>
        <w:tc>
          <w:tcPr>
            <w:tcW w:w="3800" w:type="dxa"/>
            <w:vAlign w:val="bottom"/>
          </w:tcPr>
          <w:p>
            <w:pPr>
              <w:ind w:left="980"/>
              <w:spacing w:after="0"/>
              <w:rPr>
                <w:sz w:val="20"/>
                <w:szCs w:val="20"/>
                <w:color w:val="auto"/>
              </w:rPr>
            </w:pPr>
            <w:r>
              <w:rPr>
                <w:rFonts w:ascii="Arial" w:cs="Arial" w:eastAsia="Arial" w:hAnsi="Arial"/>
                <w:sz w:val="18"/>
                <w:szCs w:val="18"/>
                <w:color w:val="auto"/>
              </w:rPr>
              <w:t>St. Peter Port</w:t>
            </w:r>
          </w:p>
        </w:tc>
      </w:tr>
      <w:tr>
        <w:trPr>
          <w:trHeight w:val="230"/>
        </w:trPr>
        <w:tc>
          <w:tcPr>
            <w:tcW w:w="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Island of Guernsy, X0 GY1 3QT</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2(a)</w:t>
            </w:r>
          </w:p>
        </w:tc>
        <w:tc>
          <w:tcPr>
            <w:tcW w:w="3840" w:type="dxa"/>
            <w:vAlign w:val="bottom"/>
          </w:tcPr>
          <w:p>
            <w:pPr>
              <w:ind w:left="140"/>
              <w:spacing w:after="0"/>
              <w:rPr>
                <w:sz w:val="20"/>
                <w:szCs w:val="20"/>
                <w:color w:val="auto"/>
              </w:rPr>
            </w:pPr>
            <w:r>
              <w:rPr>
                <w:rFonts w:ascii="Arial" w:cs="Arial" w:eastAsia="Arial" w:hAnsi="Arial"/>
                <w:sz w:val="18"/>
                <w:szCs w:val="18"/>
                <w:color w:val="auto"/>
              </w:rPr>
              <w:t>Name of Person Filing:</w:t>
            </w:r>
          </w:p>
        </w:tc>
        <w:tc>
          <w:tcPr>
            <w:tcW w:w="3800" w:type="dxa"/>
            <w:vAlign w:val="bottom"/>
          </w:tcPr>
          <w:p>
            <w:pPr>
              <w:ind w:left="980"/>
              <w:spacing w:after="0"/>
              <w:rPr>
                <w:sz w:val="20"/>
                <w:szCs w:val="20"/>
                <w:color w:val="auto"/>
              </w:rPr>
            </w:pPr>
            <w:r>
              <w:rPr>
                <w:rFonts w:ascii="Arial" w:cs="Arial" w:eastAsia="Arial" w:hAnsi="Arial"/>
                <w:sz w:val="18"/>
                <w:szCs w:val="18"/>
                <w:color w:val="auto"/>
                <w:w w:val="97"/>
              </w:rPr>
              <w:t>(a) Ameriprise Financial, Inc. (“AFI”)</w:t>
            </w: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w w:val="91"/>
              </w:rPr>
              <w:t>(b) Columbia Management Investment</w:t>
            </w:r>
          </w:p>
        </w:tc>
      </w:tr>
      <w:tr>
        <w:trPr>
          <w:trHeight w:val="230"/>
        </w:trPr>
        <w:tc>
          <w:tcPr>
            <w:tcW w:w="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Advisers, LLC (“CMIA”)</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2(b)</w:t>
            </w:r>
          </w:p>
        </w:tc>
        <w:tc>
          <w:tcPr>
            <w:tcW w:w="3840" w:type="dxa"/>
            <w:vAlign w:val="bottom"/>
          </w:tcPr>
          <w:p>
            <w:pPr>
              <w:ind w:left="140"/>
              <w:spacing w:after="0"/>
              <w:rPr>
                <w:sz w:val="20"/>
                <w:szCs w:val="20"/>
                <w:color w:val="auto"/>
              </w:rPr>
            </w:pPr>
            <w:r>
              <w:rPr>
                <w:rFonts w:ascii="Arial" w:cs="Arial" w:eastAsia="Arial" w:hAnsi="Arial"/>
                <w:sz w:val="18"/>
                <w:szCs w:val="18"/>
                <w:color w:val="auto"/>
              </w:rPr>
              <w:t>Address of Principal Business Office:</w:t>
            </w:r>
          </w:p>
        </w:tc>
        <w:tc>
          <w:tcPr>
            <w:tcW w:w="3800" w:type="dxa"/>
            <w:vAlign w:val="bottom"/>
          </w:tcPr>
          <w:p>
            <w:pPr>
              <w:ind w:left="980"/>
              <w:spacing w:after="0"/>
              <w:rPr>
                <w:sz w:val="20"/>
                <w:szCs w:val="20"/>
                <w:color w:val="auto"/>
              </w:rPr>
            </w:pPr>
            <w:r>
              <w:rPr>
                <w:rFonts w:ascii="Arial" w:cs="Arial" w:eastAsia="Arial" w:hAnsi="Arial"/>
                <w:sz w:val="18"/>
                <w:szCs w:val="18"/>
                <w:color w:val="auto"/>
              </w:rPr>
              <w:t>(a) Ameriprise Financial, Inc.</w:t>
            </w: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145 Ameriprise Financial Center</w:t>
            </w: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Minneapolis, MN 55474</w:t>
            </w:r>
          </w:p>
        </w:tc>
      </w:tr>
      <w:tr>
        <w:trPr>
          <w:trHeight w:val="216"/>
        </w:trPr>
        <w:tc>
          <w:tcPr>
            <w:tcW w:w="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(b) 100 Federal St.</w:t>
            </w:r>
          </w:p>
        </w:tc>
      </w:tr>
      <w:tr>
        <w:trPr>
          <w:trHeight w:val="230"/>
        </w:trPr>
        <w:tc>
          <w:tcPr>
            <w:tcW w:w="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Boston, MA 02110</w:t>
            </w:r>
          </w:p>
        </w:tc>
      </w:tr>
      <w:tr>
        <w:trPr>
          <w:trHeight w:val="418"/>
        </w:trPr>
        <w:tc>
          <w:tcPr>
            <w:tcW w:w="440" w:type="dxa"/>
            <w:vAlign w:val="bottom"/>
          </w:tcPr>
          <w:p>
            <w:pPr>
              <w:spacing w:after="0"/>
              <w:rPr>
                <w:sz w:val="20"/>
                <w:szCs w:val="20"/>
                <w:color w:val="auto"/>
              </w:rPr>
            </w:pPr>
            <w:r>
              <w:rPr>
                <w:rFonts w:ascii="Arial" w:cs="Arial" w:eastAsia="Arial" w:hAnsi="Arial"/>
                <w:sz w:val="18"/>
                <w:szCs w:val="18"/>
                <w:color w:val="auto"/>
              </w:rPr>
              <w:t>2(c)</w:t>
            </w:r>
          </w:p>
        </w:tc>
        <w:tc>
          <w:tcPr>
            <w:tcW w:w="3840" w:type="dxa"/>
            <w:vAlign w:val="bottom"/>
          </w:tcPr>
          <w:p>
            <w:pPr>
              <w:ind w:left="140"/>
              <w:spacing w:after="0"/>
              <w:rPr>
                <w:sz w:val="20"/>
                <w:szCs w:val="20"/>
                <w:color w:val="auto"/>
              </w:rPr>
            </w:pPr>
            <w:r>
              <w:rPr>
                <w:rFonts w:ascii="Arial" w:cs="Arial" w:eastAsia="Arial" w:hAnsi="Arial"/>
                <w:sz w:val="18"/>
                <w:szCs w:val="18"/>
                <w:color w:val="auto"/>
              </w:rPr>
              <w:t>Citizenship:</w:t>
            </w:r>
          </w:p>
        </w:tc>
        <w:tc>
          <w:tcPr>
            <w:tcW w:w="3800" w:type="dxa"/>
            <w:vAlign w:val="bottom"/>
          </w:tcPr>
          <w:p>
            <w:pPr>
              <w:ind w:left="980"/>
              <w:spacing w:after="0"/>
              <w:rPr>
                <w:sz w:val="20"/>
                <w:szCs w:val="20"/>
                <w:color w:val="auto"/>
              </w:rPr>
            </w:pPr>
            <w:r>
              <w:rPr>
                <w:rFonts w:ascii="Arial" w:cs="Arial" w:eastAsia="Arial" w:hAnsi="Arial"/>
                <w:sz w:val="18"/>
                <w:szCs w:val="18"/>
                <w:color w:val="auto"/>
              </w:rPr>
              <w:t>(a) Delaware</w:t>
            </w:r>
          </w:p>
        </w:tc>
      </w:tr>
      <w:tr>
        <w:trPr>
          <w:trHeight w:val="230"/>
        </w:trPr>
        <w:tc>
          <w:tcPr>
            <w:tcW w:w="4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800" w:type="dxa"/>
            <w:vAlign w:val="bottom"/>
          </w:tcPr>
          <w:p>
            <w:pPr>
              <w:ind w:left="980"/>
              <w:spacing w:after="0"/>
              <w:rPr>
                <w:sz w:val="20"/>
                <w:szCs w:val="20"/>
                <w:color w:val="auto"/>
              </w:rPr>
            </w:pPr>
            <w:r>
              <w:rPr>
                <w:rFonts w:ascii="Arial" w:cs="Arial" w:eastAsia="Arial" w:hAnsi="Arial"/>
                <w:sz w:val="18"/>
                <w:szCs w:val="18"/>
                <w:color w:val="auto"/>
              </w:rPr>
              <w:t>(b) Minnesota</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2(d)</w:t>
            </w:r>
          </w:p>
        </w:tc>
        <w:tc>
          <w:tcPr>
            <w:tcW w:w="3840" w:type="dxa"/>
            <w:vAlign w:val="bottom"/>
          </w:tcPr>
          <w:p>
            <w:pPr>
              <w:ind w:left="140"/>
              <w:spacing w:after="0"/>
              <w:rPr>
                <w:sz w:val="20"/>
                <w:szCs w:val="20"/>
                <w:color w:val="auto"/>
              </w:rPr>
            </w:pPr>
            <w:r>
              <w:rPr>
                <w:rFonts w:ascii="Arial" w:cs="Arial" w:eastAsia="Arial" w:hAnsi="Arial"/>
                <w:sz w:val="18"/>
                <w:szCs w:val="18"/>
                <w:color w:val="auto"/>
              </w:rPr>
              <w:t>Title of Class of Securities:</w:t>
            </w:r>
          </w:p>
        </w:tc>
        <w:tc>
          <w:tcPr>
            <w:tcW w:w="3800" w:type="dxa"/>
            <w:vAlign w:val="bottom"/>
          </w:tcPr>
          <w:p>
            <w:pPr>
              <w:ind w:left="980"/>
              <w:spacing w:after="0"/>
              <w:rPr>
                <w:sz w:val="20"/>
                <w:szCs w:val="20"/>
                <w:color w:val="auto"/>
              </w:rPr>
            </w:pPr>
            <w:r>
              <w:rPr>
                <w:rFonts w:ascii="Arial" w:cs="Arial" w:eastAsia="Arial" w:hAnsi="Arial"/>
                <w:sz w:val="18"/>
                <w:szCs w:val="18"/>
                <w:color w:val="auto"/>
              </w:rPr>
              <w:t>Common Stock</w:t>
            </w:r>
          </w:p>
        </w:tc>
      </w:tr>
      <w:tr>
        <w:trPr>
          <w:trHeight w:val="432"/>
        </w:trPr>
        <w:tc>
          <w:tcPr>
            <w:tcW w:w="440" w:type="dxa"/>
            <w:vAlign w:val="bottom"/>
          </w:tcPr>
          <w:p>
            <w:pPr>
              <w:spacing w:after="0"/>
              <w:rPr>
                <w:sz w:val="20"/>
                <w:szCs w:val="20"/>
                <w:color w:val="auto"/>
              </w:rPr>
            </w:pPr>
            <w:r>
              <w:rPr>
                <w:rFonts w:ascii="Arial" w:cs="Arial" w:eastAsia="Arial" w:hAnsi="Arial"/>
                <w:sz w:val="18"/>
                <w:szCs w:val="18"/>
                <w:color w:val="auto"/>
              </w:rPr>
              <w:t>2(e)</w:t>
            </w:r>
          </w:p>
        </w:tc>
        <w:tc>
          <w:tcPr>
            <w:tcW w:w="3840" w:type="dxa"/>
            <w:vAlign w:val="bottom"/>
          </w:tcPr>
          <w:p>
            <w:pPr>
              <w:ind w:left="140"/>
              <w:spacing w:after="0"/>
              <w:rPr>
                <w:sz w:val="20"/>
                <w:szCs w:val="20"/>
                <w:color w:val="auto"/>
              </w:rPr>
            </w:pPr>
            <w:r>
              <w:rPr>
                <w:rFonts w:ascii="Arial" w:cs="Arial" w:eastAsia="Arial" w:hAnsi="Arial"/>
                <w:sz w:val="18"/>
                <w:szCs w:val="18"/>
                <w:color w:val="auto"/>
              </w:rPr>
              <w:t>Cusip Number:</w:t>
            </w:r>
          </w:p>
        </w:tc>
        <w:tc>
          <w:tcPr>
            <w:tcW w:w="3800" w:type="dxa"/>
            <w:vAlign w:val="bottom"/>
          </w:tcPr>
          <w:p>
            <w:pPr>
              <w:ind w:left="980"/>
              <w:spacing w:after="0"/>
              <w:rPr>
                <w:sz w:val="20"/>
                <w:szCs w:val="20"/>
                <w:color w:val="auto"/>
              </w:rPr>
            </w:pPr>
            <w:r>
              <w:rPr>
                <w:rFonts w:ascii="Arial" w:cs="Arial" w:eastAsia="Arial" w:hAnsi="Arial"/>
                <w:sz w:val="18"/>
                <w:szCs w:val="18"/>
                <w:color w:val="auto"/>
              </w:rPr>
              <w:t>G02602103</w:t>
            </w:r>
          </w:p>
        </w:tc>
      </w:tr>
    </w:tbl>
    <w:p>
      <w:pPr>
        <w:spacing w:after="0" w:line="94" w:lineRule="exact"/>
        <w:rPr>
          <w:sz w:val="20"/>
          <w:szCs w:val="20"/>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if statement is filed pursuant to Rules 13d-1(b) or 13d-2(b):</w:t>
      </w:r>
    </w:p>
    <w:p>
      <w:pPr>
        <w:spacing w:after="0" w:line="117" w:lineRule="exact"/>
        <w:rPr>
          <w:rFonts w:ascii="Arial" w:cs="Arial" w:eastAsia="Arial" w:hAnsi="Arial"/>
          <w:sz w:val="18"/>
          <w:szCs w:val="18"/>
          <w:color w:val="auto"/>
        </w:rPr>
      </w:pPr>
    </w:p>
    <w:p>
      <w:pPr>
        <w:ind w:left="1160" w:hanging="246"/>
        <w:spacing w:after="0"/>
        <w:tabs>
          <w:tab w:leader="none" w:pos="11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Ameriprise Financial, Inc.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parent holding company in accordance with Rule 13d-1(b)(1)(ii)(G). (Note: See Item 7)</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Columbia Management Investment Advisers, LLC</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investment adviser in accordance with Rule 13d-1(b)(1)(ii)(E)</w:t>
      </w:r>
    </w:p>
    <w:p>
      <w:pPr>
        <w:spacing w:after="0" w:line="117" w:lineRule="exact"/>
        <w:rPr>
          <w:sz w:val="20"/>
          <w:szCs w:val="20"/>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131"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AFI, as the parent company of CMIA, may be deemed to beneficially own the shares reported herein by CMIA. Accordingly, the shares reported herein by AFI include those shares separately reported herein by CMIA.</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AFI and CMIA disclaims beneficial ownership of any shares reported on this Schedule.</w:t>
      </w:r>
    </w:p>
    <w:p>
      <w:pPr>
        <w:spacing w:after="0" w:line="131" w:lineRule="exact"/>
        <w:rPr>
          <w:sz w:val="20"/>
          <w:szCs w:val="20"/>
          <w:color w:val="auto"/>
        </w:rPr>
      </w:pPr>
    </w:p>
    <w:p>
      <w:pPr>
        <w:ind w:left="560" w:hanging="552"/>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of 5% or Less of a Class:</w:t>
      </w:r>
    </w:p>
    <w:p>
      <w:pPr>
        <w:spacing w:after="0" w:line="130"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If this statement is being filed to report the fact as of the date hereof the reporting person has ceased to be the beneficial owner of more than five percent of the class of securities, check the following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1152" w:right="679" w:bottom="1440" w:gutter="0" w:footer="0" w:header="0"/>
        </w:sectPr>
      </w:pPr>
    </w:p>
    <w:bookmarkStart w:id="4" w:name="page5"/>
    <w:bookmarkEnd w:id="4"/>
    <w:p>
      <w:pPr>
        <w:ind w:left="552" w:hanging="552"/>
        <w:spacing w:after="0"/>
        <w:tabs>
          <w:tab w:leader="none" w:pos="5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Ownership of more than 5% on Behalf of Another Person: Not Applicable</w:t>
      </w:r>
    </w:p>
    <w:p>
      <w:pPr>
        <w:spacing w:after="0" w:line="131" w:lineRule="exact"/>
        <w:rPr>
          <w:sz w:val="20"/>
          <w:szCs w:val="20"/>
          <w:color w:val="auto"/>
        </w:rPr>
      </w:pPr>
    </w:p>
    <w:p>
      <w:pPr>
        <w:ind w:left="892" w:right="1240" w:hanging="892"/>
        <w:spacing w:after="0" w:line="375" w:lineRule="auto"/>
        <w:tabs>
          <w:tab w:leader="none" w:pos="549"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 AFI: See Exhibit I</w:t>
      </w:r>
    </w:p>
    <w:p>
      <w:pPr>
        <w:spacing w:after="0" w:line="1" w:lineRule="exact"/>
        <w:rPr>
          <w:sz w:val="20"/>
          <w:szCs w:val="20"/>
          <w:color w:val="auto"/>
        </w:rPr>
      </w:pPr>
    </w:p>
    <w:p>
      <w:pPr>
        <w:ind w:left="552" w:hanging="552"/>
        <w:spacing w:after="0"/>
        <w:tabs>
          <w:tab w:leader="none" w:pos="552"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and Classification of Members of the Group:</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552" w:hanging="552"/>
        <w:spacing w:after="0"/>
        <w:tabs>
          <w:tab w:leader="none" w:pos="55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Notice of Dissolution of Group:</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552" w:hanging="552"/>
        <w:spacing w:after="0"/>
        <w:tabs>
          <w:tab w:leader="none" w:pos="5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130" w:lineRule="exact"/>
        <w:rPr>
          <w:rFonts w:ascii="Arial" w:cs="Arial" w:eastAsia="Arial" w:hAnsi="Arial"/>
          <w:sz w:val="18"/>
          <w:szCs w:val="18"/>
          <w:color w:val="auto"/>
        </w:rPr>
      </w:pPr>
    </w:p>
    <w:p>
      <w:pPr>
        <w:ind w:left="552"/>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379730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044"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2011</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Wade M. Voigt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Director — Fund Administration</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Columbia Management Investment</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Advisers, LLC</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By: /s/ Amy Johnson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27787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Chief Operating Officer</w:t>
      </w:r>
    </w:p>
    <w:p>
      <w:pPr>
        <w:spacing w:after="0" w:line="211"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Wade M. Voigt</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Director — Fund Administration</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Telephone: (612) 671-5682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044" w:right="639" w:bottom="1440" w:gutter="0" w:footer="0" w:header="0"/>
        </w:sectPr>
      </w:pPr>
    </w:p>
    <w:bookmarkStart w:id="6" w:name="page7"/>
    <w:bookmarkEnd w:id="6"/>
    <w:p>
      <w:pPr>
        <w:ind w:left="5220"/>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II</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760"/>
          </w:cols>
          <w:pgMar w:left="240" w:top="962" w:right="899" w:bottom="1440" w:gutter="0" w:footer="0" w:header="0"/>
        </w:sectPr>
      </w:pPr>
    </w:p>
    <w:bookmarkStart w:id="7" w:name="page8"/>
    <w:bookmarkEnd w:id="7"/>
    <w:p>
      <w:pPr>
        <w:jc w:val="center"/>
        <w:ind w:right="-239"/>
        <w:spacing w:after="0"/>
        <w:rPr>
          <w:sz w:val="20"/>
          <w:szCs w:val="20"/>
          <w:color w:val="auto"/>
        </w:rPr>
      </w:pPr>
      <w:r>
        <w:rPr>
          <w:rFonts w:ascii="Arial" w:cs="Arial" w:eastAsia="Arial" w:hAnsi="Arial"/>
          <w:sz w:val="18"/>
          <w:szCs w:val="18"/>
          <w:color w:val="auto"/>
        </w:rPr>
        <w:t>Exhibit I</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Schedule 13G</w:t>
      </w:r>
    </w:p>
    <w:p>
      <w:pPr>
        <w:spacing w:after="0" w:line="11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200"/>
          </w:cols>
          <w:pgMar w:left="240" w:top="125" w:right="4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Exhibit 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undersigned persons agree and consent to the joint filing on their behalf of this Schedule 13G dated February 11, 2011 in connection with their beneficial ownership of Amdocs Ltd. Columbia Management Investment Advisers, LLC authorizes Ameriprise Financial, Inc. to execute the Schedule 13G to which this Exhibit is attached and make any necessary amendments thereto.</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Wade M. Voigt</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Wade M.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5812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Director — Fund Administration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Columbia Management Investment Advisers, LLC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By: /s/ Amy Johnson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-130810</wp:posOffset>
            </wp:positionV>
            <wp:extent cx="2581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360"/>
      </w:cols>
      <w:pgMar w:left="24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3"/>
      <w:numFmt w:val="bullet"/>
      <w:start w:val="1"/>
    </w:lvl>
    <w:lvl w:ilvl="1">
      <w:lvlJc w:val="left"/>
      <w:lvlText w:val="(%2)"/>
      <w:numFmt w:val="lowerLetter"/>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7"/>
      <w:numFmt w:val="bullet"/>
      <w:start w:val="1"/>
    </w:lvl>
  </w:abstractNum>
  <w:abstractNum w:abstractNumId="5">
    <w:nsid w:val="41B71EFB"/>
    <w:multiLevelType w:val="hybridMultilevel"/>
    <w:lvl w:ilvl="0">
      <w:lvlJc w:val="left"/>
      <w:lvlText w:val="8"/>
      <w:numFmt w:val="bullet"/>
      <w:start w:val="1"/>
    </w:lvl>
  </w:abstractNum>
  <w:abstractNum w:abstractNumId="6">
    <w:nsid w:val="79E2A9E3"/>
    <w:multiLevelType w:val="hybridMultilevel"/>
    <w:lvl w:ilvl="0">
      <w:lvlJc w:val="left"/>
      <w:lvlText w:val="9"/>
      <w:numFmt w:val="bullet"/>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2019-12-10T18:25:29Z</dcterms:created>
  <dcterms:modified xsi:type="dcterms:W3CDTF">2019-12-10T18:25:29Z</dcterms:modified>
</cp:coreProperties>
</file>