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1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 Ended June 30, 2012</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AMDOCS LIMITED</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5, Tower Hill House Le Bordage</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30" w:right="3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0" w:type="dxa"/>
            <w:vAlign w:val="bottom"/>
            <w:gridSpan w:val="4"/>
          </w:tcPr>
          <w:p>
            <w:pPr>
              <w:jc w:val="center"/>
              <w:ind w:right="2120"/>
              <w:spacing w:after="0"/>
              <w:rPr>
                <w:sz w:val="20"/>
                <w:szCs w:val="20"/>
                <w:color w:val="auto"/>
              </w:rPr>
            </w:pPr>
            <w:r>
              <w:rPr>
                <w:rFonts w:ascii="Arial" w:cs="Arial" w:eastAsia="Arial" w:hAnsi="Arial"/>
                <w:sz w:val="18"/>
                <w:szCs w:val="18"/>
                <w:color w:val="auto"/>
                <w:w w:val="98"/>
              </w:rPr>
              <w:t>AMDOCS LIMITED</w:t>
            </w:r>
          </w:p>
        </w:tc>
        <w:tc>
          <w:tcPr>
            <w:tcW w:w="204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20" w:type="dxa"/>
            <w:vAlign w:val="bottom"/>
            <w:gridSpan w:val="3"/>
          </w:tcPr>
          <w:p>
            <w:pPr>
              <w:jc w:val="center"/>
              <w:ind w:right="3020"/>
              <w:spacing w:after="0"/>
              <w:rPr>
                <w:sz w:val="20"/>
                <w:szCs w:val="20"/>
                <w:color w:val="auto"/>
              </w:rPr>
            </w:pPr>
            <w:r>
              <w:rPr>
                <w:rFonts w:ascii="Arial" w:cs="Arial" w:eastAsia="Arial" w:hAnsi="Arial"/>
                <w:sz w:val="18"/>
                <w:szCs w:val="18"/>
                <w:color w:val="auto"/>
                <w:w w:val="95"/>
              </w:rPr>
              <w:t>FORM 6-K</w:t>
            </w:r>
          </w:p>
        </w:tc>
        <w:tc>
          <w:tcPr>
            <w:tcW w:w="204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80" w:type="dxa"/>
            <w:vAlign w:val="bottom"/>
            <w:gridSpan w:val="5"/>
          </w:tcPr>
          <w:p>
            <w:pPr>
              <w:jc w:val="center"/>
              <w:ind w:right="1940"/>
              <w:spacing w:after="0"/>
              <w:rPr>
                <w:sz w:val="20"/>
                <w:szCs w:val="20"/>
                <w:color w:val="auto"/>
              </w:rPr>
            </w:pPr>
            <w:r>
              <w:rPr>
                <w:rFonts w:ascii="Arial" w:cs="Arial" w:eastAsia="Arial" w:hAnsi="Arial"/>
                <w:sz w:val="18"/>
                <w:szCs w:val="18"/>
                <w:color w:val="auto"/>
                <w:w w:val="90"/>
              </w:rPr>
              <w:t>REPORT OF FOREIGN PRIVATE ISSUER</w:t>
            </w:r>
          </w:p>
        </w:tc>
        <w:tc>
          <w:tcPr>
            <w:tcW w:w="204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80" w:type="dxa"/>
            <w:vAlign w:val="bottom"/>
            <w:gridSpan w:val="6"/>
          </w:tcPr>
          <w:p>
            <w:pPr>
              <w:jc w:val="center"/>
              <w:ind w:right="1640"/>
              <w:spacing w:after="0"/>
              <w:rPr>
                <w:sz w:val="20"/>
                <w:szCs w:val="20"/>
                <w:color w:val="auto"/>
              </w:rPr>
            </w:pPr>
            <w:r>
              <w:rPr>
                <w:rFonts w:ascii="Arial" w:cs="Arial" w:eastAsia="Arial" w:hAnsi="Arial"/>
                <w:sz w:val="18"/>
                <w:szCs w:val="18"/>
                <w:color w:val="auto"/>
                <w:w w:val="91"/>
              </w:rPr>
              <w:t>FOR THE QUARTER ENDED JUNE 30, 2012</w:t>
            </w:r>
          </w:p>
        </w:tc>
        <w:tc>
          <w:tcPr>
            <w:tcW w:w="204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20" w:type="dxa"/>
            <w:vAlign w:val="bottom"/>
            <w:gridSpan w:val="3"/>
          </w:tcPr>
          <w:p>
            <w:pPr>
              <w:jc w:val="center"/>
              <w:ind w:right="3020"/>
              <w:spacing w:after="0"/>
              <w:rPr>
                <w:sz w:val="20"/>
                <w:szCs w:val="20"/>
                <w:color w:val="auto"/>
              </w:rPr>
            </w:pPr>
            <w:r>
              <w:rPr>
                <w:rFonts w:ascii="Arial" w:cs="Arial" w:eastAsia="Arial" w:hAnsi="Arial"/>
                <w:sz w:val="18"/>
                <w:szCs w:val="18"/>
                <w:color w:val="auto"/>
                <w:w w:val="98"/>
              </w:rPr>
              <w:t>INDEX</w:t>
            </w:r>
          </w:p>
        </w:tc>
        <w:tc>
          <w:tcPr>
            <w:tcW w:w="2040" w:type="dxa"/>
            <w:vAlign w:val="bottom"/>
          </w:tcPr>
          <w:p>
            <w:pPr>
              <w:spacing w:after="0"/>
              <w:rPr>
                <w:sz w:val="24"/>
                <w:szCs w:val="24"/>
                <w:color w:val="auto"/>
              </w:rPr>
            </w:pPr>
          </w:p>
        </w:tc>
      </w:tr>
      <w:tr>
        <w:trPr>
          <w:trHeight w:val="380"/>
        </w:trPr>
        <w:tc>
          <w:tcPr>
            <w:tcW w:w="27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6500" w:type="dxa"/>
            <w:vAlign w:val="bottom"/>
            <w:gridSpan w:val="8"/>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320" w:type="dxa"/>
            <w:vAlign w:val="bottom"/>
            <w:gridSpan w:val="13"/>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8840" w:type="dxa"/>
            <w:vAlign w:val="bottom"/>
            <w:gridSpan w:val="14"/>
          </w:tcPr>
          <w:p>
            <w:pPr>
              <w:ind w:left="440"/>
              <w:spacing w:after="0"/>
              <w:rPr>
                <w:sz w:val="20"/>
                <w:szCs w:val="20"/>
                <w:color w:val="auto"/>
              </w:rPr>
            </w:pPr>
            <w:r>
              <w:rPr>
                <w:rFonts w:ascii="Arial" w:cs="Arial" w:eastAsia="Arial" w:hAnsi="Arial"/>
                <w:sz w:val="18"/>
                <w:szCs w:val="18"/>
                <w:color w:val="auto"/>
              </w:rPr>
              <w:t>Unaudited Consolidated Financial Statements</w:t>
            </w:r>
          </w:p>
        </w:tc>
        <w:tc>
          <w:tcPr>
            <w:tcW w:w="2040" w:type="dxa"/>
            <w:vAlign w:val="bottom"/>
          </w:tcPr>
          <w:p>
            <w:pPr>
              <w:spacing w:after="0"/>
              <w:rPr>
                <w:sz w:val="19"/>
                <w:szCs w:val="19"/>
                <w:color w:val="auto"/>
              </w:rPr>
            </w:pPr>
          </w:p>
        </w:tc>
      </w:tr>
      <w:tr>
        <w:trPr>
          <w:trHeight w:val="184"/>
        </w:trPr>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80" w:type="dxa"/>
            <w:vAlign w:val="bottom"/>
            <w:gridSpan w:val="11"/>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204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80" w:type="dxa"/>
            <w:vAlign w:val="bottom"/>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80" w:type="dxa"/>
            <w:vAlign w:val="bottom"/>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Changes in Shareholders’ Equity</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3760" w:type="dxa"/>
            <w:vAlign w:val="bottom"/>
            <w:gridSpan w:val="2"/>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Consolidated Financial Statements</w:t>
              </w:r>
            </w:hyperlink>
          </w:p>
        </w:tc>
        <w:tc>
          <w:tcPr>
            <w:tcW w:w="4120" w:type="dxa"/>
            <w:vAlign w:val="bottom"/>
            <w:gridSpan w:val="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332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Operating and Financial Review and Prospects</w:t>
              </w:r>
            </w:hyperlink>
          </w:p>
        </w:tc>
        <w:tc>
          <w:tcPr>
            <w:tcW w:w="5000" w:type="dxa"/>
            <w:vAlign w:val="bottom"/>
            <w:gridSpan w:val="4"/>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PART II OTHER INFORMATION</w:t>
              </w:r>
            </w:hyperlink>
          </w:p>
        </w:tc>
        <w:tc>
          <w:tcPr>
            <w:tcW w:w="6800" w:type="dxa"/>
            <w:vAlign w:val="bottom"/>
            <w:gridSpan w:val="9"/>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572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86"/>
              </w:rPr>
            </w:pPr>
            <w:hyperlink w:anchor="page27">
              <w:r>
                <w:rPr>
                  <w:rFonts w:ascii="Arial" w:cs="Arial" w:eastAsia="Arial" w:hAnsi="Arial"/>
                  <w:sz w:val="18"/>
                  <w:szCs w:val="18"/>
                  <w:color w:val="0000EE"/>
                  <w:w w:val="86"/>
                </w:rPr>
                <w:t>Changes in Securities, Use of Proceeds and Issuer Purchases of Equity Securities</w:t>
              </w:r>
            </w:hyperlink>
          </w:p>
        </w:tc>
        <w:tc>
          <w:tcPr>
            <w:tcW w:w="260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4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8320" w:type="dxa"/>
            <w:vAlign w:val="bottom"/>
            <w:gridSpan w:val="13"/>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Reports on Form 6-K</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800" w:type="dxa"/>
            <w:vAlign w:val="bottom"/>
            <w:gridSpan w:val="9"/>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280" w:type="dxa"/>
            <w:vAlign w:val="bottom"/>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June 30,</w:t>
            </w:r>
          </w:p>
        </w:tc>
        <w:tc>
          <w:tcPr>
            <w:tcW w:w="3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583,770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Short-term interest-bearing investments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310,341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676,568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Deferred income taxes and taxes receivable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110,551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112,656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137,449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1,818,679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1,979,320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261,885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147,338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1,741,786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1,739,732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154,307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315,923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vMerge w:val="continue"/>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4,439,918</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4,636,572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163,445</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303,208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personnel costs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194,106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Short-term financing arrangements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180,496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Deferred income taxes and taxes payable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30,338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15,180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871,593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1,011,206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310,710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310,045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243,751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1,426,054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1,613,271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Ordinary Shares — Authorized 700,000 shares; £0.01 par value; 250,841 and 247,640 issued and 165,026 and 174,692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respectively</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4,063</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2,591,229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2,495,211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85,815 and 72,948 ordinary shares, respectively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(2,311,806)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(1,933,402)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(40,107)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2,770,485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2,477,135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shareholders’ equity</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3,013,864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3,023,301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4,439,918</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4,636,572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License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34,443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29,093</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96,477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774,394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772,316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2,328,298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2,277,831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808,837</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801,409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2,424,775</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2,365,525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519,217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521,113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1,552,947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1,542,489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54,414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180,515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106,678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102,315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39,503</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698,786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695,737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2,095,804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2,065,713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110,051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105,672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328,971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107,314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105,488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327,907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98,749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91,785</w:t>
            </w:r>
          </w:p>
        </w:tc>
        <w:tc>
          <w:tcPr>
            <w:tcW w:w="2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293,350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259,286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gridSpan w:val="2"/>
            <w:vMerge w:val="continue"/>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167,194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183,273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169,890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168,290</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184,682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171,033</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Additional</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Other</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7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Ordinary Shares</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Treasury</w:t>
            </w: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Comprehensive</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2"/>
                <w:szCs w:val="12"/>
                <w:color w:val="auto"/>
              </w:rPr>
            </w:pPr>
          </w:p>
        </w:tc>
        <w:tc>
          <w:tcPr>
            <w:tcW w:w="10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Capital</w:t>
            </w:r>
          </w:p>
        </w:tc>
        <w:tc>
          <w:tcPr>
            <w:tcW w:w="116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100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78"/>
              </w:rPr>
              <w:t>loss</w:t>
            </w:r>
          </w:p>
        </w:tc>
        <w:tc>
          <w:tcPr>
            <w:tcW w:w="9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2"/>
                <w:szCs w:val="12"/>
                <w:color w:val="auto"/>
              </w:rPr>
            </w:pPr>
          </w:p>
        </w:tc>
        <w:tc>
          <w:tcPr>
            <w:tcW w:w="9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174,692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$4,013</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$2,495,211</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$(1,933,402)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(19,656)</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$2,477,135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$ 3,023,301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293,350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293,350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Unrealized loss on foreign currency hedging</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contracts, net of $(3,699) tax</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(21,478)</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(21,478)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short-term interest-bearing</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investments, net of $(6) tax</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1,027</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272,899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 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63,035</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Repurchase of shares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(12,867)</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(378,404)</w:t>
            </w: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(378,404)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1"/>
              </w:rPr>
              <w:t>Equity-based compensation expense related to employees</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32,983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32,983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165,026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4,063</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2,591,229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(2,311,806)</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(40,107)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2,770,485</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xml:space="preserve"> 3,013,864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of June 30, 2012 and September 30, 2011, accumulated other comprehensive loss is comprised of unrealized loss on derivatives, net of tax, of $35,915 and $14,437, respectively, unrealized loss on short-term interest-bearing investments, net of tax, of $996 and $2,023, respectively, and unrealized loss on defined benefit plan, net of tax, of $3,196 and $3,196,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293,350</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259,286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119,261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138,219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w w:val="98"/>
              </w:rPr>
              <w:t>(13,587)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equity-based compensation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Gain on sale of investments</w:t>
            </w:r>
          </w:p>
        </w:tc>
        <w:tc>
          <w:tcPr>
            <w:tcW w:w="100" w:type="dxa"/>
            <w:vAlign w:val="bottom"/>
          </w:tcPr>
          <w:p>
            <w:pPr>
              <w:spacing w:after="0"/>
              <w:rPr>
                <w:sz w:val="18"/>
                <w:szCs w:val="18"/>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rPr>
              <w:t>(9,172)</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short-term interest-bearing investments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5"/>
              </w:rPr>
              <w:t>(101,302)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w w:val="98"/>
              </w:rPr>
              <w:t>(11,222)</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41,501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(48,957)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8"/>
              </w:rPr>
              <w:t>(19,415)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Income taxes payable, 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11,053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(5,259)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23,797</w:t>
            </w:r>
          </w:p>
        </w:tc>
        <w:tc>
          <w:tcPr>
            <w:tcW w:w="0" w:type="dxa"/>
            <w:vAlign w:val="bottom"/>
          </w:tcPr>
          <w:p>
            <w:pPr>
              <w:spacing w:after="0"/>
              <w:rPr>
                <w:sz w:val="1"/>
                <w:szCs w:val="1"/>
                <w:color w:val="auto"/>
              </w:rPr>
            </w:pP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362,013</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00" w:type="dxa"/>
            <w:vAlign w:val="bottom"/>
          </w:tcPr>
          <w:p>
            <w:pPr>
              <w:spacing w:after="0"/>
              <w:rPr>
                <w:sz w:val="18"/>
                <w:szCs w:val="18"/>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w w:val="98"/>
              </w:rPr>
              <w:t>(79,223)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288,334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00" w:type="dxa"/>
            <w:vAlign w:val="bottom"/>
          </w:tcPr>
          <w:p>
            <w:pPr>
              <w:spacing w:after="0"/>
              <w:rPr>
                <w:sz w:val="18"/>
                <w:szCs w:val="18"/>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w w:val="85"/>
              </w:rPr>
              <w:t>(257,958)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(440,083)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sale of investments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rPr>
              <w:t>(6,237)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(22,907)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8"/>
              </w:rPr>
              <w:t>(43,912)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(36,052)</w:t>
            </w:r>
          </w:p>
        </w:tc>
        <w:tc>
          <w:tcPr>
            <w:tcW w:w="0" w:type="dxa"/>
            <w:vAlign w:val="bottom"/>
          </w:tcPr>
          <w:p>
            <w:pPr>
              <w:spacing w:after="0"/>
              <w:rPr>
                <w:sz w:val="1"/>
                <w:szCs w:val="1"/>
                <w:color w:val="auto"/>
              </w:rPr>
            </w:pPr>
          </w:p>
        </w:tc>
      </w:tr>
      <w:tr>
        <w:trPr>
          <w:trHeight w:val="221"/>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5"/>
              </w:rPr>
              <w:t>(250,000)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tcPr>
          <w:p>
            <w:pPr>
              <w:spacing w:after="0"/>
              <w:rPr>
                <w:sz w:val="18"/>
                <w:szCs w:val="18"/>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w w:val="85"/>
              </w:rPr>
              <w:t>(378,404)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(431,770)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Payments under capital lease, short-term financing arrangements and other</w:t>
            </w:r>
          </w:p>
        </w:tc>
        <w:tc>
          <w:tcPr>
            <w:tcW w:w="100" w:type="dxa"/>
            <w:vAlign w:val="bottom"/>
          </w:tcPr>
          <w:p>
            <w:pPr>
              <w:spacing w:after="0"/>
              <w:rPr>
                <w:sz w:val="18"/>
                <w:szCs w:val="18"/>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5"/>
              </w:rPr>
              <w:t>(565,702)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(582,822)</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w w:val="85"/>
              </w:rPr>
              <w:t>(247,601)</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(231,023)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831,371</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1,036,195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583,770</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805,172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Cash paid for:</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net of refunds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11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production and operating facilities are located in Brazil, Canada, Cyprus, India, Ireland, Israel and the United States.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2011, set forth in the Company’s Annual Report on Form 20-F filed on December 8, 2011 with the U.S. Securities and Exchange Commission, or the SEC.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September 2011, the Financial Accounting Standards Board, or FASB, issued a revised accounting standard update intended to simplify how an entity tests goodwill for impairment. The amendment will allow an entity to first assess qualitative factors to determine whether it is necessary to perform the two-step quantitative goodwill impairment test. An entity no longer will be required to calculate the fair value of a reporting unit unless the entity determines, based on a qualitative assessment, that it is more likely than not that its fair value is less than its carrying amount. This accounting standard update will be effective for the Company beginning October 1, 2012 and early adoption is permitted. The Company does not expect the adoption of this new guidance will have a material impact on its financial statements.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2011, the FASB issued guidance to require an entity to present the total of comprehensive income, the components of net income, and the components of other comprehensive income either in a single continuous statement of comprehensive income or in two separate but consecutive statements, thus eliminating the option to present the components of other comprehensive income as part of the statement of equity. In addition, the guidance requires that the reclassification adjustments for items that are reclassified from other comprehensive income to net income be presented on the face of the financial statements, however, in December 2011, the FASB indefinitely deferred the requirements related to the presentation of reclassification adjustments. The guidance will become effective for the Company beginning October 1, 2012, and will only result in changes in the Company’s financial statements presentation.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96"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In May 2011, the FASB issued guidance to provide a consistent definition of fair value and ensure that the fair value measurement and disclosure requirements under GAAP and International Financial Reporting Standards are similar. This guidance was effective for the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Company beginning January 1, 2012. The guidance changes certain fair value measurement principles and enhances the disclosure requirements particularly for Level 3 fair value measurements. The adoption of this new guidance did not have a material impact on the Company’s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1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40" w:lineRule="exact"/>
        <w:rPr>
          <w:sz w:val="20"/>
          <w:szCs w:val="20"/>
          <w:color w:val="auto"/>
        </w:rPr>
      </w:pPr>
    </w:p>
    <w:p>
      <w:pPr>
        <w:jc w:val="right"/>
        <w:ind w:right="5280"/>
        <w:spacing w:after="0"/>
        <w:rPr>
          <w:sz w:val="20"/>
          <w:szCs w:val="20"/>
          <w:color w:val="auto"/>
        </w:rPr>
      </w:pPr>
      <w:r>
        <w:rPr>
          <w:rFonts w:ascii="Arial" w:cs="Arial" w:eastAsia="Arial" w:hAnsi="Arial"/>
          <w:sz w:val="16"/>
          <w:szCs w:val="16"/>
          <w:color w:val="auto"/>
        </w:rPr>
        <w:t>The three levels of inputs that may be used to measure fair value are as follows:</w:t>
      </w:r>
    </w:p>
    <w:p>
      <w:pPr>
        <w:spacing w:after="0" w:line="113" w:lineRule="exact"/>
        <w:rPr>
          <w:sz w:val="20"/>
          <w:szCs w:val="20"/>
          <w:color w:val="auto"/>
        </w:rPr>
      </w:pPr>
    </w:p>
    <w:p>
      <w:pPr>
        <w:jc w:val="right"/>
        <w:ind w:right="528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the Company’s assets and liabilities measured at fair value on a recurring basis as of June 30, 2012 and September 30, 2011:</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As of June 30, 2012</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84"/>
              </w:rPr>
              <w:t>Level 2</w:t>
            </w:r>
          </w:p>
        </w:tc>
        <w:tc>
          <w:tcPr>
            <w:tcW w:w="4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3060" w:type="dxa"/>
            <w:vAlign w:val="bottom"/>
            <w:gridSpan w:val="3"/>
          </w:tcPr>
          <w:p>
            <w:pPr>
              <w:jc w:val="right"/>
              <w:ind w:right="40"/>
              <w:spacing w:after="0"/>
              <w:rPr>
                <w:sz w:val="20"/>
                <w:szCs w:val="20"/>
                <w:color w:val="auto"/>
              </w:rPr>
            </w:pPr>
            <w:r>
              <w:rPr>
                <w:rFonts w:ascii="Arial" w:cs="Arial" w:eastAsia="Arial" w:hAnsi="Arial"/>
                <w:sz w:val="18"/>
                <w:szCs w:val="18"/>
                <w:color w:val="auto"/>
              </w:rPr>
              <w:t>$206,891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$206,891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treasuries</w:t>
            </w:r>
          </w:p>
        </w:tc>
        <w:tc>
          <w:tcPr>
            <w:tcW w:w="3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152,697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152,697</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23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69,556</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69,556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agency securities</w:t>
            </w:r>
          </w:p>
        </w:tc>
        <w:tc>
          <w:tcPr>
            <w:tcW w:w="2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41,244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41,244</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Government guaranteed debt</w:t>
            </w:r>
          </w:p>
        </w:tc>
        <w:tc>
          <w:tcPr>
            <w:tcW w:w="23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35,341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35,341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Supranational and sovereign debt</w:t>
            </w:r>
          </w:p>
        </w:tc>
        <w:tc>
          <w:tcPr>
            <w:tcW w:w="2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9,480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9,480</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Mortgages (including agencies and corporate)</w:t>
            </w:r>
          </w:p>
        </w:tc>
        <w:tc>
          <w:tcPr>
            <w:tcW w:w="23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5,453</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backed obligations</w:t>
            </w:r>
          </w:p>
        </w:tc>
        <w:tc>
          <w:tcPr>
            <w:tcW w:w="2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4,048</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23"/>
        </w:trPr>
        <w:tc>
          <w:tcPr>
            <w:tcW w:w="4200" w:type="dxa"/>
            <w:vAlign w:val="bottom"/>
          </w:tcPr>
          <w:p>
            <w:pPr>
              <w:ind w:left="440"/>
              <w:spacing w:after="0"/>
              <w:rPr>
                <w:sz w:val="20"/>
                <w:szCs w:val="20"/>
                <w:color w:val="auto"/>
              </w:rPr>
            </w:pPr>
            <w:r>
              <w:rPr>
                <w:rFonts w:ascii="Arial" w:cs="Arial" w:eastAsia="Arial" w:hAnsi="Arial"/>
                <w:sz w:val="18"/>
                <w:szCs w:val="18"/>
                <w:color w:val="auto"/>
              </w:rPr>
              <w:t>Commercial paper and certificates of deposit</w:t>
            </w:r>
          </w:p>
        </w:tc>
        <w:tc>
          <w:tcPr>
            <w:tcW w:w="2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3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365,730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166,620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234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(41,383)</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(41,383)</w:t>
            </w:r>
          </w:p>
        </w:tc>
        <w:tc>
          <w:tcPr>
            <w:tcW w:w="0" w:type="dxa"/>
            <w:vAlign w:val="bottom"/>
          </w:tcPr>
          <w:p>
            <w:pPr>
              <w:spacing w:after="0"/>
              <w:rPr>
                <w:sz w:val="1"/>
                <w:szCs w:val="1"/>
                <w:color w:val="auto"/>
              </w:rPr>
            </w:pPr>
          </w:p>
        </w:tc>
      </w:tr>
      <w:tr>
        <w:trPr>
          <w:trHeight w:val="28"/>
        </w:trPr>
        <w:tc>
          <w:tcPr>
            <w:tcW w:w="4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365,730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125,237</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490,967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As of September 30, 2011</w:t>
            </w: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84"/>
              </w:rPr>
              <w:t>Level 2</w:t>
            </w:r>
          </w:p>
        </w:tc>
        <w:tc>
          <w:tcPr>
            <w:tcW w:w="4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3060" w:type="dxa"/>
            <w:vAlign w:val="bottom"/>
            <w:gridSpan w:val="3"/>
          </w:tcPr>
          <w:p>
            <w:pPr>
              <w:jc w:val="right"/>
              <w:ind w:right="40"/>
              <w:spacing w:after="0"/>
              <w:rPr>
                <w:sz w:val="20"/>
                <w:szCs w:val="20"/>
                <w:color w:val="auto"/>
              </w:rPr>
            </w:pPr>
            <w:r>
              <w:rPr>
                <w:rFonts w:ascii="Arial" w:cs="Arial" w:eastAsia="Arial" w:hAnsi="Arial"/>
                <w:sz w:val="18"/>
                <w:szCs w:val="18"/>
                <w:color w:val="auto"/>
              </w:rPr>
              <w:t>$ 510,711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$ 510,711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treasuries</w:t>
            </w:r>
          </w:p>
        </w:tc>
        <w:tc>
          <w:tcPr>
            <w:tcW w:w="3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110,339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110,339</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23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80,355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80,355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agency securities</w:t>
            </w:r>
          </w:p>
        </w:tc>
        <w:tc>
          <w:tcPr>
            <w:tcW w:w="2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57,540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57,540</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Government guaranteed debt</w:t>
            </w:r>
          </w:p>
        </w:tc>
        <w:tc>
          <w:tcPr>
            <w:tcW w:w="23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71,160</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71,160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Supranational and sovereign debt</w:t>
            </w:r>
          </w:p>
        </w:tc>
        <w:tc>
          <w:tcPr>
            <w:tcW w:w="2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10,270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10,270</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Mortgages (including agencies and corporate)</w:t>
            </w:r>
          </w:p>
        </w:tc>
        <w:tc>
          <w:tcPr>
            <w:tcW w:w="23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6,395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backed obligations</w:t>
            </w:r>
          </w:p>
        </w:tc>
        <w:tc>
          <w:tcPr>
            <w:tcW w:w="2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4,509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23"/>
        </w:trPr>
        <w:tc>
          <w:tcPr>
            <w:tcW w:w="4200" w:type="dxa"/>
            <w:vAlign w:val="bottom"/>
          </w:tcPr>
          <w:p>
            <w:pPr>
              <w:ind w:left="440"/>
              <w:spacing w:after="0"/>
              <w:rPr>
                <w:sz w:val="20"/>
                <w:szCs w:val="20"/>
                <w:color w:val="auto"/>
              </w:rPr>
            </w:pPr>
            <w:r>
              <w:rPr>
                <w:rFonts w:ascii="Arial" w:cs="Arial" w:eastAsia="Arial" w:hAnsi="Arial"/>
                <w:sz w:val="18"/>
                <w:szCs w:val="18"/>
                <w:color w:val="auto"/>
              </w:rPr>
              <w:t>Commercial paper and certificates of deposit</w:t>
            </w:r>
          </w:p>
        </w:tc>
        <w:tc>
          <w:tcPr>
            <w:tcW w:w="2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10,105</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6,105</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3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631,155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236,334</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234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(10,270)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(10,270)</w:t>
            </w:r>
          </w:p>
        </w:tc>
        <w:tc>
          <w:tcPr>
            <w:tcW w:w="0" w:type="dxa"/>
            <w:vAlign w:val="bottom"/>
          </w:tcPr>
          <w:p>
            <w:pPr>
              <w:spacing w:after="0"/>
              <w:rPr>
                <w:sz w:val="1"/>
                <w:szCs w:val="1"/>
                <w:color w:val="auto"/>
              </w:rPr>
            </w:pPr>
          </w:p>
        </w:tc>
      </w:tr>
      <w:tr>
        <w:trPr>
          <w:trHeight w:val="28"/>
        </w:trPr>
        <w:tc>
          <w:tcPr>
            <w:tcW w:w="4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631,155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226,064</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857,219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340" w:type="dxa"/>
            <w:vAlign w:val="bottom"/>
            <w:vMerge w:val="restart"/>
          </w:tcPr>
          <w:p>
            <w:pPr>
              <w:jc w:val="right"/>
              <w:ind w:right="1612"/>
              <w:spacing w:after="0"/>
              <w:rPr>
                <w:sz w:val="20"/>
                <w:szCs w:val="20"/>
                <w:color w:val="auto"/>
              </w:rPr>
            </w:pPr>
            <w:r>
              <w:rPr>
                <w:rFonts w:ascii="Arial" w:cs="Arial" w:eastAsia="Arial" w:hAnsi="Arial"/>
                <w:sz w:val="18"/>
                <w:szCs w:val="18"/>
                <w:color w:val="auto"/>
              </w:rPr>
              <w:t>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Available for 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nine months ended June 30,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 of June 30, 2012</w:t>
            </w: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0"/>
              </w:rPr>
              <w:t>Amortized</w:t>
            </w:r>
          </w:p>
        </w:tc>
        <w:tc>
          <w:tcPr>
            <w:tcW w:w="5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5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60" w:type="dxa"/>
            <w:vAlign w:val="bottom"/>
          </w:tcPr>
          <w:p>
            <w:pPr>
              <w:spacing w:after="0"/>
              <w:rPr>
                <w:sz w:val="18"/>
                <w:szCs w:val="18"/>
                <w:color w:val="auto"/>
              </w:rPr>
            </w:pPr>
          </w:p>
        </w:tc>
        <w:tc>
          <w:tcPr>
            <w:tcW w:w="6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$206,891</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$206,891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152,663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340"/>
              <w:spacing w:after="0"/>
              <w:rPr>
                <w:sz w:val="20"/>
                <w:szCs w:val="20"/>
                <w:color w:val="auto"/>
              </w:rPr>
            </w:pPr>
            <w:r>
              <w:rPr>
                <w:rFonts w:ascii="Arial" w:cs="Arial" w:eastAsia="Arial" w:hAnsi="Arial"/>
                <w:sz w:val="16"/>
                <w:szCs w:val="16"/>
                <w:color w:val="auto"/>
                <w:w w:val="78"/>
              </w:rPr>
              <w:t>34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152,697</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69,208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348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69,556</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41,084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160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41,244</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guaranteed debt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35,113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228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35,341</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9,488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9,480</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6,556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4,787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739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shd w:val="clear" w:color="auto" w:fill="CCEEFF"/>
          </w:tcPr>
          <w:p>
            <w:pPr>
              <w:spacing w:after="0"/>
              <w:rPr>
                <w:sz w:val="18"/>
                <w:szCs w:val="18"/>
                <w:color w:val="auto"/>
              </w:rPr>
            </w:pPr>
          </w:p>
        </w:tc>
      </w:tr>
      <w:tr>
        <w:trPr>
          <w:trHeight w:val="222"/>
        </w:trPr>
        <w:tc>
          <w:tcPr>
            <w:tcW w:w="6580" w:type="dxa"/>
            <w:vAlign w:val="bottom"/>
            <w:gridSpan w:val="3"/>
          </w:tcPr>
          <w:p>
            <w:pPr>
              <w:ind w:left="460"/>
              <w:spacing w:after="0"/>
              <w:rPr>
                <w:sz w:val="20"/>
                <w:szCs w:val="20"/>
                <w:color w:val="auto"/>
              </w:rPr>
            </w:pPr>
            <w:r>
              <w:rPr>
                <w:rFonts w:ascii="Arial" w:cs="Arial" w:eastAsia="Arial" w:hAnsi="Arial"/>
                <w:sz w:val="18"/>
                <w:szCs w:val="18"/>
                <w:color w:val="auto"/>
              </w:rPr>
              <w:t>Total(1)</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533,430</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770</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1,850</w:t>
            </w:r>
          </w:p>
        </w:tc>
        <w:tc>
          <w:tcPr>
            <w:tcW w:w="1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532,350</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6"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 term interest-bearing investments and available-for-sale securities with maturities of 90 days or less from the date of acquisition were included in cash and cash equivalents on the Company’s balance sheet. As of June 30, 2012, $310,341 of securities were classified as short term interest-bearing investments and $222,009 of securities were classified as cash and cash equivalents.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As of September 30, 2011</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Amortized</w:t>
            </w:r>
          </w:p>
        </w:tc>
        <w:tc>
          <w:tcPr>
            <w:tcW w:w="4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4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60" w:type="dxa"/>
            <w:vAlign w:val="bottom"/>
          </w:tcPr>
          <w:p>
            <w:pPr>
              <w:spacing w:after="0"/>
              <w:rPr>
                <w:sz w:val="18"/>
                <w:szCs w:val="18"/>
                <w:color w:val="auto"/>
              </w:rPr>
            </w:pPr>
          </w:p>
        </w:tc>
        <w:tc>
          <w:tcPr>
            <w:tcW w:w="6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$ 510,711</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$ 510,711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680" w:type="dxa"/>
            <w:vAlign w:val="bottom"/>
          </w:tcPr>
          <w:p>
            <w:pPr>
              <w:jc w:val="right"/>
              <w:spacing w:after="0"/>
              <w:rPr>
                <w:sz w:val="20"/>
                <w:szCs w:val="20"/>
                <w:color w:val="auto"/>
              </w:rPr>
            </w:pPr>
            <w:r>
              <w:rPr>
                <w:rFonts w:ascii="Arial" w:cs="Arial" w:eastAsia="Arial" w:hAnsi="Arial"/>
                <w:sz w:val="18"/>
                <w:szCs w:val="18"/>
                <w:color w:val="auto"/>
              </w:rPr>
              <w:t>110,021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w w:val="86"/>
              </w:rPr>
              <w:t>318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110,339</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400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562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80,355</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57,232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w w:val="86"/>
              </w:rPr>
              <w:t>308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57,540</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guaranteed debt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435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71,160</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680" w:type="dxa"/>
            <w:vAlign w:val="bottom"/>
          </w:tcPr>
          <w:p>
            <w:pPr>
              <w:jc w:val="right"/>
              <w:spacing w:after="0"/>
              <w:rPr>
                <w:sz w:val="20"/>
                <w:szCs w:val="20"/>
                <w:color w:val="auto"/>
              </w:rPr>
            </w:pPr>
            <w:r>
              <w:rPr>
                <w:rFonts w:ascii="Arial" w:cs="Arial" w:eastAsia="Arial" w:hAnsi="Arial"/>
                <w:sz w:val="18"/>
                <w:szCs w:val="18"/>
                <w:color w:val="auto"/>
              </w:rPr>
              <w:t>10,247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10,270</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1,181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Asset backed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5,469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960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4,509</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17,092</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882</w:t>
            </w:r>
          </w:p>
        </w:tc>
        <w:tc>
          <w:tcPr>
            <w:tcW w:w="4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gridSpan w:val="3"/>
          </w:tcPr>
          <w:p>
            <w:pPr>
              <w:ind w:left="460"/>
              <w:spacing w:after="0"/>
              <w:rPr>
                <w:sz w:val="20"/>
                <w:szCs w:val="20"/>
                <w:color w:val="auto"/>
              </w:rPr>
            </w:pPr>
            <w:r>
              <w:rPr>
                <w:rFonts w:ascii="Arial" w:cs="Arial" w:eastAsia="Arial" w:hAnsi="Arial"/>
                <w:sz w:val="18"/>
                <w:szCs w:val="18"/>
                <w:color w:val="auto"/>
              </w:rPr>
              <w:t>Total(2)</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869,590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1,484</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3,585</w:t>
            </w: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867,489</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September 30, 2011, $342,099 of securities were classified as short term interest-bearing investments and $525,390 of securities were classified as cash and cash equivalents.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June 30, 2012, the unrealized losses were primarily due to credit market conditions and interest rate movements. A significant portion of the unrealized losses has been in a continuous loss position for 12 months or greater. The Company assessed whether such unrealized losses for the investments in its portfolio were other-than-temporary. Based on this assessment, an immaterial credit loss was recognized in the three and nine months ended June 30, 2012 and 2011. As of June 30, 2012, temporary unrealized losses of $859 included in accumulated other comprehensive loss, were related to securities for which credit losses were recognized and that were considered other-than-temporarily impaired securities.</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240" w:type="dxa"/>
            <w:vAlign w:val="bottom"/>
            <w:gridSpan w:val="2"/>
          </w:tcPr>
          <w:p>
            <w:pPr>
              <w:spacing w:after="0"/>
              <w:rPr>
                <w:sz w:val="20"/>
                <w:szCs w:val="20"/>
                <w:color w:val="auto"/>
              </w:rPr>
            </w:pPr>
            <w:r>
              <w:rPr>
                <w:rFonts w:ascii="Arial" w:cs="Arial" w:eastAsia="Arial" w:hAnsi="Arial"/>
                <w:sz w:val="18"/>
                <w:szCs w:val="18"/>
                <w:color w:val="auto"/>
                <w:w w:val="90"/>
              </w:rPr>
              <w:t>The following table presents a cumulative roll forward of credit losses recognized in earnings as of June 30, 2012: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0"/>
              </w:rPr>
              <w:t>Credit loss on debt securities for which an other-than-temporary impairment was not previously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recognized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5"/>
              </w:rPr>
              <w:t>Additional credit loss on debt securities for which an other-than-temporary impairment was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previously recognized</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Reduction of credit loss for securities realized during the period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As of June 30, 2012, the Company’s available-for-sale securities had the following maturity dates:</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900" w:type="dxa"/>
            <w:vAlign w:val="bottom"/>
            <w:gridSpan w:val="6"/>
          </w:tcPr>
          <w:p>
            <w:pPr>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357,178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113,333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532,350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The Company has elected to present the related assets and liabilities on a gross basis. The maximum amount of loss due to credit risk that the Company would incur if counterparties to the derivative financial instruments failed completely to perform, according to the terms of the contracts, based on the gross fair value of the Company’s derivative contracts that are favorable to the Company, was approximately $1,679 as of June 30, 2012. The Company has limited its credit risk by entering into derivative transactions exclusively with investment-grade rated financial institutions and monitors the creditworthiness of these financial institutions on an ongoing basis.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9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table below presents the total volume or notional amounts of the Company’s derivative instruments as of June 30, 2012. Notional values are U.S. dollar translated and calculated based on forward rates as of June 30, 2012 for forward contracts, and based on spot rates as of June 30, 2012 for options.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Notional Value*</w:t>
            </w:r>
          </w:p>
        </w:tc>
      </w:tr>
      <w:tr>
        <w:trPr>
          <w:trHeight w:val="210"/>
        </w:trPr>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24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1,079,573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5"/>
          <w:szCs w:val="15"/>
          <w:color w:val="auto"/>
        </w:rPr>
      </w:pPr>
      <w:r>
        <w:rPr>
          <w:rFonts w:ascii="Arial" w:cs="Arial" w:eastAsia="Arial" w:hAnsi="Arial"/>
          <w:sz w:val="15"/>
          <w:szCs w:val="15"/>
          <w:color w:val="auto"/>
        </w:rPr>
        <w:t>Gross notional amounts do not quantify risk or represent assets or liabilities of the Company, but are used in the calculation of settlements under the contracts.</w:t>
      </w:r>
    </w:p>
    <w:p>
      <w:pPr>
        <w:spacing w:after="0" w:line="192"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Company records all derivative instruments on the balance sheet at fair value. Please see Note 4 to the unaudited consolidated financial statements. The fair value of the open foreign currency exchange contracts recorded by the Company on its consolidated balance sheets as of June 30, 2012 and September 30, 2011, as an asset or a liability, is as follows: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2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6"/>
              </w:rPr>
              <w:t>June 30,</w:t>
            </w:r>
          </w:p>
        </w:tc>
        <w:tc>
          <w:tcPr>
            <w:tcW w:w="1300" w:type="dxa"/>
            <w:vAlign w:val="bottom"/>
            <w:gridSpan w:val="3"/>
          </w:tcPr>
          <w:p>
            <w:pPr>
              <w:ind w:left="48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0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(31,819)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(14,292)</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(10,500)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(4,622)</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(41,724)</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(14,517)</w:t>
            </w: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(5,164)</w:t>
            </w: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(41,383)</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(10,270)</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and option contracts outstanding as of June 30, 2012, are expected to mature within the next 12 months).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a separate component of shareholders’ equity, and subsequently reclassified into earnings to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three and nine months ended June 30, 2012 and 2011, respectively, which partially offsets the foreign currency impact from the underlying exposures, is summarized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8"/>
          </w:tcPr>
          <w:p>
            <w:pPr>
              <w:ind w:left="180"/>
              <w:spacing w:after="0"/>
              <w:rPr>
                <w:sz w:val="20"/>
                <w:szCs w:val="20"/>
                <w:color w:val="auto"/>
              </w:rPr>
            </w:pPr>
            <w:r>
              <w:rPr>
                <w:rFonts w:ascii="Arial" w:cs="Arial" w:eastAsia="Arial" w:hAnsi="Arial"/>
                <w:sz w:val="14"/>
                <w:szCs w:val="14"/>
                <w:b w:val="1"/>
                <w:bCs w:val="1"/>
                <w:color w:val="auto"/>
              </w:rPr>
              <w:t>Gains (Losses) Reclassified from</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40" w:type="dxa"/>
            <w:vAlign w:val="bottom"/>
            <w:gridSpan w:val="10"/>
          </w:tcPr>
          <w:p>
            <w:pPr>
              <w:jc w:val="right"/>
              <w:ind w:right="20"/>
              <w:spacing w:after="0"/>
              <w:rPr>
                <w:sz w:val="20"/>
                <w:szCs w:val="20"/>
                <w:color w:val="auto"/>
              </w:rPr>
            </w:pPr>
            <w:r>
              <w:rPr>
                <w:rFonts w:ascii="Arial" w:cs="Arial" w:eastAsia="Arial" w:hAnsi="Arial"/>
                <w:sz w:val="14"/>
                <w:szCs w:val="14"/>
                <w:b w:val="1"/>
                <w:bCs w:val="1"/>
                <w:color w:val="auto"/>
              </w:rPr>
              <w:t>Other Comprehensive Loss (Effective Portion)</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4"/>
              </w:rPr>
              <w:t>Three months ended June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5"/>
              </w:rPr>
              <w:t>Nine months ended June 30,</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statements of income:</w:t>
            </w: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Revenue</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632</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(1,235)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2,621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(14,057)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(1,253)</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20" w:type="dxa"/>
            <w:vAlign w:val="bottom"/>
            <w:vMerge w:val="continue"/>
          </w:tcPr>
          <w:p>
            <w:pPr>
              <w:spacing w:after="0"/>
              <w:rPr>
                <w:sz w:val="19"/>
                <w:szCs w:val="19"/>
                <w:color w:val="auto"/>
              </w:rPr>
            </w:pP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(8,325)</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5,595</w:t>
            </w:r>
          </w:p>
        </w:tc>
        <w:tc>
          <w:tcPr>
            <w:tcW w:w="20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(14,556)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11,524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20" w:type="dxa"/>
            <w:vAlign w:val="bottom"/>
            <w:vMerge w:val="restart"/>
          </w:tcPr>
          <w:p>
            <w:pPr>
              <w:jc w:val="right"/>
              <w:ind w:right="81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 aggregate (loss) gain of $(7,618) and $5,011, net of taxes, was reclassified from other comprehensive loss in the three months ended June 30, 2012 and 2011, respectively. An aggregate (loss) gain of $(13,662) and $10,209, net of taxes, was reclassified from other comprehensive loss in the nine months ended June 30, 2012 and 2011, respectively. The ineffective portion of the change in fair value of a cash flow hedge, including the time value portion excluded from effectiveness testing for the three and nine months ended June 30, 2012 and 2011, was not material.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2012, net losses related to derivatives designated as cash flow hedges and recorded in accumulated other comprehensive loss totaled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$35,915, of which $27,418 will be reclassified into earnings within the next 12 months and will partially offset the foreign currency impact from the underlying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exposures. The amount ultimately realized in earnings will likely differ due to future changes in foreign exchange rates. (Losses) gains from cash flow hedges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in other comprehensive loss during the nine months ended June 30, 2012 and 2011, were $(39,733) and $19,488, or $(35,140) and $17,062, net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taxes, respectively.</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activity related to the changes in net unrealized (losses) gains on cash flow hedges, net of tax, is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unrealized (losses) gains on cash flow hedges, net of tax, beginning of period</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(14,437)</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Changes associated with hedging transactions, net of tax</w:t>
            </w:r>
          </w:p>
        </w:tc>
        <w:tc>
          <w:tcPr>
            <w:tcW w:w="1200" w:type="dxa"/>
            <w:vAlign w:val="bottom"/>
            <w:gridSpan w:val="3"/>
          </w:tcPr>
          <w:p>
            <w:pPr>
              <w:jc w:val="right"/>
              <w:ind w:right="412"/>
              <w:spacing w:after="0"/>
              <w:rPr>
                <w:sz w:val="20"/>
                <w:szCs w:val="20"/>
                <w:color w:val="auto"/>
              </w:rPr>
            </w:pPr>
            <w:r>
              <w:rPr>
                <w:rFonts w:ascii="Arial" w:cs="Arial" w:eastAsia="Arial" w:hAnsi="Arial"/>
                <w:sz w:val="18"/>
                <w:szCs w:val="18"/>
                <w:color w:val="auto"/>
              </w:rPr>
              <w:t>(35,140)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17,062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into earnings, net of tax</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(10,209)</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Net unrealized (losses) gains on cash flow hedges, net of tax, end of period</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80" w:type="dxa"/>
            <w:vAlign w:val="bottom"/>
            <w:vMerge w:val="continue"/>
          </w:tcPr>
          <w:p>
            <w:pPr>
              <w:spacing w:after="0"/>
              <w:rPr>
                <w:sz w:val="19"/>
                <w:szCs w:val="19"/>
                <w:color w:val="auto"/>
              </w:rPr>
            </w:pPr>
          </w:p>
        </w:tc>
        <w:tc>
          <w:tcPr>
            <w:tcW w:w="1200" w:type="dxa"/>
            <w:vAlign w:val="bottom"/>
            <w:gridSpan w:val="3"/>
          </w:tcPr>
          <w:p>
            <w:pPr>
              <w:jc w:val="right"/>
              <w:ind w:right="412"/>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(35,915)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90"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165"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The effect of the Company’s derivative instruments not designated as hedging instruments in the consolidated statements of income for the three and nine months ended June 30, 2012 and 2011, respectively, which partially offsets the foreign currency impact from the underlying exposure, is summarized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w w:val="90"/>
              </w:rPr>
              <w:t>Gains (Losses) Recognized in Income</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87"/>
              </w:rPr>
              <w:t>Three months ended 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6"/>
              </w:rPr>
              <w:t>Nine months ended June 30,</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statements of income:</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Revenue</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(875)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(294)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(2,316)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(374)</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Interest and other expense, net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6,571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(9,598)</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20" w:type="dxa"/>
            <w:vAlign w:val="bottom"/>
            <w:vMerge w:val="continue"/>
          </w:tcPr>
          <w:p>
            <w:pPr>
              <w:spacing w:after="0"/>
              <w:rPr>
                <w:sz w:val="19"/>
                <w:szCs w:val="19"/>
                <w:color w:val="auto"/>
              </w:rPr>
            </w:pP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3,498</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(1,457)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445</w:t>
            </w:r>
          </w:p>
        </w:tc>
        <w:tc>
          <w:tcPr>
            <w:tcW w:w="4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(7,205)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20" w:type="dxa"/>
            <w:vAlign w:val="bottom"/>
            <w:vMerge w:val="restart"/>
          </w:tcPr>
          <w:p>
            <w:pPr>
              <w:jc w:val="right"/>
              <w:ind w:right="61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Receivable,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June 30,</w:t>
            </w:r>
          </w:p>
        </w:tc>
        <w:tc>
          <w:tcPr>
            <w:tcW w:w="1280" w:type="dxa"/>
            <w:vAlign w:val="bottom"/>
            <w:gridSpan w:val="3"/>
          </w:tcPr>
          <w:p>
            <w:pPr>
              <w:ind w:left="46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60" w:type="dxa"/>
            <w:vAlign w:val="bottom"/>
          </w:tcPr>
          <w:p>
            <w:pPr>
              <w:spacing w:after="0"/>
              <w:rPr>
                <w:sz w:val="14"/>
                <w:szCs w:val="14"/>
                <w:color w:val="auto"/>
              </w:rPr>
            </w:pPr>
          </w:p>
        </w:tc>
        <w:tc>
          <w:tcPr>
            <w:tcW w:w="68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 billed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$565,609</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509,371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Accounts receivable — unbilled (2)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128,080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(17,121)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(15,566)</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676,568</w:t>
            </w:r>
          </w:p>
        </w:tc>
        <w:tc>
          <w:tcPr>
            <w:tcW w:w="140" w:type="dxa"/>
            <w:vAlign w:val="bottom"/>
          </w:tcPr>
          <w:p>
            <w:pPr>
              <w:spacing w:after="0"/>
              <w:rPr>
                <w:sz w:val="19"/>
                <w:szCs w:val="19"/>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565,853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in accounts receivable billed during the nine months ended June 30, 2012, was primarily attributable to timing of collections and milestone invoicing towards the end of the nine months ended June 30, 2012.</w:t>
      </w:r>
    </w:p>
    <w:p>
      <w:pPr>
        <w:ind w:left="460" w:right="40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in accounts receivable unbilled during the nine months ended June 30, 2012, was primarily attributable to timing differences between invoicing milestones and delivery progress in projects.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Comprehensive income represents the change in shareholders’ equity during the period from transactions and other events and circumstances from nonowner sources. It includes all changes in equity except those resulting from investments by owners and distributions to owners.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reconciliation from net income to comprehensive income for the following periods: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2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June 30,</w:t>
            </w:r>
          </w:p>
        </w:tc>
        <w:tc>
          <w:tcPr>
            <w:tcW w:w="18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66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$ 98,749</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$91,785</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$293,350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$259,286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foreign currency hedging contracts, net of tax</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(23,977)</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1,604</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(21,478)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9"/>
              </w:rPr>
              <w:t>Unrealized gain (loss) on short-term interest-bearing investments, net of tax</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1,079</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(144)</w:t>
            </w:r>
          </w:p>
        </w:tc>
        <w:tc>
          <w:tcPr>
            <w:tcW w:w="660" w:type="dxa"/>
            <w:vAlign w:val="bottom"/>
          </w:tcPr>
          <w:p>
            <w:pPr>
              <w:jc w:val="right"/>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defined benefit plan, net of tax</w:t>
            </w:r>
          </w:p>
        </w:tc>
        <w:tc>
          <w:tcPr>
            <w:tcW w:w="6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00" w:type="dxa"/>
            <w:vAlign w:val="bottom"/>
          </w:tcPr>
          <w:p>
            <w:pPr>
              <w:spacing w:after="0"/>
              <w:rPr>
                <w:sz w:val="20"/>
                <w:szCs w:val="20"/>
                <w:color w:val="auto"/>
              </w:rPr>
            </w:pPr>
            <w:r>
              <w:rPr>
                <w:rFonts w:ascii="Arial" w:cs="Arial" w:eastAsia="Arial" w:hAnsi="Arial"/>
                <w:sz w:val="18"/>
                <w:szCs w:val="18"/>
                <w:color w:val="auto"/>
              </w:rPr>
              <w:t>Comprehensive income</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$ 75,851</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93,245</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272,899</w:t>
            </w:r>
          </w:p>
        </w:tc>
        <w:tc>
          <w:tcPr>
            <w:tcW w:w="2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266,040</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5160"/>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1"/>
              </w:rPr>
              <w:t>Three months ended</w:t>
            </w:r>
          </w:p>
        </w:tc>
        <w:tc>
          <w:tcPr>
            <w:tcW w:w="1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1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2012</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13,867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$15,287</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$ 48,142</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$26,102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(5,302)</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(1,584)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(13,585)</w:t>
            </w:r>
          </w:p>
        </w:tc>
        <w:tc>
          <w:tcPr>
            <w:tcW w:w="580" w:type="dxa"/>
            <w:vAlign w:val="bottom"/>
          </w:tcPr>
          <w:p>
            <w:pPr>
              <w:jc w:val="right"/>
              <w:spacing w:after="0"/>
              <w:rPr>
                <w:sz w:val="20"/>
                <w:szCs w:val="20"/>
                <w:color w:val="auto"/>
              </w:rPr>
            </w:pPr>
            <w:r>
              <w:rPr>
                <w:rFonts w:ascii="Arial" w:cs="Arial" w:eastAsia="Arial" w:hAnsi="Arial"/>
                <w:sz w:val="18"/>
                <w:szCs w:val="18"/>
                <w:color w:val="auto"/>
              </w:rPr>
              <w:t>11,172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13,703</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$ 34,557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5"/>
              </w:rPr>
              <w:t>Three months ended</w:t>
            </w:r>
          </w:p>
        </w:tc>
        <w:tc>
          <w:tcPr>
            <w:tcW w:w="16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Guernsey tax rate</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Foreign taxes</w:t>
            </w:r>
          </w:p>
        </w:tc>
        <w:tc>
          <w:tcPr>
            <w:tcW w:w="3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8</w:t>
            </w:r>
          </w:p>
        </w:tc>
        <w:tc>
          <w:tcPr>
            <w:tcW w:w="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8"/>
                <w:szCs w:val="18"/>
                <w:color w:val="auto"/>
              </w:rPr>
            </w:pPr>
          </w:p>
        </w:tc>
        <w:tc>
          <w:tcPr>
            <w:tcW w:w="1000" w:type="dxa"/>
            <w:vAlign w:val="bottom"/>
            <w:gridSpan w:val="2"/>
          </w:tcPr>
          <w:p>
            <w:pPr>
              <w:jc w:val="right"/>
              <w:ind w:right="512"/>
              <w:spacing w:after="0"/>
              <w:rPr>
                <w:sz w:val="20"/>
                <w:szCs w:val="20"/>
                <w:color w:val="auto"/>
              </w:rPr>
            </w:pPr>
            <w:r>
              <w:rPr>
                <w:rFonts w:ascii="Arial" w:cs="Arial" w:eastAsia="Arial" w:hAnsi="Arial"/>
                <w:sz w:val="18"/>
                <w:szCs w:val="18"/>
                <w:color w:val="auto"/>
              </w:rPr>
              <w:t>11</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194"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effective tax rate for the three months ended June 30, 2012 includes a benefit of approximately 6% as a result of a net decrease in the gross unrecognized tax benefits, primarily attributable to lapse of the statute of limitation in certain jurisdictions.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June 30, 2012, deferred tax assets of $150,725, derived primarily from tax credits, net capital and operating loss carry forwards related to some of the Company’s subsidiaries, were offset by valuation allowances related to the uncertainty of realizing tax benefit for such credits and losses. Releases of the valuation allowances, if any, will be recognized through earnings.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total amount of gross unrecognized tax benefits, which includes interest and penalties, was $130,633 as of June 30, 2012, all of which would affect the effective tax rate if realized.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2012, the Company has accrued $18,061 in income taxes payable for interest and penalties relating to unrecognized tax benefits.</w:t>
      </w:r>
    </w:p>
    <w:p>
      <w:pPr>
        <w:spacing w:after="0" w:line="19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currently under audit in several jurisdictions for the tax years 2005 and onwards. Timing of the resolution of audits is highly uncertain and therefore the Company generally cannot estimate the change in unrecognized tax benefits resulting from these audits within the next 12 months.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Numerator for basic and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98,749</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91,785</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293,350</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259,286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80" w:type="dxa"/>
            <w:vAlign w:val="bottom"/>
          </w:tcPr>
          <w:p>
            <w:pPr>
              <w:ind w:left="440"/>
              <w:spacing w:after="0"/>
              <w:rPr>
                <w:sz w:val="20"/>
                <w:szCs w:val="20"/>
                <w:color w:val="auto"/>
              </w:rPr>
            </w:pPr>
            <w:r>
              <w:rPr>
                <w:rFonts w:ascii="Arial" w:cs="Arial" w:eastAsia="Arial" w:hAnsi="Arial"/>
                <w:sz w:val="18"/>
                <w:szCs w:val="18"/>
                <w:color w:val="auto"/>
                <w:w w:val="99"/>
              </w:rPr>
              <w:t>Denominator for basic earnings per share — weighted average number of</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660"/>
              <w:spacing w:after="0"/>
              <w:rPr>
                <w:sz w:val="20"/>
                <w:szCs w:val="20"/>
                <w:color w:val="auto"/>
              </w:rPr>
            </w:pPr>
            <w:r>
              <w:rPr>
                <w:rFonts w:ascii="Arial" w:cs="Arial" w:eastAsia="Arial" w:hAnsi="Arial"/>
                <w:sz w:val="18"/>
                <w:szCs w:val="18"/>
                <w:color w:val="auto"/>
              </w:rPr>
              <w:t>shares outstanding</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167,194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183,273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169,890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187,566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assumed conversion of 0.50% convertible notes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440"/>
              <w:spacing w:after="0"/>
              <w:rPr>
                <w:sz w:val="20"/>
                <w:szCs w:val="20"/>
                <w:color w:val="auto"/>
              </w:rPr>
            </w:pPr>
            <w:r>
              <w:rPr>
                <w:rFonts w:ascii="Arial" w:cs="Arial" w:eastAsia="Arial" w:hAnsi="Arial"/>
                <w:sz w:val="18"/>
                <w:szCs w:val="18"/>
                <w:color w:val="auto"/>
              </w:rPr>
              <w:t>Effect of dilutive stock options granted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1,385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1,119</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Denominator for diluted earnings per share — adjusted weighted average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shares and assumed conversions</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168,290</w:t>
            </w:r>
          </w:p>
        </w:tc>
        <w:tc>
          <w:tcPr>
            <w:tcW w:w="4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184,682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171,033</w:t>
            </w:r>
          </w:p>
        </w:tc>
        <w:tc>
          <w:tcPr>
            <w:tcW w:w="4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188,973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440"/>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0.59</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516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For the three and nine months ended June 30, 2012, 11,889 and 12,750 shares, respectively, were attributable to antidilutive outstanding stock options. For the three and nine months ended June 30, 2011, 13,531 and 14,787 shares, respectively, were attributable to antidilutive outstanding stock options. Shares attributable to antidilutive outstanding stock options were not included in the calculation of diluted earnings per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Repurchase of Shares</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April 2010, the Company’s board of directors authorized a share repurchase plan allowing the repurchase of up to $700,000 of its outstanding ordinary shares over the following 12 months. In February 2011, the Company’s board of directors adopted a share repurchase plan authorizing the repurchase of up to $1,000,000 of the Company’s outstanding ordinary shares over the following 24 months. The authorizations permit the Company to purchase its ordinary shares in open market or privately negotiated transactions at times and prices that it considers appropriate. In April 2011, the Company completed the repurchase of the remaining authorized amount under the April 2010 share repurchase plan and began executing repurchases under the February 2011 plan. In the nine months ended June 30, 2012, the Company repurchased approximately 12.9 million ordinary shares at an average price of $29.39 per share (excluding broker and transaction fees). As of June 30, 2012, the Company had remaining authority to repurchase up to $308.9 million of its outstanding ordinary shares under the February 2011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November 2007, the Company entered into an unsecured $500,000 five-year revolving credit facility with a syndicate of banks. In September 2011, the Company borrowed an aggregate of $250,000 under the facility and repaid it in October 2011. In December 2011, the Company entered into a new $500,000 five-year revolving credit facility with a syndicate of banks, which replaced the November 2007 credit facility. The new credit facility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As of June 30, 2012, the Company was in compliance with the financial covenants under the revolving credit facility and had no outstanding borrowings under this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February 2012, the maximum number of ordinary shares authorized to be granted under the Plan was increased from 55,300 to 62,300. Awards granted under the Plan generally vest over a period of four years and stock options have a term of ten years.</w:t>
      </w:r>
    </w:p>
    <w:p>
      <w:pPr>
        <w:spacing w:after="0" w:line="114"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nine-month period ended June 30, 2012:</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Weighted</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Average</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Number of</w:t>
            </w:r>
          </w:p>
        </w:tc>
        <w:tc>
          <w:tcPr>
            <w:tcW w:w="28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Exercise</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Options</w:t>
            </w:r>
          </w:p>
        </w:tc>
        <w:tc>
          <w:tcPr>
            <w:tcW w:w="28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Price</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as of October 1, 2011</w:t>
            </w:r>
          </w:p>
        </w:tc>
        <w:tc>
          <w:tcPr>
            <w:tcW w:w="28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20,446</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$ 28.64</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Granted</w:t>
            </w:r>
          </w:p>
        </w:tc>
        <w:tc>
          <w:tcPr>
            <w:tcW w:w="3800" w:type="dxa"/>
            <w:vAlign w:val="bottom"/>
            <w:gridSpan w:val="3"/>
          </w:tcPr>
          <w:p>
            <w:pPr>
              <w:jc w:val="right"/>
              <w:ind w:right="340"/>
              <w:spacing w:after="0"/>
              <w:rPr>
                <w:sz w:val="20"/>
                <w:szCs w:val="20"/>
                <w:color w:val="auto"/>
              </w:rPr>
            </w:pPr>
            <w:r>
              <w:rPr>
                <w:rFonts w:ascii="Arial" w:cs="Arial" w:eastAsia="Arial" w:hAnsi="Arial"/>
                <w:sz w:val="18"/>
                <w:szCs w:val="18"/>
                <w:color w:val="auto"/>
              </w:rPr>
              <w:t>3,640</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29.06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(2,618)</w:t>
            </w: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24.09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Forfeited</w:t>
            </w:r>
          </w:p>
        </w:tc>
        <w:tc>
          <w:tcPr>
            <w:tcW w:w="28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(2,672)</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31.16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2012</w:t>
            </w:r>
          </w:p>
        </w:tc>
        <w:tc>
          <w:tcPr>
            <w:tcW w:w="28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18,796</w:t>
            </w: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$ 28.99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Exercisable as of June 30, 2012</w:t>
            </w:r>
          </w:p>
        </w:tc>
        <w:tc>
          <w:tcPr>
            <w:tcW w:w="28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60" w:type="dxa"/>
            <w:vAlign w:val="bottom"/>
            <w:vMerge w:val="continue"/>
          </w:tcPr>
          <w:p>
            <w:pPr>
              <w:spacing w:after="0"/>
              <w:rPr>
                <w:sz w:val="18"/>
                <w:szCs w:val="18"/>
                <w:color w:val="auto"/>
              </w:rPr>
            </w:pPr>
          </w:p>
        </w:tc>
        <w:tc>
          <w:tcPr>
            <w:tcW w:w="3800" w:type="dxa"/>
            <w:vAlign w:val="bottom"/>
            <w:gridSpan w:val="3"/>
          </w:tcPr>
          <w:p>
            <w:pPr>
              <w:jc w:val="right"/>
              <w:ind w:right="340"/>
              <w:spacing w:after="0"/>
              <w:rPr>
                <w:sz w:val="20"/>
                <w:szCs w:val="20"/>
                <w:color w:val="auto"/>
              </w:rPr>
            </w:pPr>
            <w:r>
              <w:rPr>
                <w:rFonts w:ascii="Arial" w:cs="Arial" w:eastAsia="Arial" w:hAnsi="Arial"/>
                <w:sz w:val="18"/>
                <w:szCs w:val="18"/>
                <w:color w:val="auto"/>
              </w:rPr>
              <w:t>10,436</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$ 29.90</w:t>
            </w:r>
          </w:p>
        </w:tc>
        <w:tc>
          <w:tcPr>
            <w:tcW w:w="7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840" w:type="dxa"/>
            <w:vAlign w:val="bottom"/>
            <w:vMerge w:val="restart"/>
          </w:tcPr>
          <w:p>
            <w:pPr>
              <w:jc w:val="right"/>
              <w:ind w:right="1432"/>
              <w:spacing w:after="0"/>
              <w:rPr>
                <w:sz w:val="20"/>
                <w:szCs w:val="20"/>
                <w:color w:val="auto"/>
              </w:rPr>
            </w:pPr>
            <w:r>
              <w:rPr>
                <w:rFonts w:ascii="Arial" w:cs="Arial" w:eastAsia="Arial" w:hAnsi="Arial"/>
                <w:sz w:val="18"/>
                <w:szCs w:val="18"/>
                <w:color w:val="auto"/>
              </w:rPr>
              <w:t>15</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information relating to awards of restricted shares, as well as changes to such awards during the nine-month period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2012:</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2"/>
                <w:szCs w:val="12"/>
                <w:color w:val="auto"/>
              </w:rPr>
            </w:pPr>
          </w:p>
        </w:tc>
        <w:tc>
          <w:tcPr>
            <w:tcW w:w="10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unvested shares as of October 1, 2011</w:t>
            </w:r>
          </w:p>
        </w:tc>
        <w:tc>
          <w:tcPr>
            <w:tcW w:w="1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Granted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June 30, 2012</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June 30, 2012, there was $51,534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and nine months ended June 30, 2012 and 2011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88"/>
              </w:rPr>
              <w:t>Three months ended</w:t>
            </w:r>
          </w:p>
        </w:tc>
        <w:tc>
          <w:tcPr>
            <w:tcW w:w="400" w:type="dxa"/>
            <w:vAlign w:val="bottom"/>
          </w:tcPr>
          <w:p>
            <w:pPr>
              <w:spacing w:after="0"/>
              <w:rPr>
                <w:sz w:val="14"/>
                <w:szCs w:val="14"/>
                <w:color w:val="auto"/>
              </w:rPr>
            </w:pPr>
          </w:p>
        </w:tc>
        <w:tc>
          <w:tcPr>
            <w:tcW w:w="164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$3,783</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1,068</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3,281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12,326</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15,018</w:t>
            </w:r>
          </w:p>
        </w:tc>
        <w:tc>
          <w:tcPr>
            <w:tcW w:w="100" w:type="dxa"/>
            <w:vAlign w:val="bottom"/>
            <w:shd w:val="clear" w:color="auto" w:fill="CCEEFF"/>
          </w:tcPr>
          <w:p>
            <w:pPr>
              <w:spacing w:after="0"/>
              <w:rPr>
                <w:sz w:val="18"/>
                <w:szCs w:val="18"/>
                <w:color w:val="auto"/>
              </w:rPr>
            </w:pP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11,310</w:t>
            </w: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8,772</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32,983</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26,928</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total income tax benefit recognized in the income statement for stock-based compensation (including restricted shares) for the three months ended June 30, 2012 and 2011, was $1,248 and $228, respectively, and for the nine months ended June 30, 2012 and 2011, was $4,691 and $1,230, respectively.</w:t>
      </w:r>
    </w:p>
    <w:p>
      <w:pPr>
        <w:spacing w:after="0" w:line="6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selected the Black-Scholes option pricing model as the most appropriate fair value method for its equity-based awards. The Black-Scholes option pricing model assumptions used are noted in the following table (all in weighted averages for options granted during the period):</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9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14"/>
                <w:szCs w:val="1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6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 (1)</w:t>
            </w: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0.81%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0.70%</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420" w:type="dxa"/>
            <w:vAlign w:val="bottom"/>
          </w:tcPr>
          <w:p>
            <w:pPr>
              <w:jc w:val="right"/>
              <w:spacing w:after="0"/>
              <w:rPr>
                <w:sz w:val="20"/>
                <w:szCs w:val="20"/>
                <w:color w:val="auto"/>
              </w:rPr>
            </w:pPr>
            <w:r>
              <w:rPr>
                <w:rFonts w:ascii="Arial" w:cs="Arial" w:eastAsia="Arial" w:hAnsi="Arial"/>
                <w:sz w:val="18"/>
                <w:szCs w:val="18"/>
                <w:color w:val="auto"/>
              </w:rPr>
              <w:t>4.50</w:t>
            </w:r>
          </w:p>
        </w:tc>
        <w:tc>
          <w:tcPr>
            <w:tcW w:w="6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4.50</w:t>
            </w:r>
          </w:p>
        </w:tc>
        <w:tc>
          <w:tcPr>
            <w:tcW w:w="1260" w:type="dxa"/>
            <w:vAlign w:val="bottom"/>
            <w:gridSpan w:val="3"/>
          </w:tcPr>
          <w:p>
            <w:pPr>
              <w:jc w:val="right"/>
              <w:ind w:right="532"/>
              <w:spacing w:after="0"/>
              <w:rPr>
                <w:sz w:val="20"/>
                <w:szCs w:val="20"/>
                <w:color w:val="auto"/>
              </w:rPr>
            </w:pPr>
            <w:r>
              <w:rPr>
                <w:rFonts w:ascii="Arial" w:cs="Arial" w:eastAsia="Arial" w:hAnsi="Arial"/>
                <w:sz w:val="18"/>
                <w:szCs w:val="18"/>
                <w:color w:val="auto"/>
              </w:rPr>
              <w:t>4.50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0.29</w:t>
            </w:r>
          </w:p>
        </w:tc>
        <w:tc>
          <w:tcPr>
            <w:tcW w:w="1260" w:type="dxa"/>
            <w:vAlign w:val="bottom"/>
            <w:gridSpan w:val="3"/>
            <w:shd w:val="clear" w:color="auto" w:fill="CCEEFF"/>
          </w:tcPr>
          <w:p>
            <w:pPr>
              <w:jc w:val="right"/>
              <w:ind w:right="532"/>
              <w:spacing w:after="0"/>
              <w:rPr>
                <w:sz w:val="20"/>
                <w:szCs w:val="20"/>
                <w:color w:val="auto"/>
              </w:rPr>
            </w:pPr>
            <w:r>
              <w:rPr>
                <w:rFonts w:ascii="Arial" w:cs="Arial" w:eastAsia="Arial" w:hAnsi="Arial"/>
                <w:sz w:val="18"/>
                <w:szCs w:val="18"/>
                <w:color w:val="auto"/>
              </w:rPr>
              <w:t>0.29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1040" w:type="dxa"/>
            <w:vAlign w:val="bottom"/>
            <w:gridSpan w:val="2"/>
          </w:tcPr>
          <w:p>
            <w:pPr>
              <w:jc w:val="right"/>
              <w:ind w:right="412"/>
              <w:spacing w:after="0"/>
              <w:rPr>
                <w:sz w:val="20"/>
                <w:szCs w:val="20"/>
                <w:color w:val="auto"/>
              </w:rPr>
            </w:pPr>
            <w:r>
              <w:rPr>
                <w:rFonts w:ascii="Arial" w:cs="Arial" w:eastAsia="Arial" w:hAnsi="Arial"/>
                <w:sz w:val="18"/>
                <w:szCs w:val="18"/>
                <w:color w:val="auto"/>
              </w:rPr>
              <w:t>0.51%</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None</w:t>
            </w:r>
          </w:p>
        </w:tc>
        <w:tc>
          <w:tcPr>
            <w:tcW w:w="1260" w:type="dxa"/>
            <w:vAlign w:val="bottom"/>
            <w:gridSpan w:val="3"/>
          </w:tcPr>
          <w:p>
            <w:pPr>
              <w:jc w:val="right"/>
              <w:ind w:right="392"/>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$ 6.88</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  8.05</w:t>
            </w:r>
          </w:p>
        </w:tc>
        <w:tc>
          <w:tcPr>
            <w:tcW w:w="1260" w:type="dxa"/>
            <w:vAlign w:val="bottom"/>
            <w:gridSpan w:val="3"/>
            <w:shd w:val="clear" w:color="auto" w:fill="CCEEFF"/>
          </w:tcPr>
          <w:p>
            <w:pPr>
              <w:jc w:val="right"/>
              <w:ind w:right="532"/>
              <w:spacing w:after="0"/>
              <w:rPr>
                <w:sz w:val="20"/>
                <w:szCs w:val="20"/>
                <w:color w:val="auto"/>
              </w:rPr>
            </w:pPr>
            <w:r>
              <w:rPr>
                <w:rFonts w:ascii="Arial" w:cs="Arial" w:eastAsia="Arial" w:hAnsi="Arial"/>
                <w:sz w:val="18"/>
                <w:szCs w:val="18"/>
                <w:color w:val="auto"/>
              </w:rPr>
              <w:t>$7.19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$ 7.78</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460" w:right="7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9640" w:hanging="452"/>
        <w:spacing w:after="0" w:line="417" w:lineRule="auto"/>
        <w:tabs>
          <w:tab w:leader="none" w:pos="267"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Contingencies </w:t>
      </w:r>
      <w:r>
        <w:rPr>
          <w:rFonts w:ascii="Arial" w:cs="Arial" w:eastAsia="Arial" w:hAnsi="Arial"/>
          <w:sz w:val="15"/>
          <w:szCs w:val="15"/>
          <w:i w:val="1"/>
          <w:iCs w:val="1"/>
          <w:color w:val="auto"/>
        </w:rPr>
        <w:t>Legal Proceedings</w:t>
      </w:r>
    </w:p>
    <w:p>
      <w:pPr>
        <w:spacing w:after="0" w:line="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is involved in various legal proceedings arising in the normal course of its business. The Company accrues for a loss contingency when it determines that it is more likely than not,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generally offers its products with a limited warranty for a period of 90 days.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nine months ended June 30, 2012 and 2011.</w:t>
      </w:r>
    </w:p>
    <w:p>
      <w:pPr>
        <w:spacing w:after="0" w:line="107"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July 31, 2012, at a special shareholders meeting, the Company’s shareholders approved the institution of a quarterly cash dividend program at the quarterly rate of $0.13 per share. On August 1, 2012, the board of directors approved the first dividend payment and set September 30, 2012, as the record date for determining the shareholders entitled to receive the dividend, which is payable on October 19, 2012. Because September 30, 2012 falls on a Sunday, the effective record date will be the close of business on Friday, September 28, 2012.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1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2011, filed on December 8, 2011 with the U.S. Securities and Exchange Commission.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Amdocs is a leading provider of software and services for communications, media and entertainment industry service providers in developed and emerging markets. Emerging markets include markets such as those in Latin America, the Commonwealth of Independent States, India and Southeast Asia.</w:t>
      </w:r>
    </w:p>
    <w:p>
      <w:pPr>
        <w:spacing w:after="0" w:line="85"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We develop, implement and manage software and services associated with business support systems (BSS), operational support systems (OSS) and network control product offerings, which includes our Bridgewater acquisition portfolio. These enable service providers to introduce new products quickly, understand their customers more deeply, process orders more efficiently, monetize data and support new business models while controlling costs. We refer to these systems collectively as customer experience systems because of the crucial impact they have on the service providers’ end-user experience.</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believe the demand for our customer experience systems is driven by the need of service providers to help their consumers navigate the increasing number of devices, services and plans available in the connected world, while coping with the rapidly growing demand for data these new devices and services have created. We embrace service providers’ biggest challenges to enable their success through a strategy of innovation from the network and business support systems to the device and end user. We continue to introduce and enhance products and services that enable service providers to simplify the customer experience, harness and capitalize on the data explosion, stay ahead with new digital services and improve operational efficiency. Our goal is to supply scalable offerings that provide the functionality and flexibility to service providers that facilitate innovation and enable cost-effective execution. Regardless of whether providers are bringing their first offerings to market, scaling for growth, consolidating systems or transforming the way they do business, we believe that providers seek to differentiate their offerings by delivering a customer experience that is simple, personal and consistent at every point of service.</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also offer advertising and media services for directory publishers which are comprised of a comprehensive set of products and services designed to enable local search and directory publishers to manage the entire media selling, fulfillment, consumer experience and financial processes across online, print and mobile media.</w:t>
      </w:r>
    </w:p>
    <w:p>
      <w:pPr>
        <w:spacing w:after="0" w:line="140" w:lineRule="exact"/>
        <w:rPr>
          <w:sz w:val="20"/>
          <w:szCs w:val="20"/>
          <w:color w:val="auto"/>
        </w:rPr>
      </w:pPr>
    </w:p>
    <w:p>
      <w:pPr>
        <w:jc w:val="both"/>
        <w:ind w:right="240" w:firstLine="456"/>
        <w:spacing w:after="0" w:line="323" w:lineRule="auto"/>
        <w:rPr>
          <w:sz w:val="20"/>
          <w:szCs w:val="20"/>
          <w:color w:val="auto"/>
        </w:rPr>
      </w:pPr>
      <w:r>
        <w:rPr>
          <w:rFonts w:ascii="Arial" w:cs="Arial" w:eastAsia="Arial" w:hAnsi="Arial"/>
          <w:sz w:val="15"/>
          <w:szCs w:val="15"/>
          <w:color w:val="auto"/>
        </w:rPr>
        <w:t>We conduct our business globally, and as a result we are subject to the effects of global economic conditions and, in particular, market conditions in the communications, media and entertainment industry. In the nine months ended June 30, 2012, customers in North America accounted for 69.9% of our revenue, while customers in Europe and the rest of the world accounted for 13.6% and 16.5%, respectively. Customers in emerging markets accounted for 11.3% of our revenue in the nine months ended June 30, 2012. We maintain development facilities in Brazil, Cyprus, India, Ireland, Israel and the United States.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or volume of data processed,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significant portion of our revenue is recognized over the course of long-term implementation and integration projects under the percentage of completion method of accounting. When total cost estimates exceed revenues in a fixed-price arrangement, the estimated losses are recognized immediately based upon the cost applicable to the project. The percentage of completion method requires the exercise of judgment on a quarterly basis, such as with respect to estimations of progress-to-completion, contract revenue, loss contracts and contract costs. Progress in completing such projects may significantly affect our annual and quarterly operating results.</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Revenue from managed services arrangements (for customer experience systems and directory systems) is included in both license and service revenue. Revenue generated in connection with managed services arrangements is a significant part of our business, generating substantial, long-term recurring revenue streams and cash flow. Revenue from managed services arrangements accounted for approximately $426.8 million and $1,260.9 million in the three and nine months ended June 30, 2012, respectively, and $384.2 million and $1,138.0 million in the three and nine months ended June 30, 2011, respectively.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9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September 2011, the Financial Accounting Standard Board, or FASB, issued a revised accounting standard update intended to simplify how an entity tests goodwill for impairment. The amendment will allow an entity to first assess qualitative factors to determine whether it is necessary to perform the two-step quantitative goodwill impairment test. An entity no longer will be required to calculate the fair value of a reporting unit unless the entity determines, based on a qualitative assessment, that it is more likely than not that its fair value is less than its carrying amount. This accounting standard update will be effective for us beginning October 1, 2012 and early adoption is permitted. We do not expect that the adoption of this new guidance will have a material impact on our financial statements.</w:t>
      </w:r>
    </w:p>
    <w:p>
      <w:pPr>
        <w:spacing w:after="0" w:line="14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June 2011, the FASB issued guidance to require an entity to present the total of comprehensive income, the components of net income, and the components of other comprehensive income either in a single continuous statement of comprehensive income or in two separate but consecutive statements, thus eliminating the option to present the components of other comprehensive income as part of the statement of equity. In addition, the guidance requires that the reclassification adjustments for items that are reclassified from other comprehensive income to net income be presented on the face of the financial statements, however, In December 2011, the FASB indefinitely deferred the requirements related to the presentation of reclassification adjustments. The guidance will become effective for us beginning October 1, 2012, and will only result in changes in our financial statements presentation.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May 2011, the FASB issued guidance to provide a consistent definition of fair value and ensure that the fair value measurement and disclosure requirements under U.S. GAAP and International Financial Reporting Standards are similar. This guidance was effective for us beginning January 1, 2012. The guidance changes certain fair value measurement principles and enhances the disclosure requirements particularly for Level 3 fair value measurements. The adoption of this new guidance did not have a material impact 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for the three and nine months ended June 30, 2012 and 2011, certain items in our consolidated statements of income reflected as a percentage of total revenue: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2"/>
              </w:rPr>
              <w:t>Three months ended</w:t>
            </w:r>
          </w:p>
        </w:tc>
        <w:tc>
          <w:tcPr>
            <w:tcW w:w="16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6"/>
              </w:rPr>
              <w:t>June 30,</w:t>
            </w: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2011</w:t>
            </w:r>
          </w:p>
        </w:tc>
        <w:tc>
          <w:tcPr>
            <w:tcW w:w="4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License</w:t>
            </w:r>
          </w:p>
        </w:tc>
        <w:tc>
          <w:tcPr>
            <w:tcW w:w="3240" w:type="dxa"/>
            <w:vAlign w:val="bottom"/>
            <w:gridSpan w:val="3"/>
          </w:tcPr>
          <w:p>
            <w:pPr>
              <w:jc w:val="right"/>
              <w:ind w:right="3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2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460" w:type="dxa"/>
            <w:vAlign w:val="bottom"/>
          </w:tcPr>
          <w:p>
            <w:pPr>
              <w:spacing w:after="0"/>
              <w:rPr>
                <w:sz w:val="20"/>
                <w:szCs w:val="20"/>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100.0</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3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46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7.4</w:t>
            </w: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w w:val="98"/>
              </w:rPr>
              <w:t>Amortization of purchased intangible assets and other</w:t>
            </w:r>
          </w:p>
        </w:tc>
        <w:tc>
          <w:tcPr>
            <w:tcW w:w="2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1.7</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Operating income</w:t>
            </w:r>
          </w:p>
        </w:tc>
        <w:tc>
          <w:tcPr>
            <w:tcW w:w="2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13.2</w:t>
            </w:r>
          </w:p>
        </w:tc>
        <w:tc>
          <w:tcPr>
            <w:tcW w:w="46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13.6</w:t>
            </w:r>
          </w:p>
        </w:tc>
        <w:tc>
          <w:tcPr>
            <w:tcW w:w="42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expense, net</w:t>
            </w:r>
          </w:p>
        </w:tc>
        <w:tc>
          <w:tcPr>
            <w:tcW w:w="2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Income before income taxes</w:t>
            </w:r>
          </w:p>
        </w:tc>
        <w:tc>
          <w:tcPr>
            <w:tcW w:w="2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13.2</w:t>
            </w:r>
          </w:p>
        </w:tc>
        <w:tc>
          <w:tcPr>
            <w:tcW w:w="46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13.5</w:t>
            </w:r>
          </w:p>
        </w:tc>
        <w:tc>
          <w:tcPr>
            <w:tcW w:w="42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2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2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11.5%</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12.1%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20" w:type="dxa"/>
            <w:vAlign w:val="bottom"/>
            <w:vMerge w:val="restart"/>
          </w:tcPr>
          <w:p>
            <w:pPr>
              <w:jc w:val="right"/>
              <w:ind w:right="1592"/>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30, 2012 and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tabular presentation of our results of operations for the nine months ended June 30, 2012 compared to the nine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Following the table is a discussion and analysis of our business and results of operations for such periods.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2"/>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3"/>
              </w:rPr>
              <w:t>Amount</w:t>
            </w:r>
          </w:p>
        </w:tc>
        <w:tc>
          <w:tcPr>
            <w:tcW w:w="44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License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96,477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87,694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8,783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2,328,298</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2,277,831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50,467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7"/>
              </w:rPr>
              <w:t>2,424,775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2,365,525</w:t>
            </w: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59,250</w:t>
            </w:r>
          </w:p>
        </w:tc>
        <w:tc>
          <w:tcPr>
            <w:tcW w:w="4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1,454</w:t>
            </w:r>
          </w:p>
        </w:tc>
        <w:tc>
          <w:tcPr>
            <w:tcW w:w="440" w:type="dxa"/>
            <w:vAlign w:val="bottom"/>
          </w:tcPr>
          <w:p>
            <w:pPr>
              <w:jc w:val="right"/>
              <w:spacing w:after="0"/>
              <w:rPr>
                <w:sz w:val="20"/>
                <w:szCs w:val="20"/>
                <w:color w:val="auto"/>
              </w:rPr>
            </w:pPr>
            <w:r>
              <w:rPr>
                <w:rFonts w:ascii="Arial" w:cs="Arial" w:eastAsia="Arial" w:hAnsi="Arial"/>
                <w:sz w:val="18"/>
                <w:szCs w:val="18"/>
                <w:color w:val="auto"/>
              </w:rPr>
              <w:t>95.2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1,552,947</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1,542,489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10,458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180,515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162,942</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17,573</w:t>
            </w:r>
          </w:p>
        </w:tc>
        <w:tc>
          <w:tcPr>
            <w:tcW w:w="44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319,857</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305,736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14,121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39,503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53,018</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(13,515)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2,095,804</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2,065,713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30,091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328,971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299,812</w:t>
            </w:r>
          </w:p>
        </w:tc>
        <w:tc>
          <w:tcPr>
            <w:tcW w:w="10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29,159</w:t>
            </w:r>
          </w:p>
        </w:tc>
        <w:tc>
          <w:tcPr>
            <w:tcW w:w="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3,252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(2,188)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327,907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296,560</w:t>
            </w:r>
          </w:p>
        </w:tc>
        <w:tc>
          <w:tcPr>
            <w:tcW w:w="10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31,347</w:t>
            </w:r>
          </w:p>
        </w:tc>
        <w:tc>
          <w:tcPr>
            <w:tcW w:w="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34,557</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37,274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(2,717)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line="20" w:lineRule="exact"/>
              <w:rPr>
                <w:sz w:val="1"/>
                <w:szCs w:val="1"/>
                <w:color w:val="auto"/>
              </w:rPr>
            </w:pPr>
          </w:p>
        </w:tc>
      </w:tr>
      <w:tr>
        <w:trPr>
          <w:trHeight w:val="222"/>
        </w:trPr>
        <w:tc>
          <w:tcPr>
            <w:tcW w:w="62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293,350</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259,286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34,064</w:t>
            </w: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increased by $59.3 million, or 2.5%, to $2,424.8 million in the nine months ended June 30, 2012, from $2,365.5 million in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2011. The increase in revenue was primarily attributable to revenue related to our activity in emerging markets, as well as to revenue related to our network control offering, partially offset by slower spending by AT&amp;T and by lower revenue resulting from contractual price reductions with Bell Canada.</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License revenue in the nine months ended June 30, 2012, increased by $8.8 million, or 10.0%, to $96.5 million, from $87.7 million in the nine months ended June 30, 2011. The increase in license revenue was primarily attributable to our network control offering.</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License and service revenue attributable to the sale of customer experience systems increased by $69.4 million, or 3.1%, to $2,283.1 million in the nine months ended June 30, 2012, from $2,213.7 million in the nine months ended June 30, 2011. The increase in revenue was primarily attributable to revenue related to our activity in emerging markets, as well as to revenue related to our network control offering, partially offset by slower spending by AT&amp;T and by lower revenue resulting from contractual price reductions with Bell Canada. License and service revenue resulting from the sale of customer experience systems represented 94.2% and 93.6% of our total revenue in the nine months ended June 30, 2012 and 2011, respectively.</w:t>
      </w:r>
    </w:p>
    <w:p>
      <w:pPr>
        <w:spacing w:after="0" w:line="11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License and service revenue attributable to the sale of directory systems decreased by $10.2 million, or 6.7%, to $141.6 million in the nine months ended June 30, 2012, from $151.8 million in the nine months ended June 30, 2011. The decrease was primarily attributable to a decrease in revenue related to managed services arrangements. License and service revenue from the sale of directory systems represented 5.8% and 6.4% of our total revenue in the nine months ended June 30, 2012 and 2011, respectively.</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the nine months ended June 30, 2012, revenue from customers in North America, Europe and the rest of the world accounted for 69.9%, 13.6% and 16.5%, respectively, of total revenue, compared to 73.9%, 12.7% and 13.4%, respectively, in the nine months ended June 30, 2011. As a percentage of total revenue, revenue from North American customers decreased during the nine months ended June 30, 2012, primarily from slower spending by AT&amp;T and from lower revenue resulting from contractual price reductions with Bell Canada, partially offset by an increase in revenue related to our network control offering. The increase in revenue from customers in Europe was primarily attributable to revenue related to transformation and implementation projects. The increase in revenue from customers in the rest of the world was primarily attributable to our activity in emerging markets.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Cost of License and Service. </w:t>
      </w:r>
      <w:r>
        <w:rPr>
          <w:rFonts w:ascii="Arial" w:cs="Arial" w:eastAsia="Arial" w:hAnsi="Arial"/>
          <w:sz w:val="18"/>
          <w:szCs w:val="18"/>
          <w:color w:val="auto"/>
        </w:rPr>
        <w:t>Cost of license includes fees and royalty payments to software suppliers. Cost of service consists primarily of costs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providing services to customers, including compensation expense and costs of third-party products.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Cost of license and service increased by $11.9 million, or 0.8%, to $1,555.9 million in the nine months ended June 30, 2012, from $1,544.0 million in the nine months ended June 30, 2011. As a percentage of revenue, cost of license and service was 64.2% in the nine months ended June 30, 2012, compared to 65.3% in the nine months ended June 30, 2011. The decrease in our cost of license and service as a percentage of revenue was primarily attributable to the benefits of prior investments in internal training and knowledge building programs for our employees, as well as to the benefits from various process improvements and efficiency programs.</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$17.6 million, or 10.8%, to $180.5 million in the nine months ended June 30, 2012, from $162.9 million in the nine months ended June 30, 2011. The increase in research and development expense was primarily attributable to our network control research and development activity. Research and development expense increased as a percentage of revenue from 6.9% in the nine months ended June 30, 2011, to 7.4% in the nine months ended June 30, 2012.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increased by $14.1 million, or 4.6%, to $319.9 million in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2012, from $305.7 million in the nine months ended June 30, 2011. Selling, general and administrative expense is primarily comprised of compensation expense. The increase in selling, general and administrative expense was primarily attributable to selling and marketing activities.</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nine months ended June 30,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by $13.5 million to $39.5 million from $53.0 million in the nine months ended June 30, 2011. The decrease in amortization of purchased intangible assets and other was primarily due to purchased intangible assets that were fully amortized in prior periods, partially offset by amortization of intangible assets related to the Bridgewater acquisition.</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Operating Income. </w:t>
      </w:r>
      <w:r>
        <w:rPr>
          <w:rFonts w:ascii="Arial" w:cs="Arial" w:eastAsia="Arial" w:hAnsi="Arial"/>
          <w:sz w:val="16"/>
          <w:szCs w:val="16"/>
          <w:color w:val="auto"/>
        </w:rPr>
        <w:t>Operating income increased by $29.2 million, or 9.7%, in the nine months ended June 30, 2012, to $329.0 million, or 13.6%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from $299.8 million, or 12.7% of revenue, in the nine months ended June 30, 2011. The increase in operating income as a percentage of revenue was primarily attributable to the increase in revenue which was at a higher rate than the increase in operating expenses.</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decreased by $2.2 million to $1.1 million in the nine months ended June 30, 2012,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$3.3 million in the nine months ended June 30, 2011. The decrease in interest and other expense, net, was primarily attributable to a gain, resulting from the sale of our minority interest in Longshine, our former Chinese subsidiary, recorded in the three months ended March 31, 2012, partially offset by foreign exchange impacts.</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taxes for the nine months ended June 30, 2012 were $34.6 million on pre-tax income of $327.9 million, resulting in an effective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of 10.5%, compared to 12.6% in the nine months ended June 30, 2011. Our effective tax rate may fluctuate between quarters as a result of discrete items that may affect a specific quarter.</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by $34.1 million, or 13.1%, to $293.4 million, in the nine months ended June 30, 2012, from $259.3 million in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2011. The increase in net income was attributable primarily to the increase in operating income, as well as to the decrease in income tax expense and to the decrease in interest and other expense, net.</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increased by $0.35, or 25.5%, to $1.72 in the nine months ended June 30, 2012, from $1.37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June 30, 2011. The increase in diluted earnings per share resulted from the increase in net income and from the decrease in the diluted weighted average number of shares outstanding resulting from our repurchase of ordinary shares in fiscal 2011 and in the nine months ended June 30, 2012.</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2012 and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is a tabular presentation of our results of operations for the three months ended June 30, 2012 compared to the three months ended June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 Following the table is a discussion and analysis of our business and results of operations for such periods.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0"/>
              </w:rPr>
              <w:t>Amount</w:t>
            </w: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4"/>
          </w:tcPr>
          <w:p>
            <w:pPr>
              <w:ind w:left="32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34,443</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29,093</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$ 5,350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774,394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772,316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2,078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808,837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801,409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7,428</w:t>
            </w:r>
          </w:p>
        </w:tc>
        <w:tc>
          <w:tcPr>
            <w:tcW w:w="5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630</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426</w:t>
            </w:r>
          </w:p>
        </w:tc>
        <w:tc>
          <w:tcPr>
            <w:tcW w:w="580" w:type="dxa"/>
            <w:vAlign w:val="bottom"/>
          </w:tcPr>
          <w:p>
            <w:pPr>
              <w:jc w:val="right"/>
              <w:spacing w:after="0"/>
              <w:rPr>
                <w:sz w:val="20"/>
                <w:szCs w:val="20"/>
                <w:color w:val="auto"/>
              </w:rPr>
            </w:pPr>
            <w:r>
              <w:rPr>
                <w:rFonts w:ascii="Arial" w:cs="Arial" w:eastAsia="Arial" w:hAnsi="Arial"/>
                <w:sz w:val="18"/>
                <w:szCs w:val="18"/>
                <w:color w:val="auto"/>
              </w:rPr>
              <w:t>67.6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519,217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521,113</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(1,896)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58,858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54,414</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4,444</w:t>
            </w: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106,678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102,315</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4,363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(4,288)</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698,786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695,737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3,049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110,051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105,672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4,379</w:t>
            </w:r>
          </w:p>
        </w:tc>
        <w:tc>
          <w:tcPr>
            <w:tcW w:w="5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2,553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1,387.5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107,314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105,488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1,826</w:t>
            </w:r>
          </w:p>
        </w:tc>
        <w:tc>
          <w:tcPr>
            <w:tcW w:w="5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(5,138)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222"/>
        </w:trPr>
        <w:tc>
          <w:tcPr>
            <w:tcW w:w="64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98,749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91,785</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$ 6,964</w:t>
            </w: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by $7.4 million, or 0.9%, to $808.8 million in the three months ended June 30, 2012, from $801.4 million in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2011. The increase in revenue was primarily attributable to revenue related to our activity in emerging markets, partially offset by lower revenue resulting from contractual price reductions with Bell Canada and by slower spending by AT&amp;T.</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License revenue in the three months ended June 30, 2012, increased by $5.4 million, or 18.4%, to $34.4 million, from $29.1 million in the three months ended June 30, 2011. The increase in license revenue was attributable to both initial and subsequent license fees.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License and service revenue attributable to the sale of customer experience systems increased by $15.1 million, or 2.0%, to $766.2 million in the three months ended June 30, 2012, from $751.1 million in the three months ended June 30, 2011. The increase in revenue was primarily attributable to revenue related to our activity in emerging markets, partially offset by lower revenue resulting from contractual price reductions with Bell Canada and by slower spending by AT&amp;T. License and service revenue resulting from the sale of customer experience systems represented 94.7% and 93.7% of our total revenue in the three months ended June 30, 2012 and 2011, respectively.</w:t>
      </w:r>
    </w:p>
    <w:p>
      <w:pPr>
        <w:spacing w:after="0" w:line="14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License and service revenue attributable to the sale of directory systems decreased by $7.7 million, or 15.3%, to $42.6 million in the three months ended June 30, 2012, from $50.3 million in the three months ended June 30, 2011. The decrease was primarily attributable to a decrease in revenue related to managed services arrangements. License and service revenue from the sale of directory systems represented 5.3% and 6.3% of our total revenue in the three months ended June 30, 2012 and 2011, respectively.</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three months ended June 30, 2012, revenue from customers in North America, Europe and the rest of the world accounted for 69.1%, 13.2% and 17.7%, respectively, of total revenue, compared to 73.0%, 13.2% and 13.8%, respectively, in the three months ended June 30, 2011. As a percentage of total revenue, revenue from North American customers decreased during the nine months ended June 30, 2012, primarily from lower revenue resulting from contractual price reductions with Bell Canada and from slower spending by AT&amp;T. The increase in revenue from customers in the rest of the world was primarily attributable to our activity in emerging markets.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Cost of License and Service. </w:t>
      </w:r>
      <w:r>
        <w:rPr>
          <w:rFonts w:ascii="Arial" w:cs="Arial" w:eastAsia="Arial" w:hAnsi="Arial"/>
          <w:sz w:val="18"/>
          <w:szCs w:val="18"/>
          <w:color w:val="auto"/>
        </w:rPr>
        <w:t>Cost of license includes fees and royalty payments to software suppliers. Cost of service consists primarily of costs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providing services to customers, including compensation expense and costs of third-party products. Cost of license and service decreased by $1.5 million, or 0.3%, to $520.3 million in the three months ended June 30, 2012, from $521.7 million in the three months ended June 30, 2011. As a percentage of revenue, cost of license and service was 64.3% in the three months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ended June 30, 2012, compared to 65.1% in the three months ended June 30, 2011. The decrease in our cost of license and service as a percentage of revenue was primarily attributable to the benefits of prior investments in internal training and knowledge building programs for our employees, as well as to the benefits from various process improvements and efficiency programs.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$4.4 million, or 8.2%, to $58.9 million in the three months ended June 30, 2012, from $54.4 million in the three months ended June 30, 2011. The increase in research and development expense was primarily attributable to our network control research and development activity. Research and development expense increased as a percentage of revenue from 6.8% in the three months ended June 30, 2011, to 7.3% in the three months ended June 30, 2012.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 increased by $4.4 million, or 4.3%, to $106.7 million in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2012, from $102.3 million in the three months ended June 30, 2011. Selling, general and administrative expense is primarily comprised of compensation expense.</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three months ended June 30,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by $4.3 million to $13.0 million from $17.3 million in the three months ended June 30, 2011. The decrease in amortization of purchased intangible assets and other was primarily due to purchased intangible assets that were fully amortized in prior periods, partially offset by amortization of intangible assets related to the Bridgewater acquisition.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increased by $4.4 million, or 4.1%, in the three months ended June 30, 2012, to $110.1 million, or 13.6% of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$105.7 million, or 13.2% of revenue, in the three months ended June 30, 2011. The increase in operating income as a percentage of revenue was primarily attributable to the increase in revenue which was at a higher rate than the increase in operating expenses.</w:t>
      </w:r>
    </w:p>
    <w:p>
      <w:pPr>
        <w:spacing w:after="0" w:line="140"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b w:val="1"/>
          <w:bCs w:val="1"/>
          <w:i w:val="1"/>
          <w:iCs w:val="1"/>
          <w:color w:val="auto"/>
        </w:rPr>
        <w:t xml:space="preserve">Interest and Other Expense, Net. </w:t>
      </w:r>
      <w:r>
        <w:rPr>
          <w:rFonts w:ascii="Arial" w:cs="Arial" w:eastAsia="Arial" w:hAnsi="Arial"/>
          <w:sz w:val="15"/>
          <w:szCs w:val="15"/>
          <w:color w:val="auto"/>
        </w:rPr>
        <w:t>Interest and other expense, net, increased by $2.6 million to $2.7 million in the three months ended June 30, 2012,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$0.2 million in the three months ended June 30, 2011. The increase in interest and other expense, net, was attributable primarily to foreign exchange impacts.</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Income taxes for the three months ended June 30, 2012, were $8.6 million on pre-tax income of $107.3 million, resulting in an effective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 of 8.0%, compared to 13.0% in the three months ended June 30, 2011. Our effective tax rate in the three months ended June 30, 2012, included a benefit of approximately 6% as a result of a net decrease in our tax reserves, primarily attributable to lapse of statute of limitation in certain jurisdictions. Our effective tax rate may fluctuate between quarters as a result of discrete items that may affect a specific quarter.</w:t>
      </w:r>
    </w:p>
    <w:p>
      <w:pPr>
        <w:spacing w:after="0" w:line="11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by $7.0 million, or 7.6%, to $98.7 million in the three months ended June 30, 2012, from $91.8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2011. The increase in net income was attributable to the decrease in income tax expense, as well as to the increase in operating income, partially offset by the increase in interest and other expense, net.</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increased by $0.09, or 18.0%, to $0.59 in the three months ended June 30, 2012, from $0.50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2011. The increase in diluted earnings per share resulted from the decrease in the diluted weighted average number of shares outstanding resulting from our repurchase of ordinary shares in fiscal 2011 and in the nine months ended June 30, 2012, and from the increase in net income.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Cash, cash equivalents and short-term interest-bearing investments, net of short-term debt, totaled $894.1 million as of June 30, 2012, compared to $923.5 million as of September 30, 2011. The decrease in the nine months ended June 30, 2012, was mainly attributable to $378.4 million used to repurchase our ordinary shares pursuant to our share repurchase program and $79.2 million for capital expenditures, net, partially offset by $362.0 million in positive cash flow from operations and $63.1 million of proceeds from employee stock options exercised. Net cash provided by operating activities amounted to $362.0 million and $387.9 million for the nine months ended June 30, 2012 and 2011, respectively.</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money market funds, U.S. government treasuries, corporate bonds, U.S. agency securities and government guaranteed debt. We believe we have conservative investment policy guidelines. Our interest-bearing investments are stated at fair value with the unrealized gains or losses reported as a separate component of accumulated other comprehensive loss, net of tax. Our interest-bearing investments are priced by pricing vendors and are classified as Level 1 or Level 2 investments, since these vendors either provide a quoted market price in an active market or use observable inputs. During the three and nine months ended June 30, 2012 and 2011, we recognized immaterial credit losses. As of June 30, 2012, temporary unrealized losses of $0.9 million included in accumulated other comprehensive loss, were related to securities for which credit losses were previously recognized and considered other-than-temporarily impaired securities. Please see Notes 4 and 5 to the consolidated financial statements.</w:t>
      </w:r>
    </w:p>
    <w:p>
      <w:pPr>
        <w:spacing w:after="0" w:line="118"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November 2007, we entered into an unsecured $500.0 million five-year revolving credit facility with a syndicate of banks. In September 2011, we borrowed an aggregate of $250.0 million under the facility and repaid it in October 2011. In December 2011, we entered into a new unsecured $500.0 million five-year revolving credit facility with a syndicate of banks, which replaced the November 2007 credit facility. The new credit facility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 As of June 30, 2012, we were in compliance with the financial covenants under the revolving credit facility and had no outstanding borrowings under this facility.</w:t>
      </w:r>
    </w:p>
    <w:p>
      <w:pPr>
        <w:spacing w:after="0" w:line="14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As of June 30, 2012, we had outstanding letters of credit and bank guarantees from various banks totaling $65.0 million. As of June 30, 2012, we had outstanding obligations of $0.6 million in connection with leasing arrangements, which were included in other current liabilities on our balance sheet.</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contractual obligations for our non-cancelable operating leases, purchase obligations, pension funding and convertible notes summarized in the tabular disclosure of contractual obligations set forth in our Annual Report on Form 20-F for the fiscal year ended September 30, 2011, filed on December 8, 2011 with the SEC. Since September 30, 2011, there have been no material changes in our contractual obligations.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capital expenditures were approximately $79.2 million in the nine months ended June 30, 2012. Approximately 90% of these expenditures consisted of purchases of computer equipment, and the remainder was attributable mainly to leasehold improvements. The capital expenditures in the nine months ended June 30, 2012 were mainly attributable to investments in our operating facilities and our development centers around the world. Our policy is to fund our capital expenditures principally from operating cash flows and we do not anticipate any changes to this policy in the foreseeable future.</w:t>
      </w:r>
    </w:p>
    <w:p>
      <w:pPr>
        <w:spacing w:after="0" w:line="113"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In April 2010, our board of directors authorized a share repurchase plan allowing the repurchase of up to $700.0 million of our outstanding ordinary shares over the following 12 months. In February 2011, our board of directors adopted a share repurchase plan authorizing the repurchase of up to $1 billion of our outstanding ordinary shares over the following 24 months. The authorizations permit us to purchase our ordinary shares in open market or privately negotiated transactions at times and prices we consider appropriate. In April 2011, we completed the repurchase of the remaining authorized amount under the April</w:t>
      </w:r>
    </w:p>
    <w:p>
      <w:pPr>
        <w:spacing w:after="0" w:line="3" w:lineRule="exact"/>
        <w:rPr>
          <w:sz w:val="20"/>
          <w:szCs w:val="20"/>
          <w:color w:val="auto"/>
        </w:rPr>
      </w:pPr>
    </w:p>
    <w:p>
      <w:pPr>
        <w:ind w:right="720"/>
        <w:spacing w:after="0" w:line="302" w:lineRule="auto"/>
        <w:rPr>
          <w:sz w:val="20"/>
          <w:szCs w:val="20"/>
          <w:color w:val="auto"/>
        </w:rPr>
      </w:pPr>
      <w:r>
        <w:rPr>
          <w:rFonts w:ascii="Arial" w:cs="Arial" w:eastAsia="Arial" w:hAnsi="Arial"/>
          <w:sz w:val="16"/>
          <w:szCs w:val="16"/>
          <w:color w:val="auto"/>
        </w:rPr>
        <w:t>2010 share repurchase plan and began executing repurchases under the February 2011 plan. In the nine months ended June 30, 2012, we repurchased approximately 12.9 million ordinary shares at an average price of $29.39 per share (excluding broker and transaction fees). As of June 30, 2012, we had remaining authority to repurchase up to $308.9 million of our outstanding ordinary shares under this plan.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July 31, 2012, at a special shareholders meeting, our shareholders approved the institution of a quarterly cash dividend program at the quarterly rate of $0.13 per share. On August 1, 2012, our board of directors approved the first dividend payment and set September 30, 2012, as the record date for determining the shareholders entitled to receive the dividend, which is payable on October 19, 2012. Because September 30, 2012 falls on a Sunday, the effective record date will be the close of business on Friday, September 28,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the nine months ended June 30, 2012 and 2011,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June 30, 2012 of equity securities that are registered by us pursuant to Section 12 of the Exchange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w:t>
            </w:r>
          </w:p>
        </w:tc>
        <w:tc>
          <w:tcPr>
            <w:tcW w:w="62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Number of</w:t>
            </w:r>
          </w:p>
        </w:tc>
        <w:tc>
          <w:tcPr>
            <w:tcW w:w="62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(or 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Dollar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Purchased as Part</w:t>
            </w:r>
          </w:p>
        </w:tc>
        <w:tc>
          <w:tcPr>
            <w:tcW w:w="62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of Shares that May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(b)</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Publicly</w:t>
            </w:r>
          </w:p>
        </w:tc>
        <w:tc>
          <w:tcPr>
            <w:tcW w:w="62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Yet Be Purchased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4260" w:type="dxa"/>
            <w:vAlign w:val="bottom"/>
            <w:gridSpan w:val="2"/>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2"/>
                <w:szCs w:val="12"/>
                <w:color w:val="auto"/>
              </w:rPr>
            </w:pPr>
          </w:p>
        </w:tc>
        <w:tc>
          <w:tcPr>
            <w:tcW w:w="15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Under the Plans</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4260" w:type="dxa"/>
            <w:vAlign w:val="bottom"/>
            <w:gridSpan w:val="2"/>
            <w:vMerge w:val="continue"/>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620" w:type="dxa"/>
            <w:vAlign w:val="bottom"/>
          </w:tcPr>
          <w:p>
            <w:pPr>
              <w:spacing w:after="0"/>
              <w:rPr>
                <w:sz w:val="14"/>
                <w:szCs w:val="14"/>
                <w:color w:val="auto"/>
              </w:rPr>
            </w:pPr>
          </w:p>
        </w:tc>
        <w:tc>
          <w:tcPr>
            <w:tcW w:w="15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Paid per Share</w:t>
            </w: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or Programs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or Programs(1)</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6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04/01/12-04/30/12</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534,248</w:t>
            </w: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31.49</w:t>
            </w:r>
          </w:p>
        </w:tc>
        <w:tc>
          <w:tcPr>
            <w:tcW w:w="6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534,248</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413,902,014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05/01/12-05/31/12</w:t>
            </w:r>
          </w:p>
        </w:tc>
        <w:tc>
          <w:tcPr>
            <w:tcW w:w="840" w:type="dxa"/>
            <w:vAlign w:val="bottom"/>
          </w:tcPr>
          <w:p>
            <w:pPr>
              <w:jc w:val="right"/>
              <w:spacing w:after="0"/>
              <w:rPr>
                <w:sz w:val="20"/>
                <w:szCs w:val="20"/>
                <w:color w:val="auto"/>
              </w:rPr>
            </w:pPr>
            <w:r>
              <w:rPr>
                <w:rFonts w:ascii="Arial" w:cs="Arial" w:eastAsia="Arial" w:hAnsi="Arial"/>
                <w:sz w:val="18"/>
                <w:szCs w:val="18"/>
                <w:color w:val="auto"/>
              </w:rPr>
              <w:t>1,621,500</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30.12</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1,621,500</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365,068,004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06/01/12-06/30/12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1,932,200</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6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1,932,200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308,925,704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4,087,948</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29.79</w:t>
            </w:r>
          </w:p>
        </w:tc>
        <w:tc>
          <w:tcPr>
            <w:tcW w:w="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4,087,948</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308,925,704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90"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April 2010, our board of directors authorized a share repurchase plan allowing the repurchase of up to $700.0 million of our outstanding ordinary shares over the following 12 months. In February 2011, our board of directors adopted an additional share repurchase plan authorizing the repurchase of up to $1 billion of our outstanding ordinary shares over the following 24 months. The authorizations permit us to purchase our ordinary shares in open market or privately negotiated transactions at times and prices we consider appropriate. In April 2011, we completed the repurchase of the remaining authorized amount under the April 2010 share repurchase plan and began executing repurchases under the February 2011 plan. In the nine months ended June 30, 2012, we repurchased approximately 12.9 million ordinary shares at an average price of $29.39 per share (excluding broker and transaction fees). As of June 30, 2012, we had remaining authority to repurchase up to $308.9 million of our outstanding ordinary shares under this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Reports on Form 6-K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furnished or filed the following reports on Form 6-K during the three months ended June 30, 2012:</w:t>
      </w:r>
    </w:p>
    <w:p>
      <w:pPr>
        <w:spacing w:after="0" w:line="171" w:lineRule="exact"/>
        <w:rPr>
          <w:sz w:val="20"/>
          <w:szCs w:val="20"/>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May 2, 2012</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May 15, 2012</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June 25, 2012</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Grausam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Grausam McDermon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2012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sectPr>
      <w:pgSz w:w="11900" w:h="16838" w:orient="portrait"/>
      <w:cols w:equalWidth="0" w:num="1">
        <w:col w:w="10500"/>
      </w:cols>
      <w:pgMar w:left="240" w:top="459"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4"/>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2019-12-09T12:52:14Z</dcterms:created>
  <dcterms:modified xsi:type="dcterms:W3CDTF">2019-12-09T12:52:14Z</dcterms:modified>
</cp:coreProperties>
</file>