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ourier New" w:cs="Courier New" w:eastAsia="Courier New" w:hAnsi="Courier New"/>
          <w:sz w:val="15"/>
          <w:szCs w:val="15"/>
          <w:color w:val="auto"/>
        </w:rPr>
        <w:t>As filed with the Securities and Exchange Commission on June 10, 2004</w:t>
      </w:r>
    </w:p>
    <w:p>
      <w:pPr>
        <w:spacing w:after="0" w:line="185" w:lineRule="exact"/>
        <w:rPr>
          <w:sz w:val="24"/>
          <w:szCs w:val="24"/>
          <w:color w:val="auto"/>
        </w:rPr>
      </w:pPr>
    </w:p>
    <w:p>
      <w:pPr>
        <w:jc w:val="right"/>
        <w:ind w:right="2839"/>
        <w:spacing w:after="0"/>
        <w:rPr>
          <w:sz w:val="20"/>
          <w:szCs w:val="20"/>
          <w:color w:val="auto"/>
        </w:rPr>
      </w:pPr>
      <w:r>
        <w:rPr>
          <w:rFonts w:ascii="Courier New" w:cs="Courier New" w:eastAsia="Courier New" w:hAnsi="Courier New"/>
          <w:sz w:val="15"/>
          <w:szCs w:val="15"/>
          <w:color w:val="auto"/>
        </w:rPr>
        <w:t>Registration Statement No. 333-114079</w:t>
      </w:r>
    </w:p>
    <w:p>
      <w:pPr>
        <w:spacing w:after="0" w:line="8" w:lineRule="exact"/>
        <w:rPr>
          <w:sz w:val="24"/>
          <w:szCs w:val="24"/>
          <w:color w:val="auto"/>
        </w:rPr>
      </w:pPr>
    </w:p>
    <w:p>
      <w:pPr>
        <w:jc w:val="right"/>
        <w:ind w:right="2839"/>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AMENDMENT NO. 1 TO</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FORM F-3</w:t>
      </w:r>
    </w:p>
    <w:p>
      <w:pPr>
        <w:spacing w:after="0" w:line="8"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REGISTRATION STATEMENT UNDER</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THE SECURITIES ACT OF 1933</w:t>
      </w:r>
    </w:p>
    <w:p>
      <w:pPr>
        <w:spacing w:after="0" w:line="185"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AMDOCS LIMITED</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8"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768" w:right="1440" w:bottom="1440" w:gutter="0" w:footer="0" w:header="0"/>
        </w:sectPr>
      </w:pPr>
    </w:p>
    <w:p>
      <w:pPr>
        <w:spacing w:after="0" w:line="185"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ISLAND OF GUERNSEY</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left="920"/>
        <w:spacing w:after="0"/>
        <w:rPr>
          <w:sz w:val="20"/>
          <w:szCs w:val="20"/>
          <w:color w:val="auto"/>
        </w:rPr>
      </w:pPr>
      <w:r>
        <w:rPr>
          <w:rFonts w:ascii="Courier New" w:cs="Courier New" w:eastAsia="Courier New" w:hAnsi="Courier New"/>
          <w:sz w:val="15"/>
          <w:szCs w:val="15"/>
          <w:color w:val="auto"/>
        </w:rPr>
        <w:t>NOT APPLICABLE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62" w:lineRule="exact"/>
        <w:rPr>
          <w:sz w:val="24"/>
          <w:szCs w:val="24"/>
          <w:color w:val="auto"/>
        </w:rPr>
      </w:pPr>
    </w:p>
    <w:p>
      <w:pPr>
        <w:sectPr>
          <w:pgSz w:w="11900" w:h="16838" w:orient="portrait"/>
          <w:cols w:equalWidth="0" w:num="2">
            <w:col w:w="3340" w:space="720"/>
            <w:col w:w="6159"/>
          </w:cols>
          <w:pgMar w:left="240" w:top="768" w:right="1440" w:bottom="1440" w:gutter="0" w:footer="0" w:header="0"/>
          <w:type w:val="continuous"/>
        </w:sectPr>
      </w:pPr>
    </w:p>
    <w:p>
      <w:pPr>
        <w:jc w:val="center"/>
        <w:ind w:right="2839"/>
        <w:spacing w:after="0"/>
        <w:rPr>
          <w:sz w:val="20"/>
          <w:szCs w:val="20"/>
          <w:color w:val="auto"/>
        </w:rPr>
      </w:pPr>
      <w:r>
        <w:rPr>
          <w:rFonts w:ascii="Courier New" w:cs="Courier New" w:eastAsia="Courier New" w:hAnsi="Courier New"/>
          <w:sz w:val="15"/>
          <w:szCs w:val="15"/>
          <w:color w:val="auto"/>
        </w:rPr>
        <w:t>SUITE 5, TOWER HILL HOUSE LE BORDAGE</w:t>
      </w:r>
    </w:p>
    <w:p>
      <w:pPr>
        <w:spacing w:after="0" w:line="8"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011-44-1481-728444</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AMDOCS, INC.</w:t>
      </w:r>
    </w:p>
    <w:p>
      <w:pPr>
        <w:spacing w:after="0" w:line="8"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8"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ATTENTION: THOMAS G. O'BRIEN, TREASURER</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(314) 212-8328</w:t>
      </w:r>
    </w:p>
    <w:p>
      <w:pPr>
        <w:spacing w:after="0" w:line="8"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85"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THE COMMISSION IS REQUESTED TO SEND COPIES OF ALL COMMUNICATIONS TO:</w:t>
      </w:r>
    </w:p>
    <w:p>
      <w:pPr>
        <w:spacing w:after="0" w:line="185"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ROBERT A. SCHWED, ESQ.</w:t>
      </w:r>
    </w:p>
    <w:p>
      <w:pPr>
        <w:spacing w:after="0" w:line="8"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WILMER CUTLER PICKERING HALE AND DORR LLP</w:t>
      </w:r>
    </w:p>
    <w:p>
      <w:pPr>
        <w:spacing w:after="0" w:line="8"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300 PARK AVENUE</w:t>
      </w:r>
    </w:p>
    <w:p>
      <w:pPr>
        <w:spacing w:after="0" w:line="8"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NEW YORK, NEW YORK 10022</w:t>
      </w:r>
    </w:p>
    <w:p>
      <w:pPr>
        <w:spacing w:after="0" w:line="8"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(212) 937-7200</w:t>
      </w:r>
    </w:p>
    <w:p>
      <w:pPr>
        <w:spacing w:after="0" w:line="185" w:lineRule="exact"/>
        <w:rPr>
          <w:sz w:val="24"/>
          <w:szCs w:val="24"/>
          <w:color w:val="auto"/>
        </w:rPr>
      </w:pPr>
    </w:p>
    <w:p>
      <w:pPr>
        <w:ind w:right="2939" w:firstLine="554"/>
        <w:spacing w:after="0" w:line="253" w:lineRule="auto"/>
        <w:rPr>
          <w:sz w:val="20"/>
          <w:szCs w:val="20"/>
          <w:color w:val="auto"/>
        </w:rPr>
      </w:pPr>
      <w:r>
        <w:rPr>
          <w:rFonts w:ascii="Courier New" w:cs="Courier New" w:eastAsia="Courier New" w:hAnsi="Courier New"/>
          <w:sz w:val="15"/>
          <w:szCs w:val="15"/>
          <w:color w:val="auto"/>
        </w:rPr>
        <w:t>APPROXIMATE DATE OF COMMENCEMENT OF PROPOSED SALE TO PUBLIC: From time to time after this Registration Statement becomes effective.</w:t>
      </w:r>
    </w:p>
    <w:p>
      <w:pPr>
        <w:spacing w:after="0" w:line="174" w:lineRule="exact"/>
        <w:rPr>
          <w:sz w:val="24"/>
          <w:szCs w:val="24"/>
          <w:color w:val="auto"/>
        </w:rPr>
      </w:pPr>
    </w:p>
    <w:p>
      <w:pPr>
        <w:ind w:right="2939" w:firstLine="554"/>
        <w:spacing w:after="0" w:line="252"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5" w:lineRule="exact"/>
        <w:rPr>
          <w:sz w:val="24"/>
          <w:szCs w:val="24"/>
          <w:color w:val="auto"/>
        </w:rPr>
      </w:pPr>
    </w:p>
    <w:p>
      <w:pPr>
        <w:ind w:right="3019" w:firstLine="554"/>
        <w:spacing w:after="0" w:line="25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6" w:lineRule="exact"/>
        <w:rPr>
          <w:sz w:val="24"/>
          <w:szCs w:val="24"/>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w:t>
      </w:r>
    </w:p>
    <w:p>
      <w:pPr>
        <w:spacing w:after="0" w:line="176" w:lineRule="exact"/>
        <w:rPr>
          <w:sz w:val="24"/>
          <w:szCs w:val="24"/>
          <w:color w:val="auto"/>
        </w:rPr>
      </w:pPr>
    </w:p>
    <w:p>
      <w:pPr>
        <w:jc w:val="both"/>
        <w:ind w:right="3019" w:firstLine="554"/>
        <w:spacing w:after="0" w:line="251"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w:t>
      </w:r>
    </w:p>
    <w:p>
      <w:pPr>
        <w:spacing w:after="0" w:line="176" w:lineRule="exact"/>
        <w:rPr>
          <w:sz w:val="24"/>
          <w:szCs w:val="24"/>
          <w:color w:val="auto"/>
        </w:rPr>
      </w:pPr>
    </w:p>
    <w:p>
      <w:pPr>
        <w:ind w:right="2839" w:firstLine="554"/>
        <w:spacing w:after="0" w:line="253"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4" w:lineRule="exact"/>
        <w:rPr>
          <w:sz w:val="24"/>
          <w:szCs w:val="24"/>
          <w:color w:val="auto"/>
        </w:rPr>
      </w:pPr>
    </w:p>
    <w:p>
      <w:pPr>
        <w:ind w:left="360" w:right="2939" w:firstLine="369"/>
        <w:spacing w:after="0" w:line="251" w:lineRule="auto"/>
        <w:rPr>
          <w:sz w:val="20"/>
          <w:szCs w:val="20"/>
          <w:color w:val="auto"/>
        </w:rPr>
      </w:pPr>
      <w:r>
        <w:rPr>
          <w:rFonts w:ascii="Courier New" w:cs="Courier New" w:eastAsia="Courier New" w:hAnsi="Courier New"/>
          <w:sz w:val="15"/>
          <w:szCs w:val="15"/>
          <w:color w:val="auto"/>
        </w:rPr>
        <w:t>THE COMPANY HEREBY AMENDS THIS REGISTRATION STATEMENT ON SUCH DATE OR DATES AS MAY BE NECESSARY TO DELAY ITS EFFECTIVE DATE UNTIL THE COMPANY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768" w:right="1440" w:bottom="1440" w:gutter="0" w:footer="0" w:header="0"/>
          <w:type w:val="continuous"/>
        </w:sectPr>
      </w:pPr>
    </w:p>
    <w:bookmarkStart w:id="1" w:name="page2"/>
    <w:bookmarkEnd w:id="1"/>
    <w:p>
      <w:pPr>
        <w:ind w:right="2839"/>
        <w:spacing w:after="0" w:line="251" w:lineRule="auto"/>
        <w:rPr>
          <w:sz w:val="20"/>
          <w:szCs w:val="20"/>
          <w:color w:val="auto"/>
        </w:rPr>
      </w:pPr>
      <w:r>
        <w:rPr>
          <w:rFonts w:ascii="Courier New" w:cs="Courier New" w:eastAsia="Courier New" w:hAnsi="Courier New"/>
          <w:sz w:val="15"/>
          <w:szCs w:val="15"/>
          <w:color w:val="auto"/>
        </w:rPr>
        <w:t>THE INFORMATION IN THIS PROSPECTUS IS NOT COMPLETE AND MAY BE CHANGED. THE SELLING SECURITYHOLDERS NAMED IN THIS PROSPECTUS MAY NOT SELL THESE SECURITIES UNTIL THE REGISTRATION STATEMENT FILED WITH THE SECURITIES AND EXCHANGE COMMISSION IS EFFECTIVE. THIS PROSPECTUS IS NOT AN OFFER TO SELL THESE SECURITIES AND THE SELLING SECURITYHOLDERS NAMED IN THIS PROSPECTUS ARE NOT SOLICITING OFFERS TO BUY THESE SECURITIES IN ANY JURISDICTION WHERE THE OFFER OR SALE IS NOT PERMITTED.</w:t>
      </w:r>
    </w:p>
    <w:p>
      <w:pPr>
        <w:spacing w:after="0" w:line="17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SUBJECT TO COMPLETION, DATED JUNE 10, 2004</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AMDOCS LIMITED</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560,777 ORDINARY SHARES</w:t>
      </w:r>
    </w:p>
    <w:p>
      <w:pPr>
        <w:spacing w:after="0" w:line="185" w:lineRule="exact"/>
        <w:rPr>
          <w:sz w:val="20"/>
          <w:szCs w:val="20"/>
          <w:color w:val="auto"/>
        </w:rPr>
      </w:pPr>
    </w:p>
    <w:p>
      <w:pPr>
        <w:jc w:val="both"/>
        <w:ind w:right="3019" w:firstLine="554"/>
        <w:spacing w:after="0" w:line="252" w:lineRule="auto"/>
        <w:rPr>
          <w:sz w:val="20"/>
          <w:szCs w:val="20"/>
          <w:color w:val="auto"/>
        </w:rPr>
      </w:pPr>
      <w:r>
        <w:rPr>
          <w:rFonts w:ascii="Courier New" w:cs="Courier New" w:eastAsia="Courier New" w:hAnsi="Courier New"/>
          <w:sz w:val="15"/>
          <w:szCs w:val="15"/>
          <w:color w:val="auto"/>
        </w:rPr>
        <w:t>This prospectus relates to the resale from time to time of up to 560,777 ordinary shares previously issued by Amdocs Limited to former shareholders of XACCT Technologies Ltd. in connection with our acquisition of that company.</w:t>
      </w:r>
    </w:p>
    <w:p>
      <w:pPr>
        <w:spacing w:after="0" w:line="175" w:lineRule="exact"/>
        <w:rPr>
          <w:sz w:val="20"/>
          <w:szCs w:val="20"/>
          <w:color w:val="auto"/>
        </w:rPr>
      </w:pPr>
    </w:p>
    <w:p>
      <w:pPr>
        <w:ind w:right="2839" w:firstLine="554"/>
        <w:spacing w:after="0" w:line="253" w:lineRule="auto"/>
        <w:rPr>
          <w:sz w:val="20"/>
          <w:szCs w:val="20"/>
          <w:color w:val="auto"/>
        </w:rPr>
      </w:pPr>
      <w:r>
        <w:rPr>
          <w:rFonts w:ascii="Courier New" w:cs="Courier New" w:eastAsia="Courier New" w:hAnsi="Courier New"/>
          <w:sz w:val="15"/>
          <w:szCs w:val="15"/>
          <w:color w:val="auto"/>
        </w:rPr>
        <w:t>We will not receive any proceeds from sales of the ordinary shares offered by this prospectus.</w:t>
      </w:r>
    </w:p>
    <w:p>
      <w:pPr>
        <w:spacing w:after="0" w:line="174" w:lineRule="exact"/>
        <w:rPr>
          <w:sz w:val="20"/>
          <w:szCs w:val="20"/>
          <w:color w:val="auto"/>
        </w:rPr>
      </w:pPr>
    </w:p>
    <w:p>
      <w:pPr>
        <w:ind w:right="3119" w:firstLine="554"/>
        <w:spacing w:after="0" w:line="251" w:lineRule="auto"/>
        <w:rPr>
          <w:sz w:val="20"/>
          <w:szCs w:val="20"/>
          <w:color w:val="auto"/>
        </w:rPr>
      </w:pPr>
      <w:r>
        <w:rPr>
          <w:rFonts w:ascii="Courier New" w:cs="Courier New" w:eastAsia="Courier New" w:hAnsi="Courier New"/>
          <w:sz w:val="15"/>
          <w:szCs w:val="15"/>
          <w:color w:val="auto"/>
        </w:rPr>
        <w:t>The selling securityholders identified in this prospectus, or their pledgees, donees, transferees or other successors-in-interest, may offer the shares from time to time through public or private transactions at prevailing market prices, at prices related to prevailing market prices or at privately negotiated prices.</w:t>
      </w:r>
    </w:p>
    <w:p>
      <w:pPr>
        <w:spacing w:after="0" w:line="176"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Our ordinary shares are traded on the New York Stock Exchange under the symbol "DOX." On June 4, 2004, the closing sale price of our ordinary shares on the New York Stock Exchange was $24.59 per share. You are urged to obtain current market quotations for our ordinary shares.</w:t>
      </w:r>
    </w:p>
    <w:p>
      <w:pPr>
        <w:spacing w:after="0" w:line="176"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SEE "RISK FACTORS" BEGINNING ON PAGE 4 TO READ ABOUT FACTORS YOU SHOULD</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CONSIDER BEFORE INVESTING IN OUR ORDINARY SHARES.</w:t>
      </w:r>
    </w:p>
    <w:p>
      <w:pPr>
        <w:spacing w:after="0" w:line="185" w:lineRule="exact"/>
        <w:rPr>
          <w:sz w:val="20"/>
          <w:szCs w:val="20"/>
          <w:color w:val="auto"/>
        </w:rPr>
      </w:pPr>
    </w:p>
    <w:p>
      <w:pPr>
        <w:jc w:val="center"/>
        <w:ind w:right="2839"/>
        <w:spacing w:after="0" w:line="251"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6" w:lineRule="exact"/>
        <w:rPr>
          <w:sz w:val="20"/>
          <w:szCs w:val="20"/>
          <w:color w:val="auto"/>
        </w:rPr>
      </w:pPr>
    </w:p>
    <w:tbl>
      <w:tblPr>
        <w:tblLayout w:type="fixed"/>
        <w:tblInd w:w="1280" w:type="dxa"/>
        <w:tblCellMar>
          <w:top w:w="0" w:type="dxa"/>
          <w:left w:w="0" w:type="dxa"/>
          <w:bottom w:w="0" w:type="dxa"/>
          <w:right w:w="0" w:type="dxa"/>
        </w:tblCellMar>
      </w:tblPr>
      <w:tr>
        <w:trPr>
          <w:trHeight w:val="172"/>
        </w:trPr>
        <w:tc>
          <w:tcPr>
            <w:tcW w:w="3140" w:type="dxa"/>
            <w:vAlign w:val="bottom"/>
          </w:tcPr>
          <w:p>
            <w:pPr>
              <w:spacing w:after="0"/>
              <w:rPr>
                <w:sz w:val="20"/>
                <w:szCs w:val="20"/>
                <w:color w:val="auto"/>
              </w:rPr>
            </w:pPr>
            <w:r>
              <w:rPr>
                <w:rFonts w:ascii="Courier New" w:cs="Courier New" w:eastAsia="Courier New" w:hAnsi="Courier New"/>
                <w:sz w:val="15"/>
                <w:szCs w:val="15"/>
                <w:color w:val="auto"/>
              </w:rPr>
              <w:t>THE DATE OF THIS PROSPECTUS IS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2004.</w:t>
            </w:r>
          </w:p>
        </w:tc>
      </w:tr>
    </w:tbl>
    <w:p>
      <w:pPr>
        <w:sectPr>
          <w:pgSz w:w="11900" w:h="16838" w:orient="portrait"/>
          <w:cols w:equalWidth="0" w:num="1">
            <w:col w:w="10219"/>
          </w:cols>
          <w:pgMar w:left="240" w:top="650" w:right="1440" w:bottom="1440" w:gutter="0" w:footer="0" w:header="0"/>
        </w:sectPr>
      </w:pPr>
    </w:p>
    <w:bookmarkStart w:id="2" w:name="page3"/>
    <w:bookmarkEnd w:id="2"/>
    <w:p>
      <w:pPr>
        <w:ind w:left="29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40"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5"/>
          <w:szCs w:val="15"/>
          <w:color w:val="auto"/>
        </w:rPr>
        <w:t>PAGE</w:t>
      </w:r>
    </w:p>
    <w:p>
      <w:pPr>
        <w:spacing w:after="0" w:line="8"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tabs>
          <w:tab w:leader="dot" w:pos="790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1</w:t>
      </w:r>
    </w:p>
    <w:p>
      <w:pPr>
        <w:spacing w:after="0" w:line="8" w:lineRule="exact"/>
        <w:rPr>
          <w:sz w:val="20"/>
          <w:szCs w:val="20"/>
          <w:color w:val="auto"/>
        </w:rPr>
      </w:pPr>
    </w:p>
    <w:p>
      <w:pPr>
        <w:spacing w:after="0"/>
        <w:tabs>
          <w:tab w:leader="dot" w:pos="7900" w:val="left"/>
        </w:tabs>
        <w:rPr>
          <w:sz w:val="20"/>
          <w:szCs w:val="20"/>
          <w:color w:val="auto"/>
        </w:rPr>
      </w:pPr>
      <w:r>
        <w:rPr>
          <w:rFonts w:ascii="Courier New" w:cs="Courier New" w:eastAsia="Courier New" w:hAnsi="Courier New"/>
          <w:sz w:val="15"/>
          <w:szCs w:val="15"/>
          <w:color w:val="auto"/>
        </w:rPr>
        <w:t>THE OFFERING</w:t>
      </w:r>
      <w:r>
        <w:rPr>
          <w:sz w:val="20"/>
          <w:szCs w:val="20"/>
          <w:color w:val="auto"/>
        </w:rPr>
        <w:tab/>
      </w:r>
      <w:r>
        <w:rPr>
          <w:rFonts w:ascii="Courier New" w:cs="Courier New" w:eastAsia="Courier New" w:hAnsi="Courier New"/>
          <w:sz w:val="15"/>
          <w:szCs w:val="15"/>
          <w:color w:val="auto"/>
        </w:rPr>
        <w:t>3</w:t>
      </w:r>
    </w:p>
    <w:p>
      <w:pPr>
        <w:spacing w:after="0" w:line="8" w:lineRule="exact"/>
        <w:rPr>
          <w:sz w:val="20"/>
          <w:szCs w:val="20"/>
          <w:color w:val="auto"/>
        </w:rPr>
      </w:pPr>
    </w:p>
    <w:p>
      <w:pPr>
        <w:spacing w:after="0"/>
        <w:tabs>
          <w:tab w:leader="dot" w:pos="790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4</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SPECIAL NOTE REGARDING FORWARD-LOOKING INFORMATION</w:t>
      </w:r>
      <w:r>
        <w:rPr>
          <w:sz w:val="20"/>
          <w:szCs w:val="20"/>
          <w:color w:val="auto"/>
        </w:rPr>
        <w:tab/>
      </w:r>
      <w:r>
        <w:rPr>
          <w:rFonts w:ascii="Courier New" w:cs="Courier New" w:eastAsia="Courier New" w:hAnsi="Courier New"/>
          <w:sz w:val="15"/>
          <w:szCs w:val="15"/>
          <w:color w:val="auto"/>
        </w:rPr>
        <w:t>14</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OFFERING STATISTICS AND TIMETABLE</w:t>
      </w:r>
      <w:r>
        <w:rPr>
          <w:sz w:val="20"/>
          <w:szCs w:val="20"/>
          <w:color w:val="auto"/>
        </w:rPr>
        <w:tab/>
      </w:r>
      <w:r>
        <w:rPr>
          <w:rFonts w:ascii="Courier New" w:cs="Courier New" w:eastAsia="Courier New" w:hAnsi="Courier New"/>
          <w:sz w:val="15"/>
          <w:szCs w:val="15"/>
          <w:color w:val="auto"/>
        </w:rPr>
        <w:t>15</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REASONS FOR THE OFFER AND USE OF PROCEEDS</w:t>
      </w:r>
      <w:r>
        <w:rPr>
          <w:sz w:val="20"/>
          <w:szCs w:val="20"/>
          <w:color w:val="auto"/>
        </w:rPr>
        <w:tab/>
      </w:r>
      <w:r>
        <w:rPr>
          <w:rFonts w:ascii="Courier New" w:cs="Courier New" w:eastAsia="Courier New" w:hAnsi="Courier New"/>
          <w:sz w:val="15"/>
          <w:szCs w:val="15"/>
          <w:color w:val="auto"/>
        </w:rPr>
        <w:t>15</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15</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MATERIAL CHANGES</w:t>
      </w:r>
      <w:r>
        <w:rPr>
          <w:sz w:val="20"/>
          <w:szCs w:val="20"/>
          <w:color w:val="auto"/>
        </w:rPr>
        <w:tab/>
      </w:r>
      <w:r>
        <w:rPr>
          <w:rFonts w:ascii="Courier New" w:cs="Courier New" w:eastAsia="Courier New" w:hAnsi="Courier New"/>
          <w:sz w:val="15"/>
          <w:szCs w:val="15"/>
          <w:color w:val="auto"/>
        </w:rPr>
        <w:t>15</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THE OFFER AND LISTING</w:t>
      </w:r>
      <w:r>
        <w:rPr>
          <w:sz w:val="20"/>
          <w:szCs w:val="20"/>
          <w:color w:val="auto"/>
        </w:rPr>
        <w:tab/>
      </w:r>
      <w:r>
        <w:rPr>
          <w:rFonts w:ascii="Courier New" w:cs="Courier New" w:eastAsia="Courier New" w:hAnsi="Courier New"/>
          <w:sz w:val="15"/>
          <w:szCs w:val="15"/>
          <w:color w:val="auto"/>
        </w:rPr>
        <w:t>17</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19</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SELLING SECURITYHOLDERS</w:t>
      </w:r>
      <w:r>
        <w:rPr>
          <w:sz w:val="20"/>
          <w:szCs w:val="20"/>
          <w:color w:val="auto"/>
        </w:rPr>
        <w:tab/>
      </w:r>
      <w:r>
        <w:rPr>
          <w:rFonts w:ascii="Courier New" w:cs="Courier New" w:eastAsia="Courier New" w:hAnsi="Courier New"/>
          <w:sz w:val="15"/>
          <w:szCs w:val="15"/>
          <w:color w:val="auto"/>
        </w:rPr>
        <w:t>20</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DESCRIPTION OF SHARE CAPITAL</w:t>
      </w:r>
      <w:r>
        <w:rPr>
          <w:sz w:val="20"/>
          <w:szCs w:val="20"/>
          <w:color w:val="auto"/>
        </w:rPr>
        <w:tab/>
      </w:r>
      <w:r>
        <w:rPr>
          <w:rFonts w:ascii="Courier New" w:cs="Courier New" w:eastAsia="Courier New" w:hAnsi="Courier New"/>
          <w:sz w:val="15"/>
          <w:szCs w:val="15"/>
          <w:color w:val="auto"/>
        </w:rPr>
        <w:t>24</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COMPARISON OF UNITED STATES AND GUERNSEY CORPORATE LAW</w:t>
      </w:r>
      <w:r>
        <w:rPr>
          <w:sz w:val="20"/>
          <w:szCs w:val="20"/>
          <w:color w:val="auto"/>
        </w:rPr>
        <w:tab/>
      </w:r>
      <w:r>
        <w:rPr>
          <w:rFonts w:ascii="Courier New" w:cs="Courier New" w:eastAsia="Courier New" w:hAnsi="Courier New"/>
          <w:sz w:val="15"/>
          <w:szCs w:val="15"/>
          <w:color w:val="auto"/>
        </w:rPr>
        <w:t>26</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27</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28</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28</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ENFORCEABILITY OF CIVIL LIABILITIES</w:t>
      </w:r>
      <w:r>
        <w:rPr>
          <w:sz w:val="20"/>
          <w:szCs w:val="20"/>
          <w:color w:val="auto"/>
        </w:rPr>
        <w:tab/>
      </w:r>
      <w:r>
        <w:rPr>
          <w:rFonts w:ascii="Courier New" w:cs="Courier New" w:eastAsia="Courier New" w:hAnsi="Courier New"/>
          <w:sz w:val="15"/>
          <w:szCs w:val="15"/>
          <w:color w:val="auto"/>
        </w:rPr>
        <w:t>29</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INCORPORATION OF DOCUMENTS BY REFERENCE</w:t>
      </w:r>
      <w:r>
        <w:rPr>
          <w:sz w:val="20"/>
          <w:szCs w:val="20"/>
          <w:color w:val="auto"/>
        </w:rPr>
        <w:tab/>
      </w:r>
      <w:r>
        <w:rPr>
          <w:rFonts w:ascii="Courier New" w:cs="Courier New" w:eastAsia="Courier New" w:hAnsi="Courier New"/>
          <w:sz w:val="15"/>
          <w:szCs w:val="15"/>
          <w:color w:val="auto"/>
        </w:rPr>
        <w:t>31</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31</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UNAUDITED PRO FORMA CONDENSED CONSOLIDATED FINANCIAL STATEMENTS</w:t>
      </w:r>
      <w:r>
        <w:rPr>
          <w:sz w:val="20"/>
          <w:szCs w:val="20"/>
          <w:color w:val="auto"/>
        </w:rPr>
        <w:tab/>
      </w:r>
      <w:r>
        <w:rPr>
          <w:rFonts w:ascii="Courier New" w:cs="Courier New" w:eastAsia="Courier New" w:hAnsi="Courier New"/>
          <w:sz w:val="15"/>
          <w:szCs w:val="15"/>
          <w:color w:val="auto"/>
        </w:rPr>
        <w:t>32</w:t>
      </w:r>
    </w:p>
    <w:p>
      <w:pPr>
        <w:spacing w:after="0" w:line="8"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5"/>
          <w:szCs w:val="15"/>
          <w:color w:val="auto"/>
        </w:rPr>
        <w:t>UNAUDITED FINANCIAL STATEMENTS OF CERTEN INC</w:t>
      </w:r>
      <w:r>
        <w:rPr>
          <w:sz w:val="20"/>
          <w:szCs w:val="20"/>
          <w:color w:val="auto"/>
        </w:rPr>
        <w:tab/>
      </w:r>
      <w:r>
        <w:rPr>
          <w:rFonts w:ascii="Courier New" w:cs="Courier New" w:eastAsia="Courier New" w:hAnsi="Courier New"/>
          <w:sz w:val="15"/>
          <w:szCs w:val="15"/>
          <w:color w:val="auto"/>
        </w:rPr>
        <w:t>36</w:t>
      </w:r>
    </w:p>
    <w:p>
      <w:pPr>
        <w:spacing w:after="0" w:line="36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We have not authorized anyone to provide you with information different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that contained or incorporated by reference in this prospectus. The selling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securityholders are offering to sell, and seeking offers to buy, our ordinary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only in jurisdictions where offers and sales are permitted.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contained in this prospectus is accurate only as of the date of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regardless of the time of delivery of this prospectus or of any sale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ordinary shares.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50" w:right="1440" w:bottom="1440" w:gutter="0" w:footer="0" w:header="0"/>
        </w:sectPr>
      </w:pPr>
    </w:p>
    <w:bookmarkStart w:id="3" w:name="page4"/>
    <w:bookmarkEnd w:id="3"/>
    <w:p>
      <w:pPr>
        <w:ind w:left="2860"/>
        <w:spacing w:after="0"/>
        <w:rPr>
          <w:sz w:val="20"/>
          <w:szCs w:val="20"/>
          <w:color w:val="auto"/>
        </w:rPr>
      </w:pPr>
      <w:r>
        <w:rPr>
          <w:rFonts w:ascii="Courier New" w:cs="Courier New" w:eastAsia="Courier New" w:hAnsi="Courier New"/>
          <w:sz w:val="15"/>
          <w:szCs w:val="15"/>
          <w:color w:val="auto"/>
        </w:rPr>
        <w:t>PROSPECTUS SUMMARY</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This summary describes the most significant terms of this offering and the information included or incorporated by reference in this prospectus. This summary does not contain all of the information that you should consider before investing in our ordinary shares. You should read the entire prospectus carefully, especially the risks of investing in our ordinary shares discussed under "Risk Factors."</w:t>
      </w:r>
    </w:p>
    <w:p>
      <w:pPr>
        <w:spacing w:after="0" w:line="17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AMDOCS LIMITED</w:t>
      </w:r>
    </w:p>
    <w:p>
      <w:pPr>
        <w:spacing w:after="0" w:line="185"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Our market focus is primarily the communications industry, and we are a leading provider of software products and services to major communications companies in North America, Europe and the rest of the world. Our products and services provide an integrated approach to customer management, which we refer to as Integrated Customer Management. Our Integrated Customer Management product offerings consist primarily of billing and customer relationship management systems, which we refer to, collectively, as CC&amp;B Systems. Our portfolio also includes a full range of directory sales and publishing systems for publishers of both traditional printed yellow page and white page directories and electronic Internet directories.</w:t>
      </w:r>
    </w:p>
    <w:p>
      <w:pPr>
        <w:spacing w:after="0" w:line="182"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Our Integrated Customer Management systems are designed to meet the mission-critical needs of leading communications service providers, which include customer relationship management, order management, call rating, invoice calculation and preparation, bill formatting, collections, partner relationship management and directory publishing services. We support a wide range of communications services, including wireline, wireless, voice, data, broadband, content, electronic and mobile commerce and Internet Protocol based services. We also support companies that offer multiple service packages, commonly referred to as bundled or convergent services. Due to the complexity of our customers' projects and the expertise required for system support, we also provide extensive system implementation, integration, modification, ongoing support,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w:t>
      </w:r>
    </w:p>
    <w:p>
      <w:pPr>
        <w:spacing w:after="0" w:line="184" w:lineRule="exact"/>
        <w:rPr>
          <w:sz w:val="20"/>
          <w:szCs w:val="20"/>
          <w:color w:val="auto"/>
        </w:rPr>
      </w:pPr>
    </w:p>
    <w:p>
      <w:pPr>
        <w:ind w:right="3019" w:firstLine="554"/>
        <w:spacing w:after="0" w:line="251"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companies and wireless companies.</w:t>
      </w:r>
    </w:p>
    <w:p>
      <w:pPr>
        <w:spacing w:after="0" w:line="175" w:lineRule="exact"/>
        <w:rPr>
          <w:sz w:val="20"/>
          <w:szCs w:val="20"/>
          <w:color w:val="auto"/>
        </w:rPr>
      </w:pPr>
    </w:p>
    <w:p>
      <w:pPr>
        <w:jc w:val="both"/>
        <w:ind w:right="3019" w:firstLine="554"/>
        <w:spacing w:after="0" w:line="251" w:lineRule="auto"/>
        <w:rPr>
          <w:sz w:val="20"/>
          <w:szCs w:val="20"/>
          <w:color w:val="auto"/>
        </w:rPr>
      </w:pPr>
      <w:r>
        <w:rPr>
          <w:rFonts w:ascii="Courier New" w:cs="Courier New" w:eastAsia="Courier New" w:hAnsi="Courier New"/>
          <w:sz w:val="15"/>
          <w:szCs w:val="15"/>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176" w:lineRule="exact"/>
        <w:rPr>
          <w:sz w:val="20"/>
          <w:szCs w:val="20"/>
          <w:color w:val="auto"/>
        </w:rPr>
      </w:pPr>
    </w:p>
    <w:p>
      <w:pPr>
        <w:ind w:left="1100" w:right="2839" w:hanging="552"/>
        <w:spacing w:after="0" w:line="251" w:lineRule="auto"/>
        <w:tabs>
          <w:tab w:leader="none" w:pos="11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 specifications-intensive information systems solutions required by the leading communications companies in the wireless, wireline and convergent service sectors.</w:t>
      </w:r>
    </w:p>
    <w:p>
      <w:pPr>
        <w:spacing w:after="0" w:line="175" w:lineRule="exact"/>
        <w:rPr>
          <w:rFonts w:ascii="Courier New" w:cs="Courier New" w:eastAsia="Courier New" w:hAnsi="Courier New"/>
          <w:sz w:val="15"/>
          <w:szCs w:val="15"/>
          <w:color w:val="auto"/>
        </w:rPr>
      </w:pPr>
    </w:p>
    <w:p>
      <w:pPr>
        <w:ind w:left="1100" w:right="2939" w:hanging="552"/>
        <w:spacing w:after="0" w:line="251" w:lineRule="auto"/>
        <w:tabs>
          <w:tab w:leader="none" w:pos="11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Industry Leaders. We intend to continue to direct our marketing efforts principally towards the major communications companies. We derive a significant portion of our revenues from our customer base of major communications companies in North America, Europe and the Asia-Pacific region. We believe that the development of this premier customer base has helped position us as a market leader, while contributing to the core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50" w:right="1440" w:bottom="1440" w:gutter="0" w:footer="0" w:header="0"/>
        </w:sectPr>
      </w:pPr>
    </w:p>
    <w:bookmarkStart w:id="4" w:name="page5"/>
    <w:bookmarkEnd w:id="4"/>
    <w:p>
      <w:pPr>
        <w:ind w:left="1100" w:right="2839"/>
        <w:spacing w:after="0" w:line="251" w:lineRule="auto"/>
        <w:rPr>
          <w:sz w:val="20"/>
          <w:szCs w:val="20"/>
          <w:color w:val="auto"/>
        </w:rPr>
      </w:pPr>
      <w:r>
        <w:rPr>
          <w:rFonts w:ascii="Courier New" w:cs="Courier New" w:eastAsia="Courier New" w:hAnsi="Courier New"/>
          <w:sz w:val="15"/>
          <w:szCs w:val="15"/>
          <w:color w:val="auto"/>
        </w:rPr>
        <w:t>strength of our business. By targeting industry leaders that require the most sophisticated information systems solutions, we believe that we are best able to ensure that we remain at the forefront of developments in the industry.</w:t>
      </w:r>
    </w:p>
    <w:p>
      <w:pPr>
        <w:spacing w:after="0" w:line="176" w:lineRule="exact"/>
        <w:rPr>
          <w:sz w:val="20"/>
          <w:szCs w:val="20"/>
          <w:color w:val="auto"/>
        </w:rPr>
      </w:pPr>
    </w:p>
    <w:p>
      <w:pPr>
        <w:ind w:left="1100" w:right="2939" w:hanging="552"/>
        <w:spacing w:after="0" w:line="251" w:lineRule="auto"/>
        <w:tabs>
          <w:tab w:leader="none" w:pos="11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effective system integration and implementation services as well as Managed Services to our customers.</w:t>
      </w:r>
    </w:p>
    <w:p>
      <w:pPr>
        <w:spacing w:after="0" w:line="175" w:lineRule="exact"/>
        <w:rPr>
          <w:rFonts w:ascii="Courier New" w:cs="Courier New" w:eastAsia="Courier New" w:hAnsi="Courier New"/>
          <w:sz w:val="15"/>
          <w:szCs w:val="15"/>
          <w:color w:val="auto"/>
        </w:rPr>
      </w:pPr>
    </w:p>
    <w:p>
      <w:pPr>
        <w:ind w:left="1100" w:right="2839" w:hanging="552"/>
        <w:spacing w:after="0" w:line="250" w:lineRule="auto"/>
        <w:tabs>
          <w:tab w:leader="none" w:pos="11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Customers with a Broad, Integrated Suite of Products. We seek to provide our customers with a broad suite of products to meet all their Integrated Customer Management needs.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82" w:lineRule="exact"/>
        <w:rPr>
          <w:rFonts w:ascii="Courier New" w:cs="Courier New" w:eastAsia="Courier New" w:hAnsi="Courier New"/>
          <w:sz w:val="15"/>
          <w:szCs w:val="15"/>
          <w:color w:val="auto"/>
        </w:rPr>
      </w:pPr>
    </w:p>
    <w:p>
      <w:pPr>
        <w:ind w:left="1100" w:right="2839" w:hanging="552"/>
        <w:spacing w:after="0" w:line="250" w:lineRule="auto"/>
        <w:tabs>
          <w:tab w:leader="none" w:pos="11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182"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On February 19, 2004, we acquired XACCT Technologies Ltd., or XACCT, a privately-held company organized under the laws of the State of Israel and a provider of mediation software to communications service providers. We acquired the outstanding capital stock of XACCT for a combination of cash and our ordinary shares. All of the ordinary shares covered by this prospectus were issued to shareholders of XACCT in connection with the acquisition.</w:t>
      </w:r>
    </w:p>
    <w:p>
      <w:pPr>
        <w:spacing w:after="0" w:line="176"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w:t>
      </w:r>
    </w:p>
    <w:p>
      <w:pPr>
        <w:spacing w:after="0" w:line="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176"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RECENT DEVELOPMENTS</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On May 3, 2004, we announced a cash offer for our 2% Convertible Notes Due June 1, 2008, which we refer to as the 2% Notes. Pursuant to the indenture for the 2% Notes, each holder of the 2% Notes has the right to require us to repurchase on June 1, 2004 all or any part of such holder's 2% Notes at a price equal to 100% of the principal amount plus accrued and unpaid interest. Under the terms of the 2% Notes, we had the option to pay for the 2% Notes with cash, ordinary shares, or a combination of cash and</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5" w:name="page6"/>
    <w:bookmarkEnd w:id="5"/>
    <w:p>
      <w:pPr>
        <w:ind w:right="3019"/>
        <w:spacing w:after="0" w:line="252" w:lineRule="auto"/>
        <w:rPr>
          <w:sz w:val="20"/>
          <w:szCs w:val="20"/>
          <w:color w:val="auto"/>
        </w:rPr>
      </w:pPr>
      <w:r>
        <w:rPr>
          <w:rFonts w:ascii="Courier New" w:cs="Courier New" w:eastAsia="Courier New" w:hAnsi="Courier New"/>
          <w:sz w:val="15"/>
          <w:szCs w:val="15"/>
          <w:color w:val="auto"/>
        </w:rPr>
        <w:t>ordinary shares, and we have elected to pay for the 2% Notes solely with cash. As of April 30, 2004, there was $395.5 million aggregate principal amount of notes outstanding.</w:t>
      </w:r>
    </w:p>
    <w:p>
      <w:pPr>
        <w:spacing w:after="0" w:line="17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On June 1, 2004, we announced that the offer had expired and that we had accepted for purchase $395,110,000 in aggregate principal amount of the 2% Notes, which constituted all of the 2% Notes validly tendered and not withdrawn, at a purchase price of $1,000 per $1,000 of principal amount of the 2% Notes. Payment for the 2% Notes was made with available cash. The untendered $344,000 principal amount of 2% Notes remain as obligations of the Company, due June 1, 2008, in accordance with their terms.</w:t>
      </w:r>
    </w:p>
    <w:p>
      <w:pPr>
        <w:spacing w:after="0" w:line="176" w:lineRule="exact"/>
        <w:rPr>
          <w:sz w:val="20"/>
          <w:szCs w:val="20"/>
          <w:color w:val="auto"/>
        </w:rPr>
      </w:pPr>
    </w:p>
    <w:p>
      <w:pPr>
        <w:jc w:val="both"/>
        <w:ind w:right="3119" w:firstLine="554"/>
        <w:spacing w:after="0" w:line="253" w:lineRule="auto"/>
        <w:rPr>
          <w:sz w:val="20"/>
          <w:szCs w:val="20"/>
          <w:color w:val="auto"/>
        </w:rPr>
      </w:pPr>
      <w:r>
        <w:rPr>
          <w:rFonts w:ascii="Courier New" w:cs="Courier New" w:eastAsia="Courier New" w:hAnsi="Courier New"/>
          <w:sz w:val="15"/>
          <w:szCs w:val="15"/>
          <w:color w:val="auto"/>
        </w:rPr>
        <w:t>Unless the context otherwise requires, references in this prospectus to "Amdocs," "we," "us," and "our" refer to Amdocs Limited and its subsidiaries.</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OFFERING</w:t>
      </w:r>
    </w:p>
    <w:p>
      <w:pPr>
        <w:sectPr>
          <w:pgSz w:w="11900" w:h="16838" w:orient="portrait"/>
          <w:cols w:equalWidth="0" w:num="1">
            <w:col w:w="10219"/>
          </w:cols>
          <w:pgMar w:left="240" w:top="650"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Ordinary shares offered by selling securityholders......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560,777 ordinary shares</w:t>
      </w:r>
    </w:p>
    <w:p>
      <w:pPr>
        <w:spacing w:after="0" w:line="185" w:lineRule="exact"/>
        <w:rPr>
          <w:sz w:val="20"/>
          <w:szCs w:val="20"/>
          <w:color w:val="auto"/>
        </w:rPr>
      </w:pPr>
    </w:p>
    <w:p>
      <w:pPr>
        <w:sectPr>
          <w:pgSz w:w="11900" w:h="16838" w:orient="portrait"/>
          <w:cols w:equalWidth="0" w:num="2">
            <w:col w:w="5160" w:space="180"/>
            <w:col w:w="4879"/>
          </w:cols>
          <w:pgMar w:left="24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20" w:lineRule="exact"/>
        <w:rPr>
          <w:sz w:val="20"/>
          <w:szCs w:val="20"/>
          <w:color w:val="auto"/>
        </w:rPr>
      </w:pPr>
      <w:r>
        <w:rPr>
          <w:sz w:val="20"/>
          <w:szCs w:val="20"/>
          <w:color w:val="auto"/>
        </w:rPr>
        <w:br w:type="column"/>
      </w:r>
    </w:p>
    <w:p>
      <w:pPr>
        <w:ind w:right="359"/>
        <w:spacing w:after="0" w:line="253" w:lineRule="auto"/>
        <w:rPr>
          <w:sz w:val="20"/>
          <w:szCs w:val="20"/>
          <w:color w:val="auto"/>
        </w:rPr>
      </w:pPr>
      <w:r>
        <w:rPr>
          <w:rFonts w:ascii="Courier New" w:cs="Courier New" w:eastAsia="Courier New" w:hAnsi="Courier New"/>
          <w:sz w:val="15"/>
          <w:szCs w:val="15"/>
          <w:color w:val="auto"/>
        </w:rPr>
        <w:t>We will not receive any proceeds from the sale of shares in this offering</w:t>
      </w:r>
    </w:p>
    <w:p>
      <w:pPr>
        <w:spacing w:after="0" w:line="174" w:lineRule="exact"/>
        <w:rPr>
          <w:sz w:val="20"/>
          <w:szCs w:val="20"/>
          <w:color w:val="auto"/>
        </w:rPr>
      </w:pPr>
    </w:p>
    <w:p>
      <w:pPr>
        <w:sectPr>
          <w:pgSz w:w="11900" w:h="16838" w:orient="portrait"/>
          <w:cols w:equalWidth="0" w:num="2">
            <w:col w:w="5160" w:space="180"/>
            <w:col w:w="4879"/>
          </w:cols>
          <w:pgMar w:left="24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New York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DOX</w:t>
      </w:r>
    </w:p>
    <w:p>
      <w:pPr>
        <w:spacing w:after="0" w:line="200" w:lineRule="exact"/>
        <w:rPr>
          <w:sz w:val="20"/>
          <w:szCs w:val="20"/>
          <w:color w:val="auto"/>
        </w:rPr>
      </w:pPr>
    </w:p>
    <w:p>
      <w:pPr>
        <w:sectPr>
          <w:pgSz w:w="11900" w:h="16838" w:orient="portrait"/>
          <w:cols w:equalWidth="0" w:num="2">
            <w:col w:w="5160" w:space="180"/>
            <w:col w:w="4879"/>
          </w:cols>
          <w:pgMar w:left="240" w:top="650" w:right="1440" w:bottom="1440" w:gutter="0" w:footer="0" w:header="0"/>
          <w:type w:val="continuous"/>
        </w:sectPr>
      </w:pPr>
    </w:p>
    <w:p>
      <w:pPr>
        <w:spacing w:after="0" w:line="162"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650" w:right="1440" w:bottom="1440" w:gutter="0" w:footer="0" w:header="0"/>
          <w:type w:val="continuous"/>
        </w:sectPr>
      </w:pPr>
    </w:p>
    <w:bookmarkStart w:id="6" w:name="page7"/>
    <w:bookmarkEnd w:id="6"/>
    <w:p>
      <w:pPr>
        <w:jc w:val="center"/>
        <w:ind w:right="2839"/>
        <w:spacing w:after="0"/>
        <w:rPr>
          <w:sz w:val="20"/>
          <w:szCs w:val="20"/>
          <w:color w:val="auto"/>
        </w:rPr>
      </w:pPr>
      <w:r>
        <w:rPr>
          <w:rFonts w:ascii="Courier New" w:cs="Courier New" w:eastAsia="Courier New" w:hAnsi="Courier New"/>
          <w:sz w:val="15"/>
          <w:szCs w:val="15"/>
          <w:color w:val="auto"/>
        </w:rPr>
        <w:t>RISK FACTORS</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Investing in our ordinary shares involves a high degree of risk. You should carefully consider the following discussion of the most significant factors that make this offering risky, in addition to the other information presented in this prospectus and the documents incorporated by reference in this prospectus, in evaluating our business and an investment in our ordinary shares. Any of the following risks, as well as other risks and uncertainties, could seriously harm our business and financial results and cause the value of our ordinary shares to decline, which in turn could cause you to lose all or part of your investment.</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BUSINESS</w:t>
      </w:r>
    </w:p>
    <w:p>
      <w:pPr>
        <w:spacing w:after="0" w:line="185" w:lineRule="exact"/>
        <w:rPr>
          <w:sz w:val="20"/>
          <w:szCs w:val="20"/>
          <w:color w:val="auto"/>
        </w:rPr>
      </w:pPr>
    </w:p>
    <w:p>
      <w:pPr>
        <w:ind w:left="360" w:right="3959"/>
        <w:spacing w:after="0" w:line="253" w:lineRule="auto"/>
        <w:rPr>
          <w:sz w:val="20"/>
          <w:szCs w:val="20"/>
          <w:color w:val="auto"/>
        </w:rPr>
      </w:pPr>
      <w:r>
        <w:rPr>
          <w:rFonts w:ascii="Courier New" w:cs="Courier New" w:eastAsia="Courier New" w:hAnsi="Courier New"/>
          <w:sz w:val="15"/>
          <w:szCs w:val="15"/>
          <w:color w:val="auto"/>
        </w:rPr>
        <w:t>WE ARE EXPOSED TO GENERAL GLOBAL ECONOMIC AND MARKET CONDITIONS, PARTICULARLY THOSE IMPACTING THE COMMUNICATIONS INDUSTRY.</w:t>
      </w:r>
    </w:p>
    <w:p>
      <w:pPr>
        <w:spacing w:after="0" w:line="174"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been faced with numerous restructurings, financial pressures and bankruptcies, which have caused many in the industry to cut expenses and limit investment in capital intensive projects.</w:t>
      </w:r>
    </w:p>
    <w:p>
      <w:pPr>
        <w:spacing w:after="0" w:line="182"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our revenues declined in the second half of fiscal 2002 and continued to decline in the first quarter of fiscal 2003. As a result, we undertook restructurings in fiscal 2002 and fiscal 2003 to reduce costs. Adverse market conditions could continue to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360" w:lineRule="exact"/>
        <w:rPr>
          <w:sz w:val="20"/>
          <w:szCs w:val="20"/>
          <w:color w:val="auto"/>
        </w:rPr>
      </w:pPr>
    </w:p>
    <w:p>
      <w:pPr>
        <w:ind w:left="360" w:right="3299"/>
        <w:spacing w:after="0" w:line="253" w:lineRule="auto"/>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HARMED.</w:t>
      </w:r>
    </w:p>
    <w:p>
      <w:pPr>
        <w:spacing w:after="0" w:line="174"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w:t>
      </w:r>
    </w:p>
    <w:p>
      <w:pPr>
        <w:spacing w:after="0" w:line="176" w:lineRule="exact"/>
        <w:rPr>
          <w:sz w:val="20"/>
          <w:szCs w:val="20"/>
          <w:color w:val="auto"/>
        </w:rPr>
      </w:pPr>
    </w:p>
    <w:p>
      <w:pPr>
        <w:ind w:right="2939" w:firstLine="554"/>
        <w:spacing w:after="0" w:line="250" w:lineRule="auto"/>
        <w:rPr>
          <w:sz w:val="20"/>
          <w:szCs w:val="20"/>
          <w:color w:val="auto"/>
        </w:rPr>
      </w:pPr>
      <w:r>
        <w:rPr>
          <w:rFonts w:ascii="Courier New" w:cs="Courier New" w:eastAsia="Courier New" w:hAnsi="Courier New"/>
          <w:sz w:val="15"/>
          <w:szCs w:val="15"/>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182" w:lineRule="exact"/>
        <w:rPr>
          <w:sz w:val="20"/>
          <w:szCs w:val="20"/>
          <w:color w:val="auto"/>
        </w:rPr>
      </w:pPr>
    </w:p>
    <w:p>
      <w:pPr>
        <w:ind w:right="3219" w:firstLine="554"/>
        <w:spacing w:after="0" w:line="253" w:lineRule="auto"/>
        <w:rPr>
          <w:sz w:val="20"/>
          <w:szCs w:val="20"/>
          <w:color w:val="auto"/>
        </w:rPr>
      </w:pPr>
      <w:r>
        <w:rPr>
          <w:rFonts w:ascii="Courier New" w:cs="Courier New" w:eastAsia="Courier New" w:hAnsi="Courier New"/>
          <w:sz w:val="15"/>
          <w:szCs w:val="15"/>
          <w:color w:val="auto"/>
        </w:rPr>
        <w:t>We believe that our ability to compete depends on a number of factors, including:</w:t>
      </w:r>
    </w:p>
    <w:p>
      <w:pPr>
        <w:spacing w:after="0" w:line="174" w:lineRule="exact"/>
        <w:rPr>
          <w:sz w:val="20"/>
          <w:szCs w:val="20"/>
          <w:color w:val="auto"/>
        </w:rPr>
      </w:pPr>
    </w:p>
    <w:p>
      <w:pPr>
        <w:ind w:left="1100" w:right="3019" w:hanging="552"/>
        <w:spacing w:after="0" w:line="253" w:lineRule="auto"/>
        <w:tabs>
          <w:tab w:leader="none" w:pos="11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1440" w:gutter="0" w:footer="0" w:header="0"/>
        </w:sectPr>
      </w:pPr>
    </w:p>
    <w:bookmarkStart w:id="7" w:name="page8"/>
    <w:bookmarkEnd w:id="7"/>
    <w:p>
      <w:pPr>
        <w:ind w:left="1100" w:hanging="552"/>
        <w:spacing w:after="0"/>
        <w:tabs>
          <w:tab w:leader="none" w:pos="11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84" w:lineRule="exact"/>
        <w:rPr>
          <w:rFonts w:ascii="Courier New" w:cs="Courier New" w:eastAsia="Courier New" w:hAnsi="Courier New"/>
          <w:sz w:val="15"/>
          <w:szCs w:val="15"/>
          <w:color w:val="auto"/>
        </w:rPr>
      </w:pPr>
    </w:p>
    <w:p>
      <w:pPr>
        <w:ind w:left="1100" w:right="3299" w:hanging="552"/>
        <w:spacing w:after="0" w:line="253" w:lineRule="auto"/>
        <w:tabs>
          <w:tab w:leader="none" w:pos="11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74"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8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182" w:lineRule="exact"/>
        <w:rPr>
          <w:sz w:val="20"/>
          <w:szCs w:val="20"/>
          <w:color w:val="auto"/>
        </w:rPr>
      </w:pPr>
    </w:p>
    <w:p>
      <w:pPr>
        <w:ind w:left="360" w:right="2839"/>
        <w:spacing w:after="0" w:line="252" w:lineRule="auto"/>
        <w:rPr>
          <w:sz w:val="20"/>
          <w:szCs w:val="20"/>
          <w:color w:val="auto"/>
        </w:rPr>
      </w:pPr>
      <w:r>
        <w:rPr>
          <w:rFonts w:ascii="Courier New" w:cs="Courier New" w:eastAsia="Courier New" w:hAnsi="Courier New"/>
          <w:sz w:val="15"/>
          <w:szCs w:val="15"/>
          <w:color w:val="auto"/>
        </w:rPr>
        <w:t>WE MAY SEEK TO ACQUIRE COMPANIES OR TECHNOLOGIES, WHICH COULD DISRUPT OUR ONGOING BUSINESS, DISTRACT OUR MANAGEMENT AND EMPLOYEES AND ADVERSELY AFFECT OUR RESULTS OF OPERATIONS.</w:t>
      </w:r>
    </w:p>
    <w:p>
      <w:pPr>
        <w:spacing w:after="0" w:line="175" w:lineRule="exact"/>
        <w:rPr>
          <w:sz w:val="20"/>
          <w:szCs w:val="20"/>
          <w:color w:val="auto"/>
        </w:rPr>
      </w:pPr>
    </w:p>
    <w:p>
      <w:pPr>
        <w:ind w:right="2939" w:firstLine="554"/>
        <w:spacing w:after="0" w:line="250" w:lineRule="auto"/>
        <w:rPr>
          <w:sz w:val="20"/>
          <w:szCs w:val="20"/>
          <w:color w:val="auto"/>
        </w:rPr>
      </w:pPr>
      <w:r>
        <w:rPr>
          <w:rFonts w:ascii="Courier New" w:cs="Courier New" w:eastAsia="Courier New" w:hAnsi="Courier New"/>
          <w:sz w:val="15"/>
          <w:szCs w:val="15"/>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183" w:lineRule="exact"/>
        <w:rPr>
          <w:sz w:val="20"/>
          <w:szCs w:val="20"/>
          <w:color w:val="auto"/>
        </w:rPr>
      </w:pPr>
    </w:p>
    <w:p>
      <w:pPr>
        <w:jc w:val="both"/>
        <w:ind w:left="360" w:right="3019"/>
        <w:spacing w:after="0" w:line="252" w:lineRule="auto"/>
        <w:rPr>
          <w:sz w:val="20"/>
          <w:szCs w:val="20"/>
          <w:color w:val="auto"/>
        </w:rPr>
      </w:pPr>
      <w:r>
        <w:rPr>
          <w:rFonts w:ascii="Courier New" w:cs="Courier New" w:eastAsia="Courier New" w:hAnsi="Courier New"/>
          <w:sz w:val="15"/>
          <w:szCs w:val="15"/>
          <w:color w:val="auto"/>
        </w:rPr>
        <w:t>OUR BUSINESS IS DEPENDENT ON A LIMITED NUMBER OF SIGNIFICANT CUSTOMERS AND THE LOSS OF ANY ONE OF OUR SIGNIFICANT CUSTOMERS COULD HARM OUR RESULTS OF OPERATIONS.</w:t>
      </w:r>
    </w:p>
    <w:p>
      <w:pPr>
        <w:spacing w:after="0" w:line="175"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Our business is dependent on a limited number of significant customers. Our three largest groups of customers are comprised of Bell Canada, Nextel Communications ("Nextel") and SBC Communications Inc. ("SBC") and certain of their subsidiaries, each of which accounted for more than 10% of our revenue in fiscal 2003. Aggregate revenue derived from the multiple business arrangements we have with our five largest customer groups accounted for approximately 55% of our revenue in fiscal 2003. SBC has historically been one of our largest shareholders, and, as of May 31, 2004, it beneficially owned approximately</w:t>
      </w:r>
    </w:p>
    <w:p>
      <w:pPr>
        <w:spacing w:after="0" w:line="4"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9.8% of our outstanding ordinary shares. The loss of any significant customer or a significant decrease in business from any such customer could harm our results of operations and financial condition.</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50" w:right="1440" w:bottom="1440" w:gutter="0" w:footer="0" w:header="0"/>
        </w:sectPr>
      </w:pPr>
    </w:p>
    <w:bookmarkStart w:id="8" w:name="page9"/>
    <w:bookmarkEnd w:id="8"/>
    <w:p>
      <w:pPr>
        <w:ind w:right="2939" w:firstLine="554"/>
        <w:spacing w:after="0" w:line="251" w:lineRule="auto"/>
        <w:rPr>
          <w:sz w:val="20"/>
          <w:szCs w:val="20"/>
          <w:color w:val="auto"/>
        </w:rPr>
      </w:pPr>
      <w:r>
        <w:rPr>
          <w:rFonts w:ascii="Courier New" w:cs="Courier New" w:eastAsia="Courier New" w:hAnsi="Courier New"/>
          <w:sz w:val="15"/>
          <w:szCs w:val="15"/>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175" w:lineRule="exact"/>
        <w:rPr>
          <w:sz w:val="20"/>
          <w:szCs w:val="20"/>
          <w:color w:val="auto"/>
        </w:rPr>
      </w:pPr>
    </w:p>
    <w:p>
      <w:pPr>
        <w:ind w:left="360" w:right="3759"/>
        <w:spacing w:after="0" w:line="253" w:lineRule="auto"/>
        <w:rPr>
          <w:sz w:val="20"/>
          <w:szCs w:val="20"/>
          <w:color w:val="auto"/>
        </w:rPr>
      </w:pPr>
      <w:r>
        <w:rPr>
          <w:rFonts w:ascii="Courier New" w:cs="Courier New" w:eastAsia="Courier New" w:hAnsi="Courier New"/>
          <w:sz w:val="15"/>
          <w:szCs w:val="15"/>
          <w:color w:val="auto"/>
        </w:rPr>
        <w:t>OUR FUTURE SUCCESS WILL DEPEND ON OUR ABILITY TO DEVELOP LONG-TERM RELATIONSHIPS WITH OUR CUSTOMERS.</w:t>
      </w:r>
    </w:p>
    <w:p>
      <w:pPr>
        <w:spacing w:after="0" w:line="174" w:lineRule="exact"/>
        <w:rPr>
          <w:sz w:val="20"/>
          <w:szCs w:val="20"/>
          <w:color w:val="auto"/>
        </w:rPr>
      </w:pPr>
    </w:p>
    <w:p>
      <w:pPr>
        <w:jc w:val="both"/>
        <w:ind w:right="2839" w:firstLine="554"/>
        <w:spacing w:after="0" w:line="250" w:lineRule="auto"/>
        <w:rPr>
          <w:sz w:val="20"/>
          <w:szCs w:val="20"/>
          <w:color w:val="auto"/>
        </w:rPr>
      </w:pPr>
      <w:r>
        <w:rPr>
          <w:rFonts w:ascii="Courier New" w:cs="Courier New" w:eastAsia="Courier New" w:hAnsi="Courier New"/>
          <w:sz w:val="15"/>
          <w:szCs w:val="15"/>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w:t>
      </w:r>
    </w:p>
    <w:p>
      <w:pPr>
        <w:spacing w:after="0" w:line="3"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If we are unable to meet customers' expectations in providing products or performing services, our business and results of operations could be harmed.</w:t>
      </w:r>
    </w:p>
    <w:p>
      <w:pPr>
        <w:spacing w:after="0" w:line="174" w:lineRule="exact"/>
        <w:rPr>
          <w:sz w:val="20"/>
          <w:szCs w:val="20"/>
          <w:color w:val="auto"/>
        </w:rPr>
      </w:pPr>
    </w:p>
    <w:p>
      <w:pPr>
        <w:ind w:left="360" w:right="3019"/>
        <w:spacing w:after="0" w:line="253" w:lineRule="auto"/>
        <w:rPr>
          <w:sz w:val="20"/>
          <w:szCs w:val="20"/>
          <w:color w:val="auto"/>
        </w:rPr>
      </w:pPr>
      <w:r>
        <w:rPr>
          <w:rFonts w:ascii="Courier New" w:cs="Courier New" w:eastAsia="Courier New" w:hAnsi="Courier New"/>
          <w:sz w:val="15"/>
          <w:szCs w:val="15"/>
          <w:color w:val="auto"/>
        </w:rPr>
        <w:t>WE MAY BE EXPOSED TO THE CREDIT RISK OF CUSTOMERS THAT HAVE BEEN ADVERSELY AFFECTED BY WEAKENED MARKETS.</w:t>
      </w:r>
    </w:p>
    <w:p>
      <w:pPr>
        <w:spacing w:after="0" w:line="174" w:lineRule="exact"/>
        <w:rPr>
          <w:sz w:val="20"/>
          <w:szCs w:val="20"/>
          <w:color w:val="auto"/>
        </w:rPr>
      </w:pPr>
    </w:p>
    <w:p>
      <w:pPr>
        <w:ind w:right="3019" w:firstLine="554"/>
        <w:spacing w:after="0" w:line="251" w:lineRule="auto"/>
        <w:rPr>
          <w:sz w:val="20"/>
          <w:szCs w:val="20"/>
          <w:color w:val="auto"/>
        </w:rPr>
      </w:pPr>
      <w:r>
        <w:rPr>
          <w:rFonts w:ascii="Courier New" w:cs="Courier New" w:eastAsia="Courier New" w:hAnsi="Courier New"/>
          <w:sz w:val="15"/>
          <w:szCs w:val="15"/>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176" w:lineRule="exact"/>
        <w:rPr>
          <w:sz w:val="20"/>
          <w:szCs w:val="20"/>
          <w:color w:val="auto"/>
        </w:rPr>
      </w:pPr>
    </w:p>
    <w:p>
      <w:pPr>
        <w:ind w:left="360" w:right="2939"/>
        <w:spacing w:after="0" w:line="253" w:lineRule="auto"/>
        <w:rPr>
          <w:sz w:val="20"/>
          <w:szCs w:val="20"/>
          <w:color w:val="auto"/>
        </w:rPr>
      </w:pPr>
      <w:r>
        <w:rPr>
          <w:rFonts w:ascii="Courier New" w:cs="Courier New" w:eastAsia="Courier New" w:hAnsi="Courier New"/>
          <w:sz w:val="15"/>
          <w:szCs w:val="15"/>
          <w:color w:val="auto"/>
        </w:rPr>
        <w:t>THE SKILLED AND HIGHLY QUALIFIED EMPLOYEES THAT WE NEED MAY BE DIFFICULT TO HIRE AND RETAIN.</w:t>
      </w:r>
    </w:p>
    <w:p>
      <w:pPr>
        <w:spacing w:after="0" w:line="174"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because our products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186"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176" w:lineRule="exact"/>
        <w:rPr>
          <w:sz w:val="20"/>
          <w:szCs w:val="20"/>
          <w:color w:val="auto"/>
        </w:rPr>
      </w:pPr>
    </w:p>
    <w:p>
      <w:pPr>
        <w:ind w:left="360" w:right="3019"/>
        <w:spacing w:after="0" w:line="252" w:lineRule="auto"/>
        <w:rPr>
          <w:sz w:val="20"/>
          <w:szCs w:val="20"/>
          <w:color w:val="auto"/>
        </w:rPr>
      </w:pPr>
      <w:r>
        <w:rPr>
          <w:rFonts w:ascii="Courier New" w:cs="Courier New" w:eastAsia="Courier New" w:hAnsi="Courier New"/>
          <w:sz w:val="15"/>
          <w:szCs w:val="15"/>
          <w:color w:val="auto"/>
        </w:rPr>
        <w:t>OUR QUARTERLY OPERATING RESULTS MAY FLUCTUATE, AND A DECLINE IN REVENUE IN ANY QUARTER COULD RESULT IN LOWER PROFITABILITY FOR THAT QUARTER AND FLUCTUATIONS IN THE MARKET PRICE OF OUR ORDINARY SHARES.</w:t>
      </w:r>
    </w:p>
    <w:p>
      <w:pPr>
        <w:spacing w:after="0" w:line="175" w:lineRule="exact"/>
        <w:rPr>
          <w:sz w:val="20"/>
          <w:szCs w:val="20"/>
          <w:color w:val="auto"/>
        </w:rPr>
      </w:pPr>
    </w:p>
    <w:p>
      <w:pPr>
        <w:ind w:right="2839" w:firstLine="554"/>
        <w:spacing w:after="0" w:line="252"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movement may continue and could intensify. Fluctuations may result from many factors, including:</w:t>
      </w:r>
    </w:p>
    <w:p>
      <w:pPr>
        <w:spacing w:after="0" w:line="175" w:lineRule="exact"/>
        <w:rPr>
          <w:sz w:val="20"/>
          <w:szCs w:val="20"/>
          <w:color w:val="auto"/>
        </w:rPr>
      </w:pPr>
    </w:p>
    <w:p>
      <w:pPr>
        <w:ind w:left="1100" w:right="3219" w:hanging="552"/>
        <w:spacing w:after="0" w:line="253" w:lineRule="auto"/>
        <w:tabs>
          <w:tab w:leader="none" w:pos="11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74" w:lineRule="exact"/>
        <w:rPr>
          <w:rFonts w:ascii="Courier New" w:cs="Courier New" w:eastAsia="Courier New" w:hAnsi="Courier New"/>
          <w:sz w:val="15"/>
          <w:szCs w:val="15"/>
          <w:color w:val="auto"/>
        </w:rPr>
      </w:pPr>
    </w:p>
    <w:p>
      <w:pPr>
        <w:ind w:left="3600" w:right="3219" w:hanging="3052"/>
        <w:spacing w:after="0" w:line="504" w:lineRule="auto"/>
        <w:tabs>
          <w:tab w:leader="none" w:pos="110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in or cancellations of significant projects by customers, 6</w:t>
      </w:r>
    </w:p>
    <w:p>
      <w:pPr>
        <w:sectPr>
          <w:pgSz w:w="11900" w:h="16838" w:orient="portrait"/>
          <w:cols w:equalWidth="0" w:num="1">
            <w:col w:w="10219"/>
          </w:cols>
          <w:pgMar w:left="240" w:top="650" w:right="1440" w:bottom="1440" w:gutter="0" w:footer="0" w:header="0"/>
        </w:sectPr>
      </w:pPr>
    </w:p>
    <w:bookmarkStart w:id="9" w:name="page10"/>
    <w:bookmarkEnd w:id="9"/>
    <w:p>
      <w:pPr>
        <w:ind w:left="1100" w:hanging="552"/>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 fluctuations, and</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conditions.</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modification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6" w:lineRule="exact"/>
        <w:rPr>
          <w:sz w:val="20"/>
          <w:szCs w:val="20"/>
          <w:color w:val="auto"/>
        </w:rPr>
      </w:pPr>
    </w:p>
    <w:p>
      <w:pPr>
        <w:ind w:right="2939" w:firstLine="554"/>
        <w:spacing w:after="0" w:line="250"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82" w:lineRule="exact"/>
        <w:rPr>
          <w:sz w:val="20"/>
          <w:szCs w:val="20"/>
          <w:color w:val="auto"/>
        </w:rPr>
      </w:pPr>
    </w:p>
    <w:p>
      <w:pPr>
        <w:jc w:val="both"/>
        <w:ind w:left="360" w:right="3019"/>
        <w:spacing w:after="0" w:line="252" w:lineRule="auto"/>
        <w:rPr>
          <w:sz w:val="20"/>
          <w:szCs w:val="20"/>
          <w:color w:val="auto"/>
        </w:rPr>
      </w:pPr>
      <w:r>
        <w:rPr>
          <w:rFonts w:ascii="Courier New" w:cs="Courier New" w:eastAsia="Courier New" w:hAnsi="Courier New"/>
          <w:sz w:val="15"/>
          <w:szCs w:val="15"/>
          <w:color w:val="auto"/>
        </w:rPr>
        <w:t>OUR REVENUE, EARNINGS AND PROFITABILITY ARE IMPACTED BY THE LENGTH OF OUR SALES CYCLE AND A LONGER SALES CYCLE COULD ADVERSELY AFFECT OUR RESULTS OF OPERATIONS AND FINANCIAL CONDITION.</w:t>
      </w:r>
    </w:p>
    <w:p>
      <w:pPr>
        <w:spacing w:after="0" w:line="175"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Beginning in the second half of fiscal 2002, buying decisions of communications providers lengthened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185" w:lineRule="exact"/>
        <w:rPr>
          <w:sz w:val="20"/>
          <w:szCs w:val="20"/>
          <w:color w:val="auto"/>
        </w:rPr>
      </w:pPr>
    </w:p>
    <w:p>
      <w:pPr>
        <w:ind w:left="360" w:right="3579"/>
        <w:spacing w:after="0" w:line="253" w:lineRule="auto"/>
        <w:rPr>
          <w:sz w:val="20"/>
          <w:szCs w:val="20"/>
          <w:color w:val="auto"/>
        </w:rPr>
      </w:pPr>
      <w:r>
        <w:rPr>
          <w:rFonts w:ascii="Courier New" w:cs="Courier New" w:eastAsia="Courier New" w:hAnsi="Courier New"/>
          <w:sz w:val="15"/>
          <w:szCs w:val="15"/>
          <w:color w:val="auto"/>
        </w:rPr>
        <w:t>IF THE MARKET FOR OUR PRODUCTS DETERIORATES, WE MAY INCUR ADDITIONAL RESTRUCTURING CHARGES.</w:t>
      </w:r>
    </w:p>
    <w:p>
      <w:pPr>
        <w:spacing w:after="0" w:line="174"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352" w:lineRule="exact"/>
        <w:rPr>
          <w:sz w:val="20"/>
          <w:szCs w:val="20"/>
          <w:color w:val="auto"/>
        </w:rPr>
      </w:pPr>
    </w:p>
    <w:p>
      <w:pPr>
        <w:ind w:left="360" w:right="3479"/>
        <w:spacing w:after="0" w:line="253" w:lineRule="auto"/>
        <w:rPr>
          <w:sz w:val="20"/>
          <w:szCs w:val="20"/>
          <w:color w:val="auto"/>
        </w:rPr>
      </w:pPr>
      <w:r>
        <w:rPr>
          <w:rFonts w:ascii="Courier New" w:cs="Courier New" w:eastAsia="Courier New" w:hAnsi="Courier New"/>
          <w:sz w:val="15"/>
          <w:szCs w:val="15"/>
          <w:color w:val="auto"/>
        </w:rPr>
        <w:t>IF WE FAIL TO SUCCESSFULLY PLAN AND MANAGE CHANGES IN THE SIZE OF OUR OPERATIONS OUR BUSINESS WILL SUFFER.</w:t>
      </w:r>
    </w:p>
    <w:p>
      <w:pPr>
        <w:spacing w:after="0" w:line="174" w:lineRule="exact"/>
        <w:rPr>
          <w:sz w:val="20"/>
          <w:szCs w:val="20"/>
          <w:color w:val="auto"/>
        </w:rPr>
      </w:pPr>
    </w:p>
    <w:p>
      <w:pPr>
        <w:ind w:right="3019" w:firstLine="554"/>
        <w:spacing w:after="0" w:line="252" w:lineRule="auto"/>
        <w:rPr>
          <w:sz w:val="20"/>
          <w:szCs w:val="20"/>
          <w:color w:val="auto"/>
        </w:rPr>
      </w:pPr>
      <w:r>
        <w:rPr>
          <w:rFonts w:ascii="Courier New" w:cs="Courier New" w:eastAsia="Courier New" w:hAnsi="Courier New"/>
          <w:sz w:val="15"/>
          <w:szCs w:val="15"/>
          <w:color w:val="auto"/>
        </w:rPr>
        <w:t>Over the last several years, we have both grown and contracted our operations in order to profitably offer our products and services in a rapidly changing market. If we are unable to manage these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10" w:name="page11"/>
    <w:bookmarkEnd w:id="10"/>
    <w:p>
      <w:pPr>
        <w:ind w:right="3299"/>
        <w:spacing w:after="0" w:line="253" w:lineRule="auto"/>
        <w:rPr>
          <w:sz w:val="20"/>
          <w:szCs w:val="20"/>
          <w:color w:val="auto"/>
        </w:rPr>
      </w:pPr>
      <w:r>
        <w:rPr>
          <w:rFonts w:ascii="Courier New" w:cs="Courier New" w:eastAsia="Courier New" w:hAnsi="Courier New"/>
          <w:sz w:val="15"/>
          <w:szCs w:val="15"/>
          <w:color w:val="auto"/>
        </w:rPr>
        <w:t>changes and plan and manage any future changes in the size and scope of our operations, our business will suffer.</w:t>
      </w:r>
    </w:p>
    <w:p>
      <w:pPr>
        <w:spacing w:after="0" w:line="174"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Our restructurings and cost reduction measures reduced the size of our operations. On February 29, 2004, we employed approximately 9,000 individuals in software and information technology positions, compared to approximately 7,800 on January 31, 2003 and 9,100 on November 30, 2001. Our software and information technology workforce increased in the fourth quarter of fiscal 2003 and first quarter of fiscal 2004, primarily as a result of the Certen acquisition in July 2003 and a Managed Services agreement signed in January 2003. During periods of contraction, we disposed of office space and related obligations in an effort to keep pace with the changing size of our operations. Our recent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18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85" w:lineRule="exact"/>
        <w:rPr>
          <w:sz w:val="20"/>
          <w:szCs w:val="20"/>
          <w:color w:val="auto"/>
        </w:rPr>
      </w:pPr>
    </w:p>
    <w:p>
      <w:pPr>
        <w:ind w:right="2939" w:firstLine="554"/>
        <w:spacing w:after="0" w:line="250" w:lineRule="auto"/>
        <w:rPr>
          <w:sz w:val="20"/>
          <w:szCs w:val="20"/>
          <w:color w:val="auto"/>
        </w:rPr>
      </w:pPr>
      <w:r>
        <w:rPr>
          <w:rFonts w:ascii="Courier New" w:cs="Courier New" w:eastAsia="Courier New" w:hAnsi="Courier New"/>
          <w:sz w:val="15"/>
          <w:szCs w:val="15"/>
          <w:color w:val="auto"/>
        </w:rPr>
        <w:t>We are affected by risks associated with conducting business internationally. 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182" w:lineRule="exact"/>
        <w:rPr>
          <w:sz w:val="20"/>
          <w:szCs w:val="20"/>
          <w:color w:val="auto"/>
        </w:rPr>
      </w:pPr>
    </w:p>
    <w:p>
      <w:pPr>
        <w:ind w:left="1100" w:hanging="552"/>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84" w:lineRule="exact"/>
        <w:rPr>
          <w:rFonts w:ascii="Courier New" w:cs="Courier New" w:eastAsia="Courier New" w:hAnsi="Courier New"/>
          <w:sz w:val="15"/>
          <w:szCs w:val="15"/>
          <w:color w:val="auto"/>
        </w:rPr>
      </w:pPr>
    </w:p>
    <w:p>
      <w:pPr>
        <w:ind w:left="1100" w:right="2839" w:hanging="552"/>
        <w:spacing w:after="0" w:line="253" w:lineRule="auto"/>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17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84" w:lineRule="exact"/>
        <w:rPr>
          <w:rFonts w:ascii="Courier New" w:cs="Courier New" w:eastAsia="Courier New" w:hAnsi="Courier New"/>
          <w:sz w:val="15"/>
          <w:szCs w:val="15"/>
          <w:color w:val="auto"/>
        </w:rPr>
      </w:pPr>
    </w:p>
    <w:p>
      <w:pPr>
        <w:ind w:left="1100" w:right="3579" w:hanging="552"/>
        <w:spacing w:after="0" w:line="253" w:lineRule="auto"/>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7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84" w:lineRule="exact"/>
        <w:rPr>
          <w:rFonts w:ascii="Courier New" w:cs="Courier New" w:eastAsia="Courier New" w:hAnsi="Courier New"/>
          <w:sz w:val="15"/>
          <w:szCs w:val="15"/>
          <w:color w:val="auto"/>
        </w:rPr>
      </w:pPr>
    </w:p>
    <w:p>
      <w:pPr>
        <w:ind w:left="1100" w:right="3119" w:hanging="552"/>
        <w:spacing w:after="0" w:line="253" w:lineRule="auto"/>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4" w:lineRule="exact"/>
        <w:rPr>
          <w:sz w:val="20"/>
          <w:szCs w:val="20"/>
          <w:color w:val="auto"/>
        </w:rPr>
      </w:pPr>
    </w:p>
    <w:p>
      <w:pPr>
        <w:ind w:right="3019" w:firstLine="554"/>
        <w:spacing w:after="0" w:line="252" w:lineRule="auto"/>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 which could harm our results of operations and financial condition.</w:t>
      </w:r>
    </w:p>
    <w:p>
      <w:pPr>
        <w:spacing w:after="0" w:line="175" w:lineRule="exact"/>
        <w:rPr>
          <w:sz w:val="20"/>
          <w:szCs w:val="20"/>
          <w:color w:val="auto"/>
        </w:rPr>
      </w:pPr>
    </w:p>
    <w:p>
      <w:pPr>
        <w:ind w:left="360" w:right="3119"/>
        <w:spacing w:after="0" w:line="253" w:lineRule="auto"/>
        <w:rPr>
          <w:sz w:val="20"/>
          <w:szCs w:val="20"/>
          <w:color w:val="auto"/>
        </w:rPr>
      </w:pPr>
      <w:r>
        <w:rPr>
          <w:rFonts w:ascii="Courier New" w:cs="Courier New" w:eastAsia="Courier New" w:hAnsi="Courier New"/>
          <w:sz w:val="15"/>
          <w:szCs w:val="15"/>
          <w:color w:val="auto"/>
        </w:rPr>
        <w:t>POLITICAL AND ECONOMIC CONDITIONS IN THE MIDDLE EAST MAY ADVERSELY AFFECT OUR BUSINESS.</w:t>
      </w:r>
    </w:p>
    <w:p>
      <w:pPr>
        <w:spacing w:after="0" w:line="174"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Of the five development centers we maintain worldwide, our largest development center is located in five different sites throughout Israel. Approximately half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50" w:right="1440" w:bottom="1440" w:gutter="0" w:footer="0" w:header="0"/>
        </w:sectPr>
      </w:pPr>
    </w:p>
    <w:bookmarkStart w:id="11" w:name="page12"/>
    <w:bookmarkEnd w:id="11"/>
    <w:p>
      <w:pPr>
        <w:ind w:right="2939"/>
        <w:spacing w:after="0" w:line="252" w:lineRule="auto"/>
        <w:rPr>
          <w:sz w:val="20"/>
          <w:szCs w:val="20"/>
          <w:color w:val="auto"/>
        </w:rPr>
      </w:pPr>
      <w:r>
        <w:rPr>
          <w:rFonts w:ascii="Courier New" w:cs="Courier New" w:eastAsia="Courier New" w:hAnsi="Courier New"/>
          <w:sz w:val="15"/>
          <w:szCs w:val="15"/>
          <w:color w:val="auto"/>
        </w:rPr>
        <w:t>outside of Israel. If we have to implement these plans, our operations would be disrupted and we would incur significant additional expenditures, which would adversely affect our business and results of operations.</w:t>
      </w:r>
    </w:p>
    <w:p>
      <w:pPr>
        <w:spacing w:after="0" w:line="175"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While Israel has entered into peace agreements with both Egypt and Jordan, Israel has not entered into peace arrangements with any other neighboring countries. Over the past three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182"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recently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352" w:lineRule="exact"/>
        <w:rPr>
          <w:sz w:val="20"/>
          <w:szCs w:val="20"/>
          <w:color w:val="auto"/>
        </w:rPr>
      </w:pPr>
    </w:p>
    <w:p>
      <w:pPr>
        <w:ind w:left="360" w:right="3019"/>
        <w:spacing w:after="0" w:line="253" w:lineRule="auto"/>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174"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A significant portion of our operating costs is incurred outside the United States.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182"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In addition, a portion of our revenue (approximately 20% in fiscal 2003 and 30% in the first quarter of fiscal 2004) is not earned in dollars or linked to the dollar, and, therefore, fluctuations in exchange rates between the currencies in which such revenue is earned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353"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76" w:lineRule="exact"/>
        <w:rPr>
          <w:sz w:val="20"/>
          <w:szCs w:val="20"/>
          <w:color w:val="auto"/>
        </w:rPr>
      </w:pPr>
    </w:p>
    <w:p>
      <w:pPr>
        <w:ind w:right="2939" w:firstLine="554"/>
        <w:spacing w:after="0" w:line="252"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50" w:right="1440" w:bottom="1440" w:gutter="0" w:footer="0" w:header="0"/>
        </w:sectPr>
      </w:pPr>
    </w:p>
    <w:bookmarkStart w:id="12" w:name="page13"/>
    <w:bookmarkEnd w:id="12"/>
    <w:p>
      <w:pPr>
        <w:ind w:right="3119"/>
        <w:spacing w:after="0" w:line="251" w:lineRule="auto"/>
        <w:rPr>
          <w:sz w:val="20"/>
          <w:szCs w:val="20"/>
          <w:color w:val="auto"/>
        </w:rPr>
      </w:pPr>
      <w:r>
        <w:rPr>
          <w:rFonts w:ascii="Courier New" w:cs="Courier New" w:eastAsia="Courier New" w:hAnsi="Courier New"/>
          <w:sz w:val="15"/>
          <w:szCs w:val="15"/>
          <w:color w:val="auto"/>
        </w:rPr>
        <w:t>or inhibit unauthorized use, but we generally enter into confidentiality agreements with our employees, consultants, subcontractors, customers and potential customers and limit access to, and distribution of, our proprietary information.</w:t>
      </w:r>
    </w:p>
    <w:p>
      <w:pPr>
        <w:spacing w:after="0" w:line="176"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75" w:lineRule="exact"/>
        <w:rPr>
          <w:sz w:val="20"/>
          <w:szCs w:val="20"/>
          <w:color w:val="auto"/>
        </w:rPr>
      </w:pPr>
    </w:p>
    <w:p>
      <w:pPr>
        <w:ind w:right="3019" w:firstLine="554"/>
        <w:spacing w:after="0" w:line="252"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protracted and expensive and could involve a high degree of risk.</w:t>
      </w:r>
    </w:p>
    <w:p>
      <w:pPr>
        <w:spacing w:after="0" w:line="175" w:lineRule="exact"/>
        <w:rPr>
          <w:sz w:val="20"/>
          <w:szCs w:val="20"/>
          <w:color w:val="auto"/>
        </w:rPr>
      </w:pPr>
    </w:p>
    <w:p>
      <w:pPr>
        <w:ind w:left="360" w:right="3119"/>
        <w:spacing w:after="0" w:line="253" w:lineRule="auto"/>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4"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183"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85"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6"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0" w:right="1440" w:bottom="1440" w:gutter="0" w:footer="0" w:header="0"/>
        </w:sectPr>
      </w:pPr>
    </w:p>
    <w:bookmarkStart w:id="13" w:name="page14"/>
    <w:bookmarkEnd w:id="13"/>
    <w:p>
      <w:pPr>
        <w:jc w:val="both"/>
        <w:ind w:left="360" w:right="3299"/>
        <w:spacing w:after="0" w:line="252" w:lineRule="auto"/>
        <w:rPr>
          <w:sz w:val="20"/>
          <w:szCs w:val="20"/>
          <w:color w:val="auto"/>
        </w:rPr>
      </w:pPr>
      <w:r>
        <w:rPr>
          <w:rFonts w:ascii="Courier New" w:cs="Courier New" w:eastAsia="Courier New" w:hAnsi="Courier New"/>
          <w:sz w:val="15"/>
          <w:szCs w:val="15"/>
          <w:color w:val="auto"/>
        </w:rPr>
        <w:t>SYSTEM DISRUPTIONS AND FAILURES MAY RESULT IN CUSTOMER DISSATISFACTION, CUSTOMER LOSS OR BOTH, WHICH COULD MATERIALLY AND ADVERSELY AFFECT OUR REPUTATION AND BUSINESS.</w:t>
      </w:r>
    </w:p>
    <w:p>
      <w:pPr>
        <w:spacing w:after="0" w:line="175" w:lineRule="exact"/>
        <w:rPr>
          <w:sz w:val="20"/>
          <w:szCs w:val="20"/>
          <w:color w:val="auto"/>
        </w:rPr>
      </w:pPr>
    </w:p>
    <w:p>
      <w:pPr>
        <w:ind w:right="3019" w:firstLine="554"/>
        <w:spacing w:after="0" w:line="251" w:lineRule="auto"/>
        <w:rPr>
          <w:sz w:val="20"/>
          <w:szCs w:val="20"/>
          <w:color w:val="auto"/>
        </w:rPr>
      </w:pPr>
      <w:r>
        <w:rPr>
          <w:rFonts w:ascii="Courier New" w:cs="Courier New" w:eastAsia="Courier New" w:hAnsi="Courier New"/>
          <w:sz w:val="15"/>
          <w:szCs w:val="15"/>
          <w:color w:val="auto"/>
        </w:rPr>
        <w:t>Our Integrated Customer Management systems are an integral part of our customers' business operations. The continued and uninterrupted performance of these systems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76"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Our Managed Services include a combination of services, such as system modernization and consolidation, management and operation of data centers, purchase and management of related hardware assets, billing operations and application support. 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182"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175" w:lineRule="exact"/>
        <w:rPr>
          <w:sz w:val="20"/>
          <w:szCs w:val="20"/>
          <w:color w:val="auto"/>
        </w:rPr>
      </w:pPr>
    </w:p>
    <w:p>
      <w:pPr>
        <w:ind w:left="360" w:right="2839"/>
        <w:spacing w:after="0" w:line="253" w:lineRule="auto"/>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174"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We have benefited or currently benefit from a variety of government programs and tax benefits, including programs and benefits in Israel, Cyprus and Ireland. Generally, these programs contain conditions that we must meet in order to be eligible to obtain any benefit.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76" w:lineRule="exact"/>
        <w:rPr>
          <w:sz w:val="20"/>
          <w:szCs w:val="20"/>
          <w:color w:val="auto"/>
        </w:rPr>
      </w:pPr>
    </w:p>
    <w:p>
      <w:pPr>
        <w:ind w:right="2839" w:firstLine="554"/>
        <w:spacing w:after="0" w:line="253" w:lineRule="auto"/>
        <w:rPr>
          <w:sz w:val="20"/>
          <w:szCs w:val="20"/>
          <w:color w:val="auto"/>
        </w:rPr>
      </w:pPr>
      <w:r>
        <w:rPr>
          <w:rFonts w:ascii="Courier New" w:cs="Courier New" w:eastAsia="Courier New" w:hAnsi="Courier New"/>
          <w:sz w:val="15"/>
          <w:szCs w:val="15"/>
          <w:color w:val="auto"/>
        </w:rPr>
        <w:t>Any of the following could have a material effect on our overall effective tax rate:</w:t>
      </w:r>
    </w:p>
    <w:p>
      <w:pPr>
        <w:spacing w:after="0" w:line="174" w:lineRule="exact"/>
        <w:rPr>
          <w:sz w:val="20"/>
          <w:szCs w:val="20"/>
          <w:color w:val="auto"/>
        </w:rPr>
      </w:pPr>
    </w:p>
    <w:p>
      <w:pPr>
        <w:ind w:left="1100" w:hanging="552"/>
        <w:spacing w:after="0"/>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84" w:lineRule="exact"/>
        <w:rPr>
          <w:rFonts w:ascii="Courier New" w:cs="Courier New" w:eastAsia="Courier New" w:hAnsi="Courier New"/>
          <w:sz w:val="15"/>
          <w:szCs w:val="15"/>
          <w:color w:val="auto"/>
        </w:rPr>
      </w:pPr>
    </w:p>
    <w:p>
      <w:pPr>
        <w:ind w:left="1100" w:right="2939" w:hanging="552"/>
        <w:spacing w:after="0" w:line="253" w:lineRule="auto"/>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4" w:lineRule="exact"/>
        <w:rPr>
          <w:rFonts w:ascii="Courier New" w:cs="Courier New" w:eastAsia="Courier New" w:hAnsi="Courier New"/>
          <w:sz w:val="15"/>
          <w:szCs w:val="15"/>
          <w:color w:val="auto"/>
        </w:rPr>
      </w:pPr>
    </w:p>
    <w:p>
      <w:pPr>
        <w:ind w:left="1100" w:right="2939" w:hanging="552"/>
        <w:spacing w:after="0" w:line="253" w:lineRule="auto"/>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w:t>
      </w:r>
    </w:p>
    <w:p>
      <w:pPr>
        <w:spacing w:after="0" w:line="174" w:lineRule="exact"/>
        <w:rPr>
          <w:rFonts w:ascii="Courier New" w:cs="Courier New" w:eastAsia="Courier New" w:hAnsi="Courier New"/>
          <w:sz w:val="15"/>
          <w:szCs w:val="15"/>
          <w:color w:val="auto"/>
        </w:rPr>
      </w:pPr>
    </w:p>
    <w:p>
      <w:pPr>
        <w:jc w:val="both"/>
        <w:ind w:left="1100" w:right="3019" w:hanging="552"/>
        <w:spacing w:after="0" w:line="252" w:lineRule="auto"/>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w:t>
      </w:r>
    </w:p>
    <w:p>
      <w:pPr>
        <w:spacing w:after="0" w:line="174" w:lineRule="exact"/>
        <w:rPr>
          <w:rFonts w:ascii="Courier New" w:cs="Courier New" w:eastAsia="Courier New" w:hAnsi="Courier New"/>
          <w:sz w:val="15"/>
          <w:szCs w:val="15"/>
          <w:color w:val="auto"/>
        </w:rPr>
      </w:pPr>
    </w:p>
    <w:p>
      <w:pPr>
        <w:ind w:left="1100" w:right="3019" w:hanging="552"/>
        <w:spacing w:after="0" w:line="253" w:lineRule="auto"/>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required to refund previously recognized tax benefits if we are found to be in violation of the stipulated conditions.</w:t>
      </w:r>
    </w:p>
    <w:p>
      <w:pPr>
        <w:spacing w:after="0" w:line="174" w:lineRule="exact"/>
        <w:rPr>
          <w:sz w:val="20"/>
          <w:szCs w:val="20"/>
          <w:color w:val="auto"/>
        </w:rPr>
      </w:pPr>
    </w:p>
    <w:p>
      <w:pPr>
        <w:ind w:left="360" w:right="2939"/>
        <w:spacing w:after="0" w:line="252" w:lineRule="auto"/>
        <w:rPr>
          <w:sz w:val="20"/>
          <w:szCs w:val="20"/>
          <w:color w:val="auto"/>
        </w:rPr>
      </w:pPr>
      <w:r>
        <w:rPr>
          <w:rFonts w:ascii="Courier New" w:cs="Courier New" w:eastAsia="Courier New" w:hAnsi="Courier New"/>
          <w:sz w:val="15"/>
          <w:szCs w:val="15"/>
          <w:color w:val="auto"/>
        </w:rPr>
        <w:t>WE ARE CURRENTLY A PARTY TO SECURITIES LITIGATION CLASS ACTION LAWSUITS AND A SECURITIES EXCHANGE COMMISSION INVESTIGATION, WHICH COULD NEGATIVELY AFFECT OUR BUSINESS AND RESULTS OF OPERATIONS.</w:t>
      </w:r>
    </w:p>
    <w:p>
      <w:pPr>
        <w:spacing w:after="0" w:line="17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Beginning in June 2002, a number of complaints were filed by holders of our ordinary shares against Amdocs and certain of our officers and directors in the United States District Court for the Eastern District of Missouri and the Southern District of New York. The cases were transferred to and consolidated in the Eastern District of Missouri. The consolidated amended complaint filed in the action alleged that Amdocs and the individual defendants had made false or misleading statements about our</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50" w:right="1440" w:bottom="1440" w:gutter="0" w:footer="0" w:header="0"/>
        </w:sectPr>
      </w:pPr>
    </w:p>
    <w:bookmarkStart w:id="14" w:name="page15"/>
    <w:bookmarkEnd w:id="14"/>
    <w:p>
      <w:pPr>
        <w:ind w:right="2839"/>
        <w:spacing w:after="0" w:line="251" w:lineRule="auto"/>
        <w:rPr>
          <w:sz w:val="20"/>
          <w:szCs w:val="20"/>
          <w:color w:val="auto"/>
        </w:rPr>
      </w:pPr>
      <w:r>
        <w:rPr>
          <w:rFonts w:ascii="Courier New" w:cs="Courier New" w:eastAsia="Courier New" w:hAnsi="Courier New"/>
          <w:sz w:val="15"/>
          <w:szCs w:val="15"/>
          <w:color w:val="auto"/>
        </w:rPr>
        <w:t>business and future prospects during a putative class period between July 18, 2000 and June 20, 2002. On December 1, 2003, the court issued an order granting our motion to dismiss the securities class action lawsuits and directing that judgment be entered in favor of the defendants. On December 29, 2003, the lead plaintiffs appealed to the United States Court of Appeals for the Eighth Circuit from the final judgment entered on December 1, 2003. The litigation has been, and may continue to be, time-consuming and costly and could divert the attention of our management personnel. These lawsuits or any future lawsuits filed against us could harm our business.</w:t>
      </w:r>
    </w:p>
    <w:p>
      <w:pPr>
        <w:spacing w:after="0" w:line="175"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In addition, we have been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182" w:lineRule="exact"/>
        <w:rPr>
          <w:sz w:val="20"/>
          <w:szCs w:val="20"/>
          <w:color w:val="auto"/>
        </w:rPr>
      </w:pPr>
    </w:p>
    <w:p>
      <w:pPr>
        <w:jc w:val="both"/>
        <w:ind w:left="360" w:right="2839"/>
        <w:spacing w:after="0" w:line="253" w:lineRule="auto"/>
        <w:rPr>
          <w:sz w:val="20"/>
          <w:szCs w:val="20"/>
          <w:color w:val="auto"/>
        </w:rPr>
      </w:pPr>
      <w:r>
        <w:rPr>
          <w:rFonts w:ascii="Courier New" w:cs="Courier New" w:eastAsia="Courier New" w:hAnsi="Courier New"/>
          <w:sz w:val="15"/>
          <w:szCs w:val="15"/>
          <w:color w:val="auto"/>
        </w:rPr>
        <w:t>IT MAY BE DIFFICULT FOR OUR SHAREHOLDERS TO ENFORCE ANY JUDGMENT OBTAINED IN THE UNITED STATES AGAINST US, THE SELLING SECURITYHOLDERS OR OUR AFFILIATES.</w:t>
      </w:r>
    </w:p>
    <w:p>
      <w:pPr>
        <w:spacing w:after="0" w:line="174"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many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CAPITAL STRUCTURE</w:t>
      </w:r>
    </w:p>
    <w:p>
      <w:pPr>
        <w:spacing w:after="0" w:line="185" w:lineRule="exact"/>
        <w:rPr>
          <w:sz w:val="20"/>
          <w:szCs w:val="20"/>
          <w:color w:val="auto"/>
        </w:rPr>
      </w:pPr>
    </w:p>
    <w:p>
      <w:pPr>
        <w:ind w:left="360" w:right="3119"/>
        <w:spacing w:after="0" w:line="253" w:lineRule="auto"/>
        <w:rPr>
          <w:sz w:val="20"/>
          <w:szCs w:val="20"/>
          <w:color w:val="auto"/>
        </w:rPr>
      </w:pPr>
      <w:r>
        <w:rPr>
          <w:rFonts w:ascii="Courier New" w:cs="Courier New" w:eastAsia="Courier New" w:hAnsi="Courier New"/>
          <w:sz w:val="15"/>
          <w:szCs w:val="15"/>
          <w:color w:val="auto"/>
        </w:rPr>
        <w:t>THE MARKET PRICE OF OUR ORDINARY SHARES HAS AND MAY CONTINUE TO FLUCTUATE WIDELY.</w:t>
      </w:r>
    </w:p>
    <w:p>
      <w:pPr>
        <w:spacing w:after="0" w:line="174"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During fiscal year 2003, our ordinary shares traded as high as $27.25 per share and as low as $5.85 per share. Our ordinary shares traded as high as $39.25 per share and as low as $6.10 per share in fiscal 2002 and as high as $80.50 per share and as low as $25.85 per share in fiscal 2001. As of June 4, 2004, the closing price of our ordinary shares was $24.59 per share. Many factors could cause the market price of our ordinary shares to rise and fall, including:</w:t>
      </w:r>
    </w:p>
    <w:p>
      <w:pPr>
        <w:spacing w:after="0" w:line="353" w:lineRule="exact"/>
        <w:rPr>
          <w:sz w:val="20"/>
          <w:szCs w:val="20"/>
          <w:color w:val="auto"/>
        </w:rPr>
      </w:pPr>
    </w:p>
    <w:p>
      <w:pPr>
        <w:ind w:left="1100" w:hanging="552"/>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by us or our competitors,</w:t>
      </w:r>
    </w:p>
    <w:p>
      <w:pPr>
        <w:spacing w:after="0" w:line="184" w:lineRule="exact"/>
        <w:rPr>
          <w:rFonts w:ascii="Courier New" w:cs="Courier New" w:eastAsia="Courier New" w:hAnsi="Courier New"/>
          <w:sz w:val="15"/>
          <w:szCs w:val="15"/>
          <w:color w:val="auto"/>
        </w:rPr>
      </w:pPr>
    </w:p>
    <w:p>
      <w:pPr>
        <w:ind w:left="1100" w:right="3019" w:hanging="552"/>
        <w:spacing w:after="0" w:line="253" w:lineRule="auto"/>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introductions of new products or new pricing policies by us or our competitors,</w:t>
      </w:r>
    </w:p>
    <w:p>
      <w:pPr>
        <w:spacing w:after="0" w:line="17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communications or software industries,</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84" w:lineRule="exact"/>
        <w:rPr>
          <w:rFonts w:ascii="Courier New" w:cs="Courier New" w:eastAsia="Courier New" w:hAnsi="Courier New"/>
          <w:sz w:val="15"/>
          <w:szCs w:val="15"/>
          <w:color w:val="auto"/>
        </w:rPr>
      </w:pPr>
    </w:p>
    <w:p>
      <w:pPr>
        <w:ind w:left="1100" w:right="3479" w:hanging="552"/>
        <w:spacing w:after="0" w:line="253" w:lineRule="auto"/>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7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developments in the Middle East.</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50" w:right="1440" w:bottom="1440" w:gutter="0" w:footer="0" w:header="0"/>
        </w:sectPr>
      </w:pPr>
    </w:p>
    <w:bookmarkStart w:id="15" w:name="page16"/>
    <w:bookmarkEnd w:id="15"/>
    <w:p>
      <w:pPr>
        <w:ind w:right="2839" w:firstLine="554"/>
        <w:spacing w:after="0" w:line="251" w:lineRule="auto"/>
        <w:rPr>
          <w:sz w:val="20"/>
          <w:szCs w:val="20"/>
          <w:color w:val="auto"/>
        </w:rPr>
      </w:pPr>
      <w:r>
        <w:rPr>
          <w:rFonts w:ascii="Courier New" w:cs="Courier New" w:eastAsia="Courier New" w:hAnsi="Courier New"/>
          <w:sz w:val="15"/>
          <w:szCs w:val="15"/>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50" w:right="1440" w:bottom="1440" w:gutter="0" w:footer="0" w:header="0"/>
        </w:sectPr>
      </w:pPr>
    </w:p>
    <w:bookmarkStart w:id="16" w:name="page17"/>
    <w:bookmarkEnd w:id="16"/>
    <w:p>
      <w:pPr>
        <w:ind w:left="1380"/>
        <w:spacing w:after="0"/>
        <w:rPr>
          <w:sz w:val="20"/>
          <w:szCs w:val="20"/>
          <w:color w:val="auto"/>
        </w:rPr>
      </w:pPr>
      <w:r>
        <w:rPr>
          <w:rFonts w:ascii="Courier New" w:cs="Courier New" w:eastAsia="Courier New" w:hAnsi="Courier New"/>
          <w:sz w:val="15"/>
          <w:szCs w:val="15"/>
          <w:color w:val="auto"/>
        </w:rPr>
        <w:t>SPECIAL NOTE REGARDING FORWARD-LOOKING INFORMATION</w:t>
      </w:r>
    </w:p>
    <w:p>
      <w:pPr>
        <w:spacing w:after="0" w:line="185" w:lineRule="exact"/>
        <w:rPr>
          <w:sz w:val="20"/>
          <w:szCs w:val="20"/>
          <w:color w:val="auto"/>
        </w:rPr>
      </w:pPr>
    </w:p>
    <w:p>
      <w:pPr>
        <w:ind w:right="3299" w:firstLine="554"/>
        <w:spacing w:after="0" w:line="250" w:lineRule="auto"/>
        <w:rPr>
          <w:sz w:val="20"/>
          <w:szCs w:val="20"/>
          <w:color w:val="auto"/>
        </w:rPr>
      </w:pPr>
      <w:r>
        <w:rPr>
          <w:rFonts w:ascii="Courier New" w:cs="Courier New" w:eastAsia="Courier New" w:hAnsi="Courier New"/>
          <w:sz w:val="15"/>
          <w:szCs w:val="15"/>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w:t>
      </w:r>
    </w:p>
    <w:p>
      <w:pPr>
        <w:spacing w:after="0" w:line="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"anticipate," "believe," "seek," "estimate," "project," "forecast," "continue," "potential," "should," "would," "could" and "may," and other words that convey uncertainty of future events or outcome. Statements regarding our future business and/or results, including, without limitation, the statements under the captions "Summary" and "Risk Factors,"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84" w:lineRule="exact"/>
        <w:rPr>
          <w:sz w:val="20"/>
          <w:szCs w:val="20"/>
          <w:color w:val="auto"/>
        </w:rPr>
      </w:pPr>
    </w:p>
    <w:p>
      <w:pPr>
        <w:ind w:right="3019" w:firstLine="554"/>
        <w:spacing w:after="0" w:line="250" w:lineRule="auto"/>
        <w:rPr>
          <w:sz w:val="20"/>
          <w:szCs w:val="20"/>
          <w:color w:val="auto"/>
        </w:rPr>
      </w:pPr>
      <w:r>
        <w:rPr>
          <w:rFonts w:ascii="Courier New" w:cs="Courier New" w:eastAsia="Courier New" w:hAnsi="Courier New"/>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50" w:right="1440" w:bottom="1440" w:gutter="0" w:footer="0" w:header="0"/>
        </w:sectPr>
      </w:pPr>
    </w:p>
    <w:bookmarkStart w:id="17" w:name="page18"/>
    <w:bookmarkEnd w:id="17"/>
    <w:p>
      <w:pPr>
        <w:jc w:val="center"/>
        <w:ind w:right="2759"/>
        <w:spacing w:after="0"/>
        <w:rPr>
          <w:sz w:val="20"/>
          <w:szCs w:val="20"/>
          <w:color w:val="auto"/>
        </w:rPr>
      </w:pPr>
      <w:r>
        <w:rPr>
          <w:rFonts w:ascii="Courier New" w:cs="Courier New" w:eastAsia="Courier New" w:hAnsi="Courier New"/>
          <w:sz w:val="15"/>
          <w:szCs w:val="15"/>
          <w:color w:val="auto"/>
        </w:rPr>
        <w:t>OFFERING STATISTICS AND TIMETABLE</w:t>
      </w:r>
    </w:p>
    <w:p>
      <w:pPr>
        <w:spacing w:after="0" w:line="185"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The 560,777 ordinary shares being offered hereby are being sold by the selling securityholders listed under the caption "Selling Securityholders" beginning on page 20. The offer will be open until the earliest to occur of (1) the date on which all of the ordinary shares being offered hereby have been sold pursuant to the Registration Statement of which this prospectus constitutes a part or pursuant to Rule 144 under the Securities Act of 1933, as amended, which we refer to as to the Securities Act, (2) the date on which all of the shares being offered hereby can be sold without registration without regard to the volume restrictions of Rule 144 under the Securities Act and (3) February 19, 2006.</w:t>
      </w:r>
    </w:p>
    <w:p>
      <w:pPr>
        <w:spacing w:after="0" w:line="18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REASONS FOR THE OFFER AND USE OF PROCEEDS</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This prospectus relates to the resale from time to time of up to 560,777 ordinary shares previously issued by us to former shareholders of XACCT in connection with our acquisition of that company. We acquired XACCT's outstanding shares for approximately $28.4 million, of which approximately $13.3 million was paid in cash, with the balance paid in 560,777 of our ordinary shares. The shares were issued in a private placement pursuant to exemptions from registration provided by Section 4(2) and Regulation S under the Securities Act. We will not receive any proceeds from the sale of ordinary shares by the selling securityholders.</w:t>
      </w:r>
    </w:p>
    <w:p>
      <w:pPr>
        <w:spacing w:after="0" w:line="17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DIVIDEND POLICY</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17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MATERIAL CHANGES</w:t>
      </w:r>
    </w:p>
    <w:p>
      <w:pPr>
        <w:spacing w:after="0" w:line="18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On March 5, 2004, we sold $450.0 million aggregate principal amount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0.50% Convertible Senior Notes due 2024, referred to herein as the 0.50%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a private placement to qualified institutional buyers pursuant to Rule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144A under the Securities Act. We granted the initial purchasers of the 0.50%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an option to purchase up to an additional $67.5 million to cover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over-allotments, which will expire on April 1, 2004 if not exercised. We used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$170.1 million of the net proceeds from the sale of the 0.50%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repurchase approximately 6.1 million of ordinary shares sold short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purchasers of the 0.50% Notes in negotiated transactions concurrently with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 We intend to use the balance of the net proceeds for general corporate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purposes, including working capital and capital expenditures, as well as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possible strategic opportunities, including acquisitions. We also used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proceeds and other cash resources to repurchase approximately $395.1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aggregate principal amount of our 2% Notes through a cash tender offer that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announced on May 3, 2004 and which expired on June 1, 2004. The untendered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$344,000 principal amount of 2% Notes remain as obligations of the Company, due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 2008, in accordance with their terms.</w:t>
      </w:r>
    </w:p>
    <w:p>
      <w:pPr>
        <w:spacing w:after="0" w:line="185" w:lineRule="exact"/>
        <w:rPr>
          <w:sz w:val="20"/>
          <w:szCs w:val="20"/>
          <w:color w:val="auto"/>
        </w:rPr>
      </w:pPr>
    </w:p>
    <w:p>
      <w:pPr>
        <w:ind w:right="3119" w:firstLine="554"/>
        <w:spacing w:after="0" w:line="251" w:lineRule="auto"/>
        <w:rPr>
          <w:sz w:val="20"/>
          <w:szCs w:val="20"/>
          <w:color w:val="auto"/>
        </w:rPr>
      </w:pPr>
      <w:r>
        <w:rPr>
          <w:rFonts w:ascii="Courier New" w:cs="Courier New" w:eastAsia="Courier New" w:hAnsi="Courier New"/>
          <w:sz w:val="15"/>
          <w:szCs w:val="15"/>
          <w:color w:val="auto"/>
        </w:rPr>
        <w:t>In connection with the sale of the 0.50% Notes, we entered into an Indenture, dated as of March 5, 2004, by and between us and The Bank of New York, as Trustee, and a Registration Rights Agreement, dated as of March 5, 2004, with the initial purchasers of the 0.50% Notes, pursuant to which we agreed to file a registration statement on Form F-3 with respect to the 0.50% Notes and the ordinary shares issuable upon conversion of the 0.50% Notes. We filed three reports on Form 6-K with respect to the 0.50%</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50" w:right="1440" w:bottom="1440" w:gutter="0" w:footer="0" w:header="0"/>
        </w:sectPr>
      </w:pPr>
    </w:p>
    <w:bookmarkStart w:id="18" w:name="page19"/>
    <w:bookmarkEnd w:id="18"/>
    <w:p>
      <w:pPr>
        <w:ind w:right="3299"/>
        <w:spacing w:after="0" w:line="253" w:lineRule="auto"/>
        <w:rPr>
          <w:sz w:val="20"/>
          <w:szCs w:val="20"/>
          <w:color w:val="auto"/>
        </w:rPr>
      </w:pPr>
      <w:r>
        <w:rPr>
          <w:rFonts w:ascii="Courier New" w:cs="Courier New" w:eastAsia="Courier New" w:hAnsi="Courier New"/>
          <w:sz w:val="15"/>
          <w:szCs w:val="15"/>
          <w:color w:val="auto"/>
        </w:rPr>
        <w:t>Notes, on each of March 1, March 2 and March 5, 2004. See "Incorporation of Documents by Reference" and "Where You Can Find More Information."</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50" w:right="1440" w:bottom="1440" w:gutter="0" w:footer="0" w:header="0"/>
        </w:sectPr>
      </w:pPr>
    </w:p>
    <w:bookmarkStart w:id="19" w:name="page20"/>
    <w:bookmarkEnd w:id="19"/>
    <w:p>
      <w:pPr>
        <w:ind w:left="2760"/>
        <w:spacing w:after="0"/>
        <w:rPr>
          <w:sz w:val="20"/>
          <w:szCs w:val="20"/>
          <w:color w:val="auto"/>
        </w:rPr>
      </w:pPr>
      <w:r>
        <w:rPr>
          <w:rFonts w:ascii="Courier New" w:cs="Courier New" w:eastAsia="Courier New" w:hAnsi="Courier New"/>
          <w:sz w:val="15"/>
          <w:szCs w:val="15"/>
          <w:color w:val="auto"/>
        </w:rPr>
        <w:t>THE OFFER AND LISTING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w:t>
      </w:r>
    </w:p>
    <w:p>
      <w:pPr>
        <w:spacing w:after="0" w:line="185" w:lineRule="exact"/>
        <w:rPr>
          <w:sz w:val="20"/>
          <w:szCs w:val="20"/>
          <w:color w:val="auto"/>
        </w:rPr>
      </w:pPr>
    </w:p>
    <w:p>
      <w:pPr>
        <w:ind w:right="2839" w:firstLine="554"/>
        <w:spacing w:after="0" w:line="252" w:lineRule="auto"/>
        <w:rPr>
          <w:sz w:val="20"/>
          <w:szCs w:val="20"/>
          <w:color w:val="auto"/>
        </w:rPr>
      </w:pPr>
      <w:r>
        <w:rPr>
          <w:rFonts w:ascii="Courier New" w:cs="Courier New" w:eastAsia="Courier New" w:hAnsi="Courier New"/>
          <w:sz w:val="15"/>
          <w:szCs w:val="15"/>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HIGH</w:t>
            </w:r>
          </w:p>
        </w:tc>
        <w:tc>
          <w:tcPr>
            <w:tcW w:w="280" w:type="dxa"/>
            <w:vAlign w:val="bottom"/>
          </w:tcPr>
          <w:p>
            <w:pPr>
              <w:spacing w:after="0"/>
              <w:rPr>
                <w:sz w:val="14"/>
                <w:szCs w:val="14"/>
                <w:color w:val="auto"/>
              </w:rPr>
            </w:pP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LOW</w:t>
            </w:r>
          </w:p>
        </w:tc>
      </w:tr>
      <w:tr>
        <w:trPr>
          <w:trHeight w:val="177"/>
        </w:trPr>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480" w:type="dxa"/>
            <w:vAlign w:val="bottom"/>
          </w:tcPr>
          <w:p>
            <w:pPr>
              <w:spacing w:after="0"/>
              <w:rPr>
                <w:sz w:val="20"/>
                <w:szCs w:val="20"/>
                <w:color w:val="auto"/>
              </w:rPr>
            </w:pPr>
            <w:r>
              <w:rPr>
                <w:rFonts w:ascii="Courier New" w:cs="Courier New" w:eastAsia="Courier New" w:hAnsi="Courier New"/>
                <w:sz w:val="15"/>
                <w:szCs w:val="15"/>
                <w:color w:val="auto"/>
              </w:rPr>
              <w:t>FISCAL YEAR ENDED SEPTEMBER 30,</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1999 .....................................................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8.75</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2000 .....................................................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96.00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19.81</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2001 .....................................................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80.50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25.85</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2002 .....................................................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39.25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6.10</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2003 .....................................................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5.85</w:t>
            </w:r>
          </w:p>
        </w:tc>
      </w:tr>
      <w:tr>
        <w:trPr>
          <w:trHeight w:val="355"/>
        </w:trPr>
        <w:tc>
          <w:tcPr>
            <w:tcW w:w="548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7"/>
        </w:trPr>
        <w:tc>
          <w:tcPr>
            <w:tcW w:w="5480" w:type="dxa"/>
            <w:vAlign w:val="bottom"/>
          </w:tcPr>
          <w:p>
            <w:pPr>
              <w:spacing w:after="0"/>
              <w:rPr>
                <w:sz w:val="20"/>
                <w:szCs w:val="20"/>
                <w:color w:val="auto"/>
              </w:rPr>
            </w:pPr>
            <w:r>
              <w:rPr>
                <w:rFonts w:ascii="Courier New" w:cs="Courier New" w:eastAsia="Courier New" w:hAnsi="Courier New"/>
                <w:sz w:val="15"/>
                <w:szCs w:val="15"/>
                <w:color w:val="auto"/>
              </w:rPr>
              <w:t>Fiscal 2002:</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First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35.90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24.00</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Second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39.25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23.60</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Third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26.27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6.62</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Fourth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9.65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6.10</w:t>
            </w:r>
          </w:p>
        </w:tc>
      </w:tr>
      <w:tr>
        <w:trPr>
          <w:trHeight w:val="355"/>
        </w:trPr>
        <w:tc>
          <w:tcPr>
            <w:tcW w:w="5480" w:type="dxa"/>
            <w:vAlign w:val="bottom"/>
          </w:tcPr>
          <w:p>
            <w:pPr>
              <w:spacing w:after="0"/>
              <w:rPr>
                <w:sz w:val="20"/>
                <w:szCs w:val="20"/>
                <w:color w:val="auto"/>
              </w:rPr>
            </w:pPr>
            <w:r>
              <w:rPr>
                <w:rFonts w:ascii="Courier New" w:cs="Courier New" w:eastAsia="Courier New" w:hAnsi="Courier New"/>
                <w:sz w:val="15"/>
                <w:szCs w:val="15"/>
                <w:color w:val="auto"/>
              </w:rPr>
              <w:t>Fiscal 2003:</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First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11.98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5.85</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Second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13.95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9.86</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Third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25.01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13.25</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Fourth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18.55</w:t>
            </w:r>
          </w:p>
        </w:tc>
      </w:tr>
      <w:tr>
        <w:trPr>
          <w:trHeight w:val="355"/>
        </w:trPr>
        <w:tc>
          <w:tcPr>
            <w:tcW w:w="5480" w:type="dxa"/>
            <w:vAlign w:val="bottom"/>
          </w:tcPr>
          <w:p>
            <w:pPr>
              <w:spacing w:after="0"/>
              <w:rPr>
                <w:sz w:val="20"/>
                <w:szCs w:val="20"/>
                <w:color w:val="auto"/>
              </w:rPr>
            </w:pPr>
            <w:r>
              <w:rPr>
                <w:rFonts w:ascii="Courier New" w:cs="Courier New" w:eastAsia="Courier New" w:hAnsi="Courier New"/>
                <w:sz w:val="15"/>
                <w:szCs w:val="15"/>
                <w:color w:val="auto"/>
              </w:rPr>
              <w:t>Fiscal 2004:</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First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27.10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18.90</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Second Quarter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29.74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22.17</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Third Quarter (through June 4, 2004)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30.69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23.62</w:t>
            </w:r>
          </w:p>
        </w:tc>
      </w:tr>
      <w:tr>
        <w:trPr>
          <w:trHeight w:val="355"/>
        </w:trPr>
        <w:tc>
          <w:tcPr>
            <w:tcW w:w="548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Most Recent Six Months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55"/>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December, 2003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27.10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20.00</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January, 2004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29.74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22.17</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February, 2004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29.45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26.42</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March, 2004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29.20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25.77</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April, 2004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30.69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26.50</w:t>
            </w:r>
          </w:p>
        </w:tc>
      </w:tr>
      <w:tr>
        <w:trPr>
          <w:trHeight w:val="177"/>
        </w:trPr>
        <w:tc>
          <w:tcPr>
            <w:tcW w:w="5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May, 2004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28.67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w w:val="97"/>
              </w:rPr>
              <w:t>23.62</w:t>
            </w:r>
          </w:p>
        </w:tc>
      </w:tr>
    </w:tbl>
    <w:p>
      <w:pPr>
        <w:spacing w:after="0" w:line="360" w:lineRule="exact"/>
        <w:rPr>
          <w:sz w:val="20"/>
          <w:szCs w:val="20"/>
          <w:color w:val="auto"/>
        </w:rPr>
      </w:pPr>
    </w:p>
    <w:p>
      <w:pPr>
        <w:ind w:right="3119" w:firstLine="554"/>
        <w:spacing w:after="0" w:line="251" w:lineRule="auto"/>
        <w:rPr>
          <w:sz w:val="20"/>
          <w:szCs w:val="20"/>
          <w:color w:val="auto"/>
        </w:rPr>
      </w:pPr>
      <w:r>
        <w:rPr>
          <w:rFonts w:ascii="Courier New" w:cs="Courier New" w:eastAsia="Courier New" w:hAnsi="Courier New"/>
          <w:sz w:val="15"/>
          <w:szCs w:val="15"/>
          <w:color w:val="auto"/>
        </w:rPr>
        <w:t>As of May 31, 2004, we had 206,124,803 ordinary shares outstanding and there were approximately 239 holders of record of our ordinary shares. This figure does not reflect persons or entities who hold their ordinary shares in nominee or "street" name through various brokerage firms.</w:t>
      </w:r>
    </w:p>
    <w:p>
      <w:pPr>
        <w:spacing w:after="0" w:line="176" w:lineRule="exact"/>
        <w:rPr>
          <w:sz w:val="20"/>
          <w:szCs w:val="20"/>
          <w:color w:val="auto"/>
        </w:rPr>
      </w:pPr>
    </w:p>
    <w:p>
      <w:pPr>
        <w:ind w:right="3119" w:firstLine="554"/>
        <w:spacing w:after="0" w:line="253" w:lineRule="auto"/>
        <w:rPr>
          <w:sz w:val="20"/>
          <w:szCs w:val="20"/>
          <w:color w:val="auto"/>
        </w:rPr>
      </w:pPr>
      <w:r>
        <w:rPr>
          <w:rFonts w:ascii="Courier New" w:cs="Courier New" w:eastAsia="Courier New" w:hAnsi="Courier New"/>
          <w:sz w:val="15"/>
          <w:szCs w:val="15"/>
          <w:color w:val="auto"/>
        </w:rPr>
        <w:t>On June 4, 2004, the last reported sale price of our ordinary shares on the NYSE was $24.59.</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828"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EXPENSES OF THE ISSUE</w:t>
      </w:r>
    </w:p>
    <w:p>
      <w:pPr>
        <w:spacing w:after="0" w:line="185" w:lineRule="exact"/>
        <w:rPr>
          <w:sz w:val="20"/>
          <w:szCs w:val="20"/>
          <w:color w:val="auto"/>
        </w:rPr>
      </w:pPr>
    </w:p>
    <w:p>
      <w:pPr>
        <w:ind w:right="2939" w:firstLine="554"/>
        <w:spacing w:after="0" w:line="250" w:lineRule="auto"/>
        <w:rPr>
          <w:sz w:val="20"/>
          <w:szCs w:val="20"/>
          <w:color w:val="auto"/>
        </w:rPr>
      </w:pPr>
      <w:r>
        <w:rPr>
          <w:rFonts w:ascii="Courier New" w:cs="Courier New" w:eastAsia="Courier New" w:hAnsi="Courier New"/>
          <w:sz w:val="15"/>
          <w:szCs w:val="15"/>
          <w:color w:val="auto"/>
        </w:rPr>
        <w:t>The selling securityholders will pay any underwriting discounts and commissions and expenses incurred by them for brokerage, accounting, tax or legal services (other than the reasonable fees, costs and expenses of one counsel for the selling securityholders up to an aggregate of $10,000)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Filing Fee - Securities and Exchange Commission ...............</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1,885</w:t>
            </w:r>
          </w:p>
        </w:tc>
      </w:tr>
      <w:tr>
        <w:trPr>
          <w:trHeight w:val="177"/>
        </w:trPr>
        <w:tc>
          <w:tcPr>
            <w:tcW w:w="59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Legal fees and expenses........................................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$ 25,000</w:t>
            </w:r>
          </w:p>
        </w:tc>
      </w:tr>
      <w:tr>
        <w:trPr>
          <w:trHeight w:val="177"/>
        </w:trPr>
        <w:tc>
          <w:tcPr>
            <w:tcW w:w="59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Registrar and Transfer agent fees and expenses.................</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7"/>
        </w:trPr>
        <w:tc>
          <w:tcPr>
            <w:tcW w:w="59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Accounting fees and expenses...................................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$ 20,000</w:t>
            </w:r>
          </w:p>
        </w:tc>
      </w:tr>
      <w:tr>
        <w:trPr>
          <w:trHeight w:val="177"/>
        </w:trPr>
        <w:tc>
          <w:tcPr>
            <w:tcW w:w="59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Printing, EDGAR formatting and mailing expenses................</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7"/>
        </w:trPr>
        <w:tc>
          <w:tcPr>
            <w:tcW w:w="59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Miscellaneous expenses.........................................</w:t>
            </w:r>
          </w:p>
        </w:tc>
        <w:tc>
          <w:tcPr>
            <w:tcW w:w="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7"/>
        </w:trPr>
        <w:tc>
          <w:tcPr>
            <w:tcW w:w="59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9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Total Expenses.......................................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$ 63,385</w:t>
            </w:r>
          </w:p>
        </w:tc>
      </w:tr>
      <w:tr>
        <w:trPr>
          <w:trHeight w:val="177"/>
        </w:trPr>
        <w:tc>
          <w:tcPr>
            <w:tcW w:w="59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32"/>
        </w:trPr>
        <w:tc>
          <w:tcPr>
            <w:tcW w:w="5940" w:type="dxa"/>
            <w:vAlign w:val="bottom"/>
          </w:tcPr>
          <w:p>
            <w:pPr>
              <w:jc w:val="right"/>
              <w:ind w:right="2083"/>
              <w:spacing w:after="0"/>
              <w:rPr>
                <w:sz w:val="20"/>
                <w:szCs w:val="20"/>
                <w:color w:val="auto"/>
              </w:rPr>
            </w:pPr>
            <w:r>
              <w:rPr>
                <w:rFonts w:ascii="Courier New" w:cs="Courier New" w:eastAsia="Courier New" w:hAnsi="Courier New"/>
                <w:sz w:val="15"/>
                <w:szCs w:val="15"/>
                <w:color w:val="auto"/>
              </w:rPr>
              <w:t>18</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21" w:name="page22"/>
    <w:bookmarkEnd w:id="21"/>
    <w:p>
      <w:pPr>
        <w:ind w:left="3045"/>
        <w:spacing w:after="0"/>
        <w:rPr>
          <w:sz w:val="20"/>
          <w:szCs w:val="20"/>
          <w:color w:val="auto"/>
        </w:rPr>
      </w:pPr>
      <w:r>
        <w:rPr>
          <w:rFonts w:ascii="Courier New" w:cs="Courier New" w:eastAsia="Courier New" w:hAnsi="Courier New"/>
          <w:sz w:val="15"/>
          <w:szCs w:val="15"/>
          <w:color w:val="auto"/>
        </w:rPr>
        <w:t>CAPITALIZATION</w:t>
      </w:r>
    </w:p>
    <w:p>
      <w:pPr>
        <w:spacing w:after="0" w:line="185" w:lineRule="exact"/>
        <w:rPr>
          <w:sz w:val="20"/>
          <w:szCs w:val="20"/>
          <w:color w:val="auto"/>
        </w:rPr>
      </w:pPr>
    </w:p>
    <w:p>
      <w:pPr>
        <w:ind w:left="545"/>
        <w:spacing w:after="0"/>
        <w:rPr>
          <w:sz w:val="20"/>
          <w:szCs w:val="20"/>
          <w:color w:val="auto"/>
        </w:rPr>
      </w:pPr>
      <w:r>
        <w:rPr>
          <w:rFonts w:ascii="Courier New" w:cs="Courier New" w:eastAsia="Courier New" w:hAnsi="Courier New"/>
          <w:sz w:val="15"/>
          <w:szCs w:val="15"/>
          <w:color w:val="auto"/>
        </w:rPr>
        <w:t>The following table sets forth:</w:t>
      </w:r>
    </w:p>
    <w:p>
      <w:pPr>
        <w:spacing w:after="0" w:line="185" w:lineRule="exact"/>
        <w:rPr>
          <w:sz w:val="20"/>
          <w:szCs w:val="20"/>
          <w:color w:val="auto"/>
        </w:rPr>
      </w:pPr>
    </w:p>
    <w:p>
      <w:pPr>
        <w:ind w:left="1105" w:right="2939" w:hanging="552"/>
        <w:spacing w:after="0" w:line="253" w:lineRule="auto"/>
        <w:tabs>
          <w:tab w:leader="none" w:pos="110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unaudited actual consolidated capitalization as of December 31, 2003; and</w:t>
      </w:r>
    </w:p>
    <w:p>
      <w:pPr>
        <w:spacing w:after="0" w:line="174" w:lineRule="exact"/>
        <w:rPr>
          <w:rFonts w:ascii="Courier New" w:cs="Courier New" w:eastAsia="Courier New" w:hAnsi="Courier New"/>
          <w:sz w:val="15"/>
          <w:szCs w:val="15"/>
          <w:color w:val="auto"/>
        </w:rPr>
      </w:pPr>
    </w:p>
    <w:p>
      <w:pPr>
        <w:ind w:left="1105" w:right="2839" w:hanging="552"/>
        <w:spacing w:after="0" w:line="251" w:lineRule="auto"/>
        <w:tabs>
          <w:tab w:leader="none" w:pos="110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consolidated capitalization as of December 31, 2003, as adjusted to give effect to the sale on March 5, 2004 of $450.0 million aggregate principal amount of the 0.50% Notes, and the application of approximately $170.1 million of the net proceeds from the sale of the 0.50% Notes to repurchase ordinary shares on March 5, 2004, as if the sale of the notes and the repurchase of the shares had occurred on December 31, 2003.</w:t>
      </w:r>
    </w:p>
    <w:p>
      <w:pPr>
        <w:spacing w:after="0" w:line="176"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0" w:lineRule="exact"/>
        <w:rPr>
          <w:sz w:val="20"/>
          <w:szCs w:val="20"/>
          <w:color w:val="auto"/>
        </w:rPr>
      </w:pPr>
    </w:p>
    <w:p>
      <w:pPr>
        <w:spacing w:after="0" w:line="331"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7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3"/>
          </w:tcPr>
          <w:p>
            <w:pPr>
              <w:jc w:val="right"/>
              <w:ind w:right="103"/>
              <w:spacing w:after="0"/>
              <w:rPr>
                <w:sz w:val="20"/>
                <w:szCs w:val="20"/>
                <w:color w:val="auto"/>
              </w:rPr>
            </w:pPr>
            <w:r>
              <w:rPr>
                <w:rFonts w:ascii="Courier New" w:cs="Courier New" w:eastAsia="Courier New" w:hAnsi="Courier New"/>
                <w:sz w:val="15"/>
                <w:szCs w:val="15"/>
                <w:color w:val="auto"/>
              </w:rPr>
              <w:t>AS OF DECEMBER 31, 2003</w:t>
            </w:r>
          </w:p>
        </w:tc>
      </w:tr>
      <w:tr>
        <w:trPr>
          <w:trHeight w:val="177"/>
        </w:trPr>
        <w:tc>
          <w:tcPr>
            <w:tcW w:w="7520" w:type="dxa"/>
            <w:vAlign w:val="bottom"/>
          </w:tcPr>
          <w:p>
            <w:pPr>
              <w:spacing w:after="0"/>
              <w:rPr>
                <w:sz w:val="15"/>
                <w:szCs w:val="15"/>
                <w:color w:val="auto"/>
              </w:rPr>
            </w:pPr>
          </w:p>
        </w:tc>
        <w:tc>
          <w:tcPr>
            <w:tcW w:w="2620" w:type="dxa"/>
            <w:vAlign w:val="bottom"/>
            <w:gridSpan w:val="4"/>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7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gridSpan w:val="3"/>
          </w:tcPr>
          <w:p>
            <w:pPr>
              <w:jc w:val="right"/>
              <w:ind w:right="743"/>
              <w:spacing w:after="0"/>
              <w:rPr>
                <w:sz w:val="20"/>
                <w:szCs w:val="20"/>
                <w:color w:val="auto"/>
              </w:rPr>
            </w:pPr>
            <w:r>
              <w:rPr>
                <w:rFonts w:ascii="Courier New" w:cs="Courier New" w:eastAsia="Courier New" w:hAnsi="Courier New"/>
                <w:sz w:val="15"/>
                <w:szCs w:val="15"/>
                <w:color w:val="auto"/>
              </w:rPr>
              <w:t>(UNAUDITED)</w:t>
            </w:r>
          </w:p>
        </w:tc>
      </w:tr>
      <w:tr>
        <w:trPr>
          <w:trHeight w:val="177"/>
        </w:trPr>
        <w:tc>
          <w:tcPr>
            <w:tcW w:w="7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gridSpan w:val="3"/>
          </w:tcPr>
          <w:p>
            <w:pPr>
              <w:jc w:val="right"/>
              <w:ind w:right="563"/>
              <w:spacing w:after="0"/>
              <w:rPr>
                <w:sz w:val="20"/>
                <w:szCs w:val="20"/>
                <w:color w:val="auto"/>
              </w:rPr>
            </w:pPr>
            <w:r>
              <w:rPr>
                <w:rFonts w:ascii="Courier New" w:cs="Courier New" w:eastAsia="Courier New" w:hAnsi="Courier New"/>
                <w:sz w:val="15"/>
                <w:szCs w:val="15"/>
                <w:color w:val="auto"/>
              </w:rPr>
              <w:t>(IN THOUSANDS)</w:t>
            </w:r>
          </w:p>
        </w:tc>
      </w:tr>
      <w:tr>
        <w:trPr>
          <w:trHeight w:val="177"/>
        </w:trPr>
        <w:tc>
          <w:tcPr>
            <w:tcW w:w="7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ACTUAL</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AS ADJUSTED</w:t>
            </w:r>
          </w:p>
        </w:tc>
      </w:tr>
      <w:tr>
        <w:trPr>
          <w:trHeight w:val="177"/>
        </w:trPr>
        <w:tc>
          <w:tcPr>
            <w:tcW w:w="7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7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Short-term portion of capital lease obligations ................................</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26,640</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26,640</w:t>
            </w:r>
          </w:p>
        </w:tc>
      </w:tr>
      <w:tr>
        <w:trPr>
          <w:trHeight w:val="177"/>
        </w:trPr>
        <w:tc>
          <w:tcPr>
            <w:tcW w:w="7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Capital lease obligations, less current portion ................................</w:t>
            </w:r>
          </w:p>
        </w:tc>
        <w:tc>
          <w:tcPr>
            <w:tcW w:w="32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18,142</w:t>
            </w:r>
          </w:p>
        </w:tc>
        <w:tc>
          <w:tcPr>
            <w:tcW w:w="28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18,142</w:t>
            </w:r>
          </w:p>
        </w:tc>
      </w:tr>
      <w:tr>
        <w:trPr>
          <w:trHeight w:val="177"/>
        </w:trPr>
        <w:tc>
          <w:tcPr>
            <w:tcW w:w="7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Short-term portion of financing arrangement ....................................</w:t>
            </w:r>
          </w:p>
        </w:tc>
        <w:tc>
          <w:tcPr>
            <w:tcW w:w="32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2,366</w:t>
            </w:r>
          </w:p>
        </w:tc>
        <w:tc>
          <w:tcPr>
            <w:tcW w:w="28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2,366</w:t>
            </w:r>
          </w:p>
        </w:tc>
      </w:tr>
      <w:tr>
        <w:trPr>
          <w:trHeight w:val="177"/>
        </w:trPr>
        <w:tc>
          <w:tcPr>
            <w:tcW w:w="7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 Convertible Notes due June 1, 2008 (1) ......................................</w:t>
            </w:r>
          </w:p>
        </w:tc>
        <w:tc>
          <w:tcPr>
            <w:tcW w:w="32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395,454</w:t>
            </w:r>
          </w:p>
        </w:tc>
        <w:tc>
          <w:tcPr>
            <w:tcW w:w="28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395,454</w:t>
            </w:r>
          </w:p>
        </w:tc>
      </w:tr>
      <w:tr>
        <w:trPr>
          <w:trHeight w:val="177"/>
        </w:trPr>
        <w:tc>
          <w:tcPr>
            <w:tcW w:w="7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0.50% Convertible Senior Notes due 2024 (1) ....................................</w:t>
            </w:r>
          </w:p>
        </w:tc>
        <w:tc>
          <w:tcPr>
            <w:tcW w:w="32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450,000</w:t>
            </w:r>
          </w:p>
        </w:tc>
      </w:tr>
      <w:tr>
        <w:trPr>
          <w:trHeight w:val="177"/>
        </w:trPr>
        <w:tc>
          <w:tcPr>
            <w:tcW w:w="7520" w:type="dxa"/>
            <w:vAlign w:val="bottom"/>
          </w:tcPr>
          <w:p>
            <w:pPr>
              <w:spacing w:after="0"/>
              <w:rPr>
                <w:sz w:val="15"/>
                <w:szCs w:val="15"/>
                <w:color w:val="auto"/>
              </w:rPr>
            </w:pPr>
          </w:p>
        </w:tc>
        <w:tc>
          <w:tcPr>
            <w:tcW w:w="138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7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Total indebtedness ...................................................</w:t>
            </w:r>
          </w:p>
        </w:tc>
        <w:tc>
          <w:tcPr>
            <w:tcW w:w="32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442,602</w:t>
            </w:r>
          </w:p>
        </w:tc>
        <w:tc>
          <w:tcPr>
            <w:tcW w:w="28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892,602</w:t>
            </w:r>
          </w:p>
        </w:tc>
      </w:tr>
      <w:tr>
        <w:trPr>
          <w:trHeight w:val="177"/>
        </w:trPr>
        <w:tc>
          <w:tcPr>
            <w:tcW w:w="7520" w:type="dxa"/>
            <w:vAlign w:val="bottom"/>
          </w:tcPr>
          <w:p>
            <w:pPr>
              <w:jc w:val="right"/>
              <w:ind w:right="5503"/>
              <w:spacing w:after="0"/>
              <w:rPr>
                <w:sz w:val="20"/>
                <w:szCs w:val="20"/>
                <w:color w:val="auto"/>
              </w:rPr>
            </w:pPr>
            <w:r>
              <w:rPr>
                <w:rFonts w:ascii="Courier New" w:cs="Courier New" w:eastAsia="Courier New" w:hAnsi="Courier New"/>
                <w:sz w:val="15"/>
                <w:szCs w:val="15"/>
                <w:color w:val="auto"/>
              </w:rPr>
              <w:t>Shareholders' equity:</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7520" w:type="dxa"/>
            <w:vAlign w:val="bottom"/>
          </w:tcPr>
          <w:p>
            <w:pPr>
              <w:ind w:left="360"/>
              <w:spacing w:after="0"/>
              <w:rPr>
                <w:sz w:val="20"/>
                <w:szCs w:val="20"/>
                <w:color w:val="auto"/>
              </w:rPr>
            </w:pPr>
            <w:r>
              <w:rPr>
                <w:rFonts w:ascii="Courier New" w:cs="Courier New" w:eastAsia="Courier New" w:hAnsi="Courier New"/>
                <w:sz w:val="15"/>
                <w:szCs w:val="15"/>
                <w:color w:val="auto"/>
              </w:rPr>
              <w:t>Preferred Shares - Authorized 25,000 shares;(pound)0.01 par value; 0 shares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7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issued and outstanding ...................................................</w:t>
            </w:r>
          </w:p>
        </w:tc>
        <w:tc>
          <w:tcPr>
            <w:tcW w:w="32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7520" w:type="dxa"/>
            <w:vAlign w:val="bottom"/>
          </w:tcPr>
          <w:p>
            <w:pPr>
              <w:ind w:left="360"/>
              <w:spacing w:after="0"/>
              <w:rPr>
                <w:sz w:val="20"/>
                <w:szCs w:val="20"/>
                <w:color w:val="auto"/>
              </w:rPr>
            </w:pPr>
            <w:r>
              <w:rPr>
                <w:rFonts w:ascii="Courier New" w:cs="Courier New" w:eastAsia="Courier New" w:hAnsi="Courier New"/>
                <w:sz w:val="15"/>
                <w:szCs w:val="15"/>
                <w:color w:val="auto"/>
              </w:rPr>
              <w:t>Ordinary Shares - Authorized 550,000 shares;(pound)0.01 par value; 224,318</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7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issued and 211,596 outstanding and 205,522 outstanding, as adjusted (2) ..</w:t>
            </w:r>
          </w:p>
        </w:tc>
        <w:tc>
          <w:tcPr>
            <w:tcW w:w="32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3,589</w:t>
            </w:r>
          </w:p>
        </w:tc>
        <w:tc>
          <w:tcPr>
            <w:tcW w:w="28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3,589</w:t>
            </w:r>
          </w:p>
        </w:tc>
      </w:tr>
      <w:tr>
        <w:trPr>
          <w:trHeight w:val="177"/>
        </w:trPr>
        <w:tc>
          <w:tcPr>
            <w:tcW w:w="7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Additional paid-in capital .................................................</w:t>
            </w:r>
          </w:p>
        </w:tc>
        <w:tc>
          <w:tcPr>
            <w:tcW w:w="32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8"/>
              </w:rPr>
              <w:t>1,827,471</w:t>
            </w:r>
          </w:p>
        </w:tc>
        <w:tc>
          <w:tcPr>
            <w:tcW w:w="28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1,827,471</w:t>
            </w:r>
          </w:p>
        </w:tc>
      </w:tr>
      <w:tr>
        <w:trPr>
          <w:trHeight w:val="177"/>
        </w:trPr>
        <w:tc>
          <w:tcPr>
            <w:tcW w:w="7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Treasury Stock, at cost - 12,722 ordinary shares and 18,796 ordinary shares,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7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as adjusted (2) ..........................................................</w:t>
            </w:r>
          </w:p>
        </w:tc>
        <w:tc>
          <w:tcPr>
            <w:tcW w:w="32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(233,274)</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(403,335)</w:t>
            </w:r>
          </w:p>
        </w:tc>
      </w:tr>
      <w:tr>
        <w:trPr>
          <w:trHeight w:val="177"/>
        </w:trPr>
        <w:tc>
          <w:tcPr>
            <w:tcW w:w="7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Accumulated other comprehensive income .....................................</w:t>
            </w:r>
          </w:p>
        </w:tc>
        <w:tc>
          <w:tcPr>
            <w:tcW w:w="32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51</w:t>
            </w:r>
          </w:p>
        </w:tc>
        <w:tc>
          <w:tcPr>
            <w:tcW w:w="28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51</w:t>
            </w:r>
          </w:p>
        </w:tc>
      </w:tr>
      <w:tr>
        <w:trPr>
          <w:trHeight w:val="177"/>
        </w:trPr>
        <w:tc>
          <w:tcPr>
            <w:tcW w:w="7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Accumulated deficit ........................................................</w:t>
            </w:r>
          </w:p>
        </w:tc>
        <w:tc>
          <w:tcPr>
            <w:tcW w:w="32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(74,302)</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(74,302)</w:t>
            </w:r>
          </w:p>
        </w:tc>
      </w:tr>
      <w:tr>
        <w:trPr>
          <w:trHeight w:val="177"/>
        </w:trPr>
        <w:tc>
          <w:tcPr>
            <w:tcW w:w="7520" w:type="dxa"/>
            <w:vAlign w:val="bottom"/>
          </w:tcPr>
          <w:p>
            <w:pPr>
              <w:spacing w:after="0"/>
              <w:rPr>
                <w:sz w:val="15"/>
                <w:szCs w:val="15"/>
                <w:color w:val="auto"/>
              </w:rPr>
            </w:pPr>
          </w:p>
        </w:tc>
        <w:tc>
          <w:tcPr>
            <w:tcW w:w="138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7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Total shareholders' equity ...........................................</w:t>
            </w:r>
          </w:p>
        </w:tc>
        <w:tc>
          <w:tcPr>
            <w:tcW w:w="32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8"/>
              </w:rPr>
              <w:t>1,523,535</w:t>
            </w:r>
          </w:p>
        </w:tc>
        <w:tc>
          <w:tcPr>
            <w:tcW w:w="28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1,353,474</w:t>
            </w:r>
          </w:p>
        </w:tc>
      </w:tr>
      <w:tr>
        <w:trPr>
          <w:trHeight w:val="177"/>
        </w:trPr>
        <w:tc>
          <w:tcPr>
            <w:tcW w:w="7520" w:type="dxa"/>
            <w:vAlign w:val="bottom"/>
          </w:tcPr>
          <w:p>
            <w:pPr>
              <w:spacing w:after="0"/>
              <w:rPr>
                <w:sz w:val="15"/>
                <w:szCs w:val="15"/>
                <w:color w:val="auto"/>
              </w:rPr>
            </w:pPr>
          </w:p>
        </w:tc>
        <w:tc>
          <w:tcPr>
            <w:tcW w:w="138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7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Total capitalization .................................................</w:t>
            </w:r>
          </w:p>
        </w:tc>
        <w:tc>
          <w:tcPr>
            <w:tcW w:w="3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8"/>
              </w:rPr>
              <w:t>1,966,137</w:t>
            </w: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$ 2,246,076</w:t>
            </w:r>
          </w:p>
        </w:tc>
      </w:tr>
      <w:tr>
        <w:trPr>
          <w:trHeight w:val="177"/>
        </w:trPr>
        <w:tc>
          <w:tcPr>
            <w:tcW w:w="7520" w:type="dxa"/>
            <w:vAlign w:val="bottom"/>
          </w:tcPr>
          <w:p>
            <w:pPr>
              <w:spacing w:after="0"/>
              <w:rPr>
                <w:sz w:val="15"/>
                <w:szCs w:val="15"/>
                <w:color w:val="auto"/>
              </w:rPr>
            </w:pPr>
          </w:p>
        </w:tc>
        <w:tc>
          <w:tcPr>
            <w:tcW w:w="138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545" w:hanging="545"/>
        <w:spacing w:after="0"/>
        <w:tabs>
          <w:tab w:leader="none" w:pos="54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June 1, 2004, we completed a cash offer to repurchase approximately</w:t>
      </w:r>
    </w:p>
    <w:p>
      <w:pPr>
        <w:spacing w:after="0" w:line="7" w:lineRule="exact"/>
        <w:rPr>
          <w:rFonts w:ascii="Courier New" w:cs="Courier New" w:eastAsia="Courier New" w:hAnsi="Courier New"/>
          <w:sz w:val="15"/>
          <w:szCs w:val="15"/>
          <w:color w:val="auto"/>
        </w:rPr>
      </w:pPr>
    </w:p>
    <w:p>
      <w:pPr>
        <w:ind w:left="54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$395,110 aggregate principal amount of the 2% Notes. We used net proceeds from the sale of the 0.50% Notes and other cash resources to pay for the repurchase of the 2% Notes. Amounts presented do not give effect to any repurchases of the 2% Notes.</w:t>
      </w:r>
    </w:p>
    <w:p>
      <w:pPr>
        <w:spacing w:after="0" w:line="176" w:lineRule="exact"/>
        <w:rPr>
          <w:rFonts w:ascii="Courier New" w:cs="Courier New" w:eastAsia="Courier New" w:hAnsi="Courier New"/>
          <w:sz w:val="15"/>
          <w:szCs w:val="15"/>
          <w:color w:val="auto"/>
        </w:rPr>
      </w:pPr>
    </w:p>
    <w:p>
      <w:pPr>
        <w:ind w:left="545" w:right="2839" w:hanging="545"/>
        <w:spacing w:after="0" w:line="251" w:lineRule="auto"/>
        <w:tabs>
          <w:tab w:leader="none" w:pos="54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purchase of approximately 6,074 ordinary shares on March 5, 2004, which were sold short by purchasers of the 0.50% Notes in negotiated transactions concurrently with that offering. Does not include 26,640 ordinary shares reserved for issuance upon the exercise of stock options that have been granted under our stock option plan and by companies we have acquired.</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5"/>
          </w:cols>
          <w:pgMar w:left="235" w:top="650" w:right="1440" w:bottom="1440" w:gutter="0" w:footer="0" w:header="0"/>
        </w:sectPr>
      </w:pPr>
    </w:p>
    <w:bookmarkStart w:id="22" w:name="page23"/>
    <w:bookmarkEnd w:id="22"/>
    <w:p>
      <w:pPr>
        <w:jc w:val="center"/>
        <w:ind w:right="3980"/>
        <w:spacing w:after="0"/>
        <w:rPr>
          <w:sz w:val="20"/>
          <w:szCs w:val="20"/>
          <w:color w:val="auto"/>
        </w:rPr>
      </w:pPr>
      <w:r>
        <w:rPr>
          <w:rFonts w:ascii="Courier New" w:cs="Courier New" w:eastAsia="Courier New" w:hAnsi="Courier New"/>
          <w:sz w:val="15"/>
          <w:szCs w:val="15"/>
          <w:color w:val="auto"/>
        </w:rPr>
        <w:t>SELLING SECURITYHOLDERS</w:t>
      </w:r>
    </w:p>
    <w:p>
      <w:pPr>
        <w:spacing w:after="0" w:line="185" w:lineRule="exact"/>
        <w:rPr>
          <w:sz w:val="20"/>
          <w:szCs w:val="20"/>
          <w:color w:val="auto"/>
        </w:rPr>
      </w:pPr>
    </w:p>
    <w:p>
      <w:pPr>
        <w:ind w:right="4060" w:firstLine="554"/>
        <w:spacing w:after="0" w:line="251" w:lineRule="auto"/>
        <w:rPr>
          <w:sz w:val="20"/>
          <w:szCs w:val="20"/>
          <w:color w:val="auto"/>
        </w:rPr>
      </w:pPr>
      <w:r>
        <w:rPr>
          <w:rFonts w:ascii="Courier New" w:cs="Courier New" w:eastAsia="Courier New" w:hAnsi="Courier New"/>
          <w:sz w:val="15"/>
          <w:szCs w:val="15"/>
          <w:color w:val="auto"/>
        </w:rPr>
        <w:t>We issued the ordinary shares covered by this prospectus in a private placement in connection with our acquisition of XACCT in February 2004. The following table sets forth, to our knowledge, certain information about the selling securityholders based on information provided by or on behalf of the selling securityholders in a questionnaire and supplementally and is as of the date it was provided by the securityholders. The percentages set forth below are based on 206,124,803 of our ordinary shares outstanding as of May 31, 2004.</w:t>
      </w:r>
    </w:p>
    <w:p>
      <w:pPr>
        <w:spacing w:after="0" w:line="176" w:lineRule="exact"/>
        <w:rPr>
          <w:sz w:val="20"/>
          <w:szCs w:val="20"/>
          <w:color w:val="auto"/>
        </w:rPr>
      </w:pPr>
    </w:p>
    <w:p>
      <w:pPr>
        <w:ind w:right="4060" w:firstLine="554"/>
        <w:spacing w:after="0" w:line="251" w:lineRule="auto"/>
        <w:rPr>
          <w:sz w:val="20"/>
          <w:szCs w:val="20"/>
          <w:color w:val="auto"/>
        </w:rPr>
      </w:pPr>
      <w:r>
        <w:rPr>
          <w:rFonts w:ascii="Courier New" w:cs="Courier New" w:eastAsia="Courier New" w:hAnsi="Courier New"/>
          <w:sz w:val="15"/>
          <w:szCs w:val="15"/>
          <w:color w:val="auto"/>
        </w:rPr>
        <w:t>Beneficial ownership is determined in accordance with the rules of the Securities and Exchange Commission, and includes voting or investment power with respect to shares. Unless otherwise indicated below, to our knowledge, all persons named in the table have sole voting and investment power with respect to their ordinary shares, except to the extent authority is shared by spouses under applicable law. The inclusion of any shares in this table does not constitute an admission of beneficial ownership for the person named below.</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gridSpan w:val="2"/>
          </w:tcPr>
          <w:p>
            <w:pPr>
              <w:jc w:val="center"/>
              <w:ind w:left="63"/>
              <w:spacing w:after="0"/>
              <w:rPr>
                <w:sz w:val="20"/>
                <w:szCs w:val="20"/>
                <w:color w:val="auto"/>
              </w:rPr>
            </w:pPr>
            <w:r>
              <w:rPr>
                <w:rFonts w:ascii="Courier New" w:cs="Courier New" w:eastAsia="Courier New" w:hAnsi="Courier New"/>
                <w:sz w:val="15"/>
                <w:szCs w:val="15"/>
                <w:color w:val="auto"/>
              </w:rPr>
              <w:t>ORDINARY SHARES TO BE</w:t>
            </w:r>
          </w:p>
        </w:tc>
      </w:tr>
      <w:tr>
        <w:trPr>
          <w:trHeight w:val="177"/>
        </w:trPr>
        <w:tc>
          <w:tcPr>
            <w:tcW w:w="5580" w:type="dxa"/>
            <w:vAlign w:val="bottom"/>
          </w:tcPr>
          <w:p>
            <w:pPr>
              <w:spacing w:after="0"/>
              <w:rPr>
                <w:sz w:val="15"/>
                <w:szCs w:val="15"/>
                <w:color w:val="auto"/>
              </w:rPr>
            </w:pPr>
          </w:p>
        </w:tc>
        <w:tc>
          <w:tcPr>
            <w:tcW w:w="234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ORDINARY SHARES</w:t>
            </w:r>
          </w:p>
        </w:tc>
        <w:tc>
          <w:tcPr>
            <w:tcW w:w="1440" w:type="dxa"/>
            <w:vAlign w:val="bottom"/>
          </w:tcPr>
          <w:p>
            <w:pPr>
              <w:spacing w:after="0"/>
              <w:rPr>
                <w:sz w:val="15"/>
                <w:szCs w:val="15"/>
                <w:color w:val="auto"/>
              </w:rPr>
            </w:pPr>
          </w:p>
        </w:tc>
        <w:tc>
          <w:tcPr>
            <w:tcW w:w="20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BENEFICIALLY OWNED</w:t>
            </w:r>
          </w:p>
        </w:tc>
      </w:tr>
      <w:tr>
        <w:trPr>
          <w:trHeight w:val="177"/>
        </w:trPr>
        <w:tc>
          <w:tcPr>
            <w:tcW w:w="5580" w:type="dxa"/>
            <w:vAlign w:val="bottom"/>
          </w:tcPr>
          <w:p>
            <w:pPr>
              <w:spacing w:after="0"/>
              <w:rPr>
                <w:sz w:val="15"/>
                <w:szCs w:val="15"/>
                <w:color w:val="auto"/>
              </w:rPr>
            </w:pPr>
          </w:p>
        </w:tc>
        <w:tc>
          <w:tcPr>
            <w:tcW w:w="23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BENEFICIALLY OWNED</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NUMBER OF</w:t>
            </w:r>
          </w:p>
        </w:tc>
        <w:tc>
          <w:tcPr>
            <w:tcW w:w="880" w:type="dxa"/>
            <w:vAlign w:val="bottom"/>
          </w:tcPr>
          <w:p>
            <w:pPr>
              <w:spacing w:after="0"/>
              <w:rPr>
                <w:sz w:val="15"/>
                <w:szCs w:val="15"/>
                <w:color w:val="auto"/>
              </w:rPr>
            </w:pPr>
          </w:p>
        </w:tc>
        <w:tc>
          <w:tcPr>
            <w:tcW w:w="1200" w:type="dxa"/>
            <w:vAlign w:val="bottom"/>
          </w:tcPr>
          <w:p>
            <w:pPr>
              <w:jc w:val="center"/>
              <w:ind w:right="663"/>
              <w:spacing w:after="0"/>
              <w:rPr>
                <w:sz w:val="20"/>
                <w:szCs w:val="20"/>
                <w:color w:val="auto"/>
              </w:rPr>
            </w:pPr>
            <w:r>
              <w:rPr>
                <w:rFonts w:ascii="Courier New" w:cs="Courier New" w:eastAsia="Courier New" w:hAnsi="Courier New"/>
                <w:sz w:val="15"/>
                <w:szCs w:val="15"/>
                <w:color w:val="auto"/>
              </w:rPr>
              <w:t>AFTER</w:t>
            </w:r>
          </w:p>
        </w:tc>
      </w:tr>
      <w:tr>
        <w:trPr>
          <w:trHeight w:val="177"/>
        </w:trPr>
        <w:tc>
          <w:tcPr>
            <w:tcW w:w="5580" w:type="dxa"/>
            <w:vAlign w:val="bottom"/>
          </w:tcPr>
          <w:p>
            <w:pPr>
              <w:spacing w:after="0"/>
              <w:rPr>
                <w:sz w:val="15"/>
                <w:szCs w:val="15"/>
                <w:color w:val="auto"/>
              </w:rPr>
            </w:pPr>
          </w:p>
        </w:tc>
        <w:tc>
          <w:tcPr>
            <w:tcW w:w="23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PRIOR TO OFFERING (1)</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ORDINARY</w:t>
            </w:r>
          </w:p>
        </w:tc>
        <w:tc>
          <w:tcPr>
            <w:tcW w:w="2080" w:type="dxa"/>
            <w:vAlign w:val="bottom"/>
            <w:gridSpan w:val="2"/>
          </w:tcPr>
          <w:p>
            <w:pPr>
              <w:jc w:val="center"/>
              <w:ind w:left="63"/>
              <w:spacing w:after="0"/>
              <w:rPr>
                <w:sz w:val="20"/>
                <w:szCs w:val="20"/>
                <w:color w:val="auto"/>
              </w:rPr>
            </w:pPr>
            <w:r>
              <w:rPr>
                <w:rFonts w:ascii="Courier New" w:cs="Courier New" w:eastAsia="Courier New" w:hAnsi="Courier New"/>
                <w:sz w:val="15"/>
                <w:szCs w:val="15"/>
                <w:color w:val="auto"/>
              </w:rPr>
              <w:t>OFFERING (1)(2)</w:t>
            </w:r>
          </w:p>
        </w:tc>
      </w:tr>
      <w:tr>
        <w:trPr>
          <w:trHeight w:val="177"/>
        </w:trPr>
        <w:tc>
          <w:tcPr>
            <w:tcW w:w="5580" w:type="dxa"/>
            <w:vAlign w:val="bottom"/>
          </w:tcPr>
          <w:p>
            <w:pPr>
              <w:spacing w:after="0"/>
              <w:rPr>
                <w:sz w:val="15"/>
                <w:szCs w:val="15"/>
                <w:color w:val="auto"/>
              </w:rPr>
            </w:pPr>
          </w:p>
        </w:tc>
        <w:tc>
          <w:tcPr>
            <w:tcW w:w="23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SHARES</w:t>
            </w:r>
          </w:p>
        </w:tc>
        <w:tc>
          <w:tcPr>
            <w:tcW w:w="2080" w:type="dxa"/>
            <w:vAlign w:val="bottom"/>
            <w:gridSpan w:val="2"/>
          </w:tcPr>
          <w:p>
            <w:pPr>
              <w:jc w:val="center"/>
              <w:ind w:left="6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ind w:left="820"/>
              <w:spacing w:after="0"/>
              <w:rPr>
                <w:sz w:val="20"/>
                <w:szCs w:val="20"/>
                <w:color w:val="auto"/>
              </w:rPr>
            </w:pPr>
            <w:r>
              <w:rPr>
                <w:rFonts w:ascii="Courier New" w:cs="Courier New" w:eastAsia="Courier New" w:hAnsi="Courier New"/>
                <w:sz w:val="15"/>
                <w:szCs w:val="15"/>
                <w:color w:val="auto"/>
              </w:rPr>
              <w:t>NAME OF SELLING SECURITYHOLDER (3)</w:t>
            </w:r>
          </w:p>
        </w:tc>
        <w:tc>
          <w:tcPr>
            <w:tcW w:w="1240" w:type="dxa"/>
            <w:vAlign w:val="bottom"/>
          </w:tcPr>
          <w:p>
            <w:pPr>
              <w:ind w:left="420"/>
              <w:spacing w:after="0"/>
              <w:rPr>
                <w:sz w:val="20"/>
                <w:szCs w:val="20"/>
                <w:color w:val="auto"/>
              </w:rPr>
            </w:pPr>
            <w:r>
              <w:rPr>
                <w:rFonts w:ascii="Courier New" w:cs="Courier New" w:eastAsia="Courier New" w:hAnsi="Courier New"/>
                <w:sz w:val="15"/>
                <w:szCs w:val="15"/>
                <w:color w:val="auto"/>
              </w:rPr>
              <w:t>NUMBER</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PERCENTAGE</w:t>
            </w: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BEING OFFERED</w:t>
            </w:r>
          </w:p>
        </w:tc>
        <w:tc>
          <w:tcPr>
            <w:tcW w:w="880" w:type="dxa"/>
            <w:vAlign w:val="bottom"/>
          </w:tcPr>
          <w:p>
            <w:pPr>
              <w:ind w:left="240"/>
              <w:spacing w:after="0"/>
              <w:rPr>
                <w:sz w:val="20"/>
                <w:szCs w:val="20"/>
                <w:color w:val="auto"/>
              </w:rPr>
            </w:pPr>
            <w:r>
              <w:rPr>
                <w:rFonts w:ascii="Courier New" w:cs="Courier New" w:eastAsia="Courier New" w:hAnsi="Courier New"/>
                <w:sz w:val="15"/>
                <w:szCs w:val="15"/>
                <w:color w:val="auto"/>
              </w:rPr>
              <w:t>NUMBER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r>
      <w:tr>
        <w:trPr>
          <w:trHeight w:val="177"/>
        </w:trPr>
        <w:tc>
          <w:tcPr>
            <w:tcW w:w="558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580" w:type="dxa"/>
            <w:vAlign w:val="bottom"/>
          </w:tcPr>
          <w:p>
            <w:pPr>
              <w:spacing w:after="0"/>
              <w:rPr>
                <w:sz w:val="20"/>
                <w:szCs w:val="20"/>
                <w:color w:val="auto"/>
              </w:rPr>
            </w:pPr>
            <w:r>
              <w:rPr>
                <w:rFonts w:ascii="Courier New" w:cs="Courier New" w:eastAsia="Courier New" w:hAnsi="Courier New"/>
                <w:sz w:val="15"/>
                <w:szCs w:val="15"/>
                <w:color w:val="auto"/>
              </w:rPr>
              <w:t>Ampal - American Israel Corporation(4)...................</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8,058</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8,058</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Ampal Industries (Israel) Ltd.(4)........................</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74,682</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74,682</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Marinera Ltd.(5).........................................</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2,095</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2,095</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Inveco International, Inc.(6)............................</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845</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845</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Israel Seed Limited Partnership(7).......................</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7,610</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7,610</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Israel Seed II, L.P.(7)..................................</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9,883</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9,883</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Technorov Holdings (1993) Ltd.(8)........................</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9,754</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9,754</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WSG Capital, L.P.(9).....................................</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5,071</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5,071</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WSG Capital II, L.P.(9)..................................</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4,823</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4,823</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Information Associates-II, L.P.(10)......................</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61,698</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61,698</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IA-II Affiliates Fund, L.L.C.(10)........................</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3,599</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3,599</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Eucalyptus Ventures LP(11)...............................</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21,966</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21,966</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Eucalyptus Ventures (Israel) LP(11)......................</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1,104</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1,104</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Eucalyptus Ventures (Cayman) LP(11)......................</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663</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663</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Eucalyptus Ventures (Affiliated) LP(11)..................</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310</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310</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TCV III (GP)(12).........................................</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401</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401</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TCV III, L.P.(12)........................................</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1,904</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1,904</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TCV III (Q), L.P.(12)....................................</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50,613</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50,613</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TCV III Strategic Partners, L.P.(12).....................</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2,292</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2,292</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TCV IV, L.P.(12).........................................</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71,987</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71,987</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TCV IV Strategic Partners, L.P.(12)......................</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2,684</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2,684</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Deutsche Bank AG, London Branch(13)......................</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415,794</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19,487</w:t>
            </w:r>
          </w:p>
        </w:tc>
        <w:tc>
          <w:tcPr>
            <w:tcW w:w="880" w:type="dxa"/>
            <w:vAlign w:val="bottom"/>
          </w:tcPr>
          <w:p>
            <w:pPr>
              <w:jc w:val="center"/>
              <w:ind w:left="163"/>
              <w:spacing w:after="0"/>
              <w:rPr>
                <w:sz w:val="20"/>
                <w:szCs w:val="20"/>
                <w:color w:val="auto"/>
              </w:rPr>
            </w:pPr>
            <w:r>
              <w:rPr>
                <w:rFonts w:ascii="Courier New" w:cs="Courier New" w:eastAsia="Courier New" w:hAnsi="Courier New"/>
                <w:sz w:val="15"/>
                <w:szCs w:val="15"/>
                <w:color w:val="auto"/>
              </w:rPr>
              <w:t>396,307</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Globe LinQ International Fund I, LLC(14).................</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9,647</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9,647</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Infocom Corporation(15)..................................</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6,493</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6,493</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Sun Microsystems, Inc.(16)...............................</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129,864</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129,864</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Dell Ventures L.P.(17)...................................</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32,466</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32,466</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Old Point International Corporation(18)..................</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12,986</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12,986</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Credit Suisse First Boston Venture Fund I, L.P.(19)......</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1,948</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1,948</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John D. Sternfield.......................................</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260</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260</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Edward &amp; Marie Jackson...................................</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260</w:t>
            </w: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260</w:t>
            </w:r>
          </w:p>
        </w:tc>
        <w:tc>
          <w:tcPr>
            <w:tcW w:w="88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532"/>
        </w:trPr>
        <w:tc>
          <w:tcPr>
            <w:tcW w:w="5580" w:type="dxa"/>
            <w:vAlign w:val="bottom"/>
          </w:tcPr>
          <w:p>
            <w:pPr>
              <w:ind w:left="3600"/>
              <w:spacing w:after="0"/>
              <w:rPr>
                <w:sz w:val="20"/>
                <w:szCs w:val="20"/>
                <w:color w:val="auto"/>
              </w:rPr>
            </w:pPr>
            <w:r>
              <w:rPr>
                <w:rFonts w:ascii="Courier New" w:cs="Courier New" w:eastAsia="Courier New" w:hAnsi="Courier New"/>
                <w:sz w:val="15"/>
                <w:szCs w:val="15"/>
                <w:color w:val="auto"/>
              </w:rPr>
              <w:t>20</w:t>
            </w: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40"/>
          </w:cols>
          <w:pgMar w:left="240" w:top="650" w:right="219" w:bottom="1440" w:gutter="0" w:footer="0" w:header="0"/>
        </w:sectPr>
      </w:pPr>
    </w:p>
    <w:bookmarkStart w:id="23" w:name="page24"/>
    <w:bookmarkEnd w:id="23"/>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580" w:type="dxa"/>
            <w:vAlign w:val="bottom"/>
          </w:tcPr>
          <w:p>
            <w:pPr>
              <w:spacing w:after="0"/>
              <w:rPr>
                <w:sz w:val="14"/>
                <w:szCs w:val="14"/>
                <w:color w:val="auto"/>
              </w:rPr>
            </w:pPr>
          </w:p>
        </w:tc>
        <w:tc>
          <w:tcPr>
            <w:tcW w:w="22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ORDINARY SHARES</w:t>
            </w:r>
          </w:p>
        </w:tc>
      </w:tr>
      <w:tr>
        <w:trPr>
          <w:trHeight w:val="177"/>
        </w:trPr>
        <w:tc>
          <w:tcPr>
            <w:tcW w:w="5580" w:type="dxa"/>
            <w:vAlign w:val="bottom"/>
          </w:tcPr>
          <w:p>
            <w:pPr>
              <w:spacing w:after="0"/>
              <w:rPr>
                <w:sz w:val="15"/>
                <w:szCs w:val="15"/>
                <w:color w:val="auto"/>
              </w:rPr>
            </w:pPr>
          </w:p>
        </w:tc>
        <w:tc>
          <w:tcPr>
            <w:tcW w:w="226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BENEFICIALLY OWNED</w:t>
            </w:r>
          </w:p>
        </w:tc>
      </w:tr>
      <w:tr>
        <w:trPr>
          <w:trHeight w:val="177"/>
        </w:trPr>
        <w:tc>
          <w:tcPr>
            <w:tcW w:w="558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PRIOR TO OFFERING (1)</w:t>
            </w:r>
          </w:p>
        </w:tc>
      </w:tr>
      <w:tr>
        <w:trPr>
          <w:trHeight w:val="177"/>
        </w:trPr>
        <w:tc>
          <w:tcPr>
            <w:tcW w:w="558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ind w:left="540"/>
              <w:spacing w:after="0"/>
              <w:rPr>
                <w:sz w:val="20"/>
                <w:szCs w:val="20"/>
                <w:color w:val="auto"/>
              </w:rPr>
            </w:pPr>
            <w:r>
              <w:rPr>
                <w:rFonts w:ascii="Courier New" w:cs="Courier New" w:eastAsia="Courier New" w:hAnsi="Courier New"/>
                <w:sz w:val="15"/>
                <w:szCs w:val="15"/>
                <w:color w:val="auto"/>
              </w:rPr>
              <w:t>NAME OF SELLING SECURITYHOLDER (CONTINUED) (3)</w:t>
            </w:r>
          </w:p>
        </w:tc>
        <w:tc>
          <w:tcPr>
            <w:tcW w:w="1100" w:type="dxa"/>
            <w:vAlign w:val="bottom"/>
          </w:tcPr>
          <w:p>
            <w:pPr>
              <w:ind w:left="420"/>
              <w:spacing w:after="0"/>
              <w:rPr>
                <w:sz w:val="20"/>
                <w:szCs w:val="20"/>
                <w:color w:val="auto"/>
              </w:rPr>
            </w:pPr>
            <w:r>
              <w:rPr>
                <w:rFonts w:ascii="Courier New" w:cs="Courier New" w:eastAsia="Courier New" w:hAnsi="Courier New"/>
                <w:sz w:val="15"/>
                <w:szCs w:val="15"/>
                <w:color w:val="auto"/>
              </w:rPr>
              <w:t>NUMBER</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PERCENTAGE</w:t>
            </w:r>
          </w:p>
        </w:tc>
      </w:tr>
      <w:tr>
        <w:trPr>
          <w:trHeight w:val="177"/>
        </w:trPr>
        <w:tc>
          <w:tcPr>
            <w:tcW w:w="55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580" w:type="dxa"/>
            <w:vAlign w:val="bottom"/>
          </w:tcPr>
          <w:p>
            <w:pPr>
              <w:spacing w:after="0"/>
              <w:rPr>
                <w:sz w:val="20"/>
                <w:szCs w:val="20"/>
                <w:color w:val="auto"/>
              </w:rPr>
            </w:pPr>
            <w:r>
              <w:rPr>
                <w:rFonts w:ascii="Courier New" w:cs="Courier New" w:eastAsia="Courier New" w:hAnsi="Courier New"/>
                <w:sz w:val="15"/>
                <w:szCs w:val="15"/>
                <w:color w:val="auto"/>
              </w:rPr>
              <w:t>Tad W. Piper.............................................</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129</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H&amp;Q Employee Venture Fund 2000, L.P.(20).................</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260</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Hambrecht &amp; Quist California(20).........................</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260</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Eric Zimits..............................................</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Mark Zanoli(21)..........................................</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Erez Levy(22)............................................</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Werner Robert Genieser...................................</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Bill Duff................................................</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Plenus Technologies Ltd. ................................</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4,545</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355"/>
        </w:trPr>
        <w:tc>
          <w:tcPr>
            <w:tcW w:w="55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957,084</w:t>
            </w:r>
          </w:p>
        </w:tc>
        <w:tc>
          <w:tcPr>
            <w:tcW w:w="11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185" w:hanging="185"/>
        <w:spacing w:after="0"/>
        <w:tabs>
          <w:tab w:leader="none" w:pos="18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85" w:lineRule="exact"/>
        <w:rPr>
          <w:sz w:val="20"/>
          <w:szCs w:val="20"/>
          <w:color w:val="auto"/>
        </w:rPr>
      </w:pPr>
    </w:p>
    <w:p>
      <w:pPr>
        <w:ind w:left="1105" w:right="460" w:hanging="552"/>
        <w:spacing w:after="0" w:line="250" w:lineRule="auto"/>
        <w:tabs>
          <w:tab w:leader="none" w:pos="11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total ordinary shares listed as owned by the selling securityholders, a total of 68,529 ordinary shares are held in an escrow account to secure indemnification obligations of the former shareholders of XACCT to us. We expect that these ordinary shares, less any ordinary shares that may be distributed from the escrow account to us in satisfaction of indemnification claims, will be released from escrow and distributed to the selling securityholders on August 19, 2005. The number of ordinary shares indicated as owned by each selling securityholder includes those ordinary shares that such selling securityholder is entitled to receive upon distribution of these shares from the escrow account.</w:t>
      </w:r>
    </w:p>
    <w:p>
      <w:pPr>
        <w:spacing w:after="0" w:line="182" w:lineRule="exact"/>
        <w:rPr>
          <w:rFonts w:ascii="Courier New" w:cs="Courier New" w:eastAsia="Courier New" w:hAnsi="Courier New"/>
          <w:sz w:val="15"/>
          <w:szCs w:val="15"/>
          <w:color w:val="auto"/>
        </w:rPr>
      </w:pPr>
    </w:p>
    <w:p>
      <w:pPr>
        <w:ind w:left="1105" w:right="460" w:hanging="552"/>
        <w:spacing w:after="0" w:line="250" w:lineRule="auto"/>
        <w:tabs>
          <w:tab w:leader="none" w:pos="11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know when or in what amounts a selling securityholder may offer ordinary shares for sale. The selling securityholders might not sell any or all of the shares offered by this prospectus. Because the selling securityholders may offer all or some of the shares pursuant to this offering, and because there are currently no agreements, arrangements or understandings with respect to the sale of any of the shares, we cannot estimate the number of the ordinary shares that will be held by the selling securityholders after completion of the offering. However, for purposes of this table, we have assumed that, after completion of this offering, none of the ordinary shares covered by this prospectus will be held by the selling securityholder.</w:t>
      </w:r>
    </w:p>
    <w:p>
      <w:pPr>
        <w:spacing w:after="0" w:line="182" w:lineRule="exact"/>
        <w:rPr>
          <w:rFonts w:ascii="Courier New" w:cs="Courier New" w:eastAsia="Courier New" w:hAnsi="Courier New"/>
          <w:sz w:val="15"/>
          <w:szCs w:val="15"/>
          <w:color w:val="auto"/>
        </w:rPr>
      </w:pPr>
    </w:p>
    <w:p>
      <w:pPr>
        <w:ind w:left="1105" w:right="560" w:hanging="552"/>
        <w:spacing w:after="0" w:line="251" w:lineRule="auto"/>
        <w:tabs>
          <w:tab w:leader="none" w:pos="11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former shareholders of XACCT appointed Fahn KanneTrust Limited as their agents and representatives. The address of each of the selling securityholders is c/o Fahn KanneTrust Limited, 23 Menachem Begin Road, Tel Aviv 66184, Israel.</w:t>
      </w:r>
    </w:p>
    <w:p>
      <w:pPr>
        <w:spacing w:after="0" w:line="176" w:lineRule="exact"/>
        <w:rPr>
          <w:rFonts w:ascii="Courier New" w:cs="Courier New" w:eastAsia="Courier New" w:hAnsi="Courier New"/>
          <w:sz w:val="15"/>
          <w:szCs w:val="15"/>
          <w:color w:val="auto"/>
        </w:rPr>
      </w:pPr>
    </w:p>
    <w:p>
      <w:pPr>
        <w:ind w:left="1105" w:right="460" w:hanging="552"/>
        <w:spacing w:after="0" w:line="251" w:lineRule="auto"/>
        <w:tabs>
          <w:tab w:leader="none" w:pos="11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Ampal Industries (Israel) Ltd. is owned by Ampal Industries Inc., which is owned by Ampal American-Israel Corporation. Ampal American Israel Corporation is a public company traded on the Nasdaq National Market. Mr. Yosef A. Maiman is the beneficial owner of 59.58% of the outstanding shares of Class A stock of Ampal American Israel Corporation.</w:t>
      </w:r>
    </w:p>
    <w:p>
      <w:pPr>
        <w:spacing w:after="0" w:line="175" w:lineRule="exact"/>
        <w:rPr>
          <w:rFonts w:ascii="Courier New" w:cs="Courier New" w:eastAsia="Courier New" w:hAnsi="Courier New"/>
          <w:sz w:val="15"/>
          <w:szCs w:val="15"/>
          <w:color w:val="auto"/>
        </w:rPr>
      </w:pPr>
    </w:p>
    <w:p>
      <w:pPr>
        <w:ind w:left="1105" w:right="640" w:hanging="552"/>
        <w:spacing w:after="0" w:line="251" w:lineRule="auto"/>
        <w:tabs>
          <w:tab w:leader="none" w:pos="11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Daniel Steinmetz holds voting and dispositive power over the ordinary shares held by Marinera Ltd. Mr. Steinmetz disclaims beneficial ownership of any shares held by Marinera Ltd. except to the extent of his pecuniary interest therein.</w:t>
      </w:r>
    </w:p>
    <w:p>
      <w:pPr>
        <w:spacing w:after="0" w:line="176" w:lineRule="exact"/>
        <w:rPr>
          <w:rFonts w:ascii="Courier New" w:cs="Courier New" w:eastAsia="Courier New" w:hAnsi="Courier New"/>
          <w:sz w:val="15"/>
          <w:szCs w:val="15"/>
          <w:color w:val="auto"/>
        </w:rPr>
      </w:pPr>
    </w:p>
    <w:p>
      <w:pPr>
        <w:ind w:left="1105" w:hanging="552"/>
        <w:spacing w:after="0"/>
        <w:tabs>
          <w:tab w:leader="none" w:pos="11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Inveco International, Inc. is owned and controlled by Hillel Peled.</w:t>
      </w:r>
    </w:p>
    <w:p>
      <w:pPr>
        <w:spacing w:after="0" w:line="184" w:lineRule="exact"/>
        <w:rPr>
          <w:rFonts w:ascii="Courier New" w:cs="Courier New" w:eastAsia="Courier New" w:hAnsi="Courier New"/>
          <w:sz w:val="15"/>
          <w:szCs w:val="15"/>
          <w:color w:val="auto"/>
        </w:rPr>
      </w:pPr>
    </w:p>
    <w:p>
      <w:pPr>
        <w:ind w:left="1105" w:right="460" w:hanging="552"/>
        <w:spacing w:after="0" w:line="250" w:lineRule="auto"/>
        <w:tabs>
          <w:tab w:leader="none" w:pos="11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sole General Partner of each of Israel Seed Limited Partnership and Israel Seed II, L.P. (the "Israel Seed Entities") is Seed Venture Partners Ltd. which has sole investment control with respect to the Israel Seed Entities. The sole principals of the investment advisors to Seed Venture Partners Ltd. are Jonathan Medved, Neil Cohen and Michael Eisenberg and, as such, they may be deemed to share voting power over the ordinary shares held by the Israel Seed Entities. Each individual disclaims beneficial ownership of any shares held by the Israel Seed Entities except to the extent of their respective pecuniary interests.</w:t>
      </w:r>
    </w:p>
    <w:p>
      <w:pPr>
        <w:spacing w:after="0" w:line="181" w:lineRule="exact"/>
        <w:rPr>
          <w:rFonts w:ascii="Courier New" w:cs="Courier New" w:eastAsia="Courier New" w:hAnsi="Courier New"/>
          <w:sz w:val="15"/>
          <w:szCs w:val="15"/>
          <w:color w:val="auto"/>
        </w:rPr>
      </w:pPr>
    </w:p>
    <w:p>
      <w:pPr>
        <w:ind w:left="1105" w:right="920" w:hanging="552"/>
        <w:spacing w:after="0" w:line="253" w:lineRule="auto"/>
        <w:tabs>
          <w:tab w:leader="none" w:pos="11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Technorov Holdings (1993) Ltd. is a subsidiary of Alrov Ltd., a widely-held company listed on the Tel Aviv Stock Exchange.</w:t>
      </w:r>
    </w:p>
    <w:p>
      <w:pPr>
        <w:spacing w:after="0" w:line="174" w:lineRule="exact"/>
        <w:rPr>
          <w:rFonts w:ascii="Courier New" w:cs="Courier New" w:eastAsia="Courier New" w:hAnsi="Courier New"/>
          <w:sz w:val="15"/>
          <w:szCs w:val="15"/>
          <w:color w:val="auto"/>
        </w:rPr>
      </w:pPr>
    </w:p>
    <w:p>
      <w:pPr>
        <w:ind w:left="1105" w:right="460" w:hanging="552"/>
        <w:spacing w:after="0" w:line="251" w:lineRule="auto"/>
        <w:tabs>
          <w:tab w:leader="none" w:pos="110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WSG Capital, LP and WSG Capital II, LP is WSG Management, LLC. All of the membership interests of WSG Management, LLC are held in equal parts by Eran Wagner, Limor Schweitzer and Eric Gries. Eran Wagner, Limor Schweitzer and Eric Gries were each significant shareholders of XACCT. In addition, Mr. Wagner served as Chairman of the Board of Directors and Executive Vice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340" w:type="dxa"/>
            <w:vAlign w:val="bottom"/>
          </w:tcPr>
          <w:p>
            <w:pPr>
              <w:spacing w:after="0"/>
              <w:rPr>
                <w:sz w:val="14"/>
                <w:szCs w:val="14"/>
                <w:color w:val="auto"/>
              </w:rPr>
            </w:pPr>
          </w:p>
        </w:tc>
        <w:tc>
          <w:tcPr>
            <w:tcW w:w="2080" w:type="dxa"/>
            <w:vAlign w:val="bottom"/>
            <w:gridSpan w:val="2"/>
          </w:tcPr>
          <w:p>
            <w:pPr>
              <w:jc w:val="center"/>
              <w:ind w:left="63"/>
              <w:spacing w:after="0"/>
              <w:rPr>
                <w:sz w:val="20"/>
                <w:szCs w:val="20"/>
                <w:color w:val="auto"/>
              </w:rPr>
            </w:pPr>
            <w:r>
              <w:rPr>
                <w:rFonts w:ascii="Courier New" w:cs="Courier New" w:eastAsia="Courier New" w:hAnsi="Courier New"/>
                <w:sz w:val="15"/>
                <w:szCs w:val="15"/>
                <w:color w:val="auto"/>
              </w:rPr>
              <w:t>ORDINARY SHARES TO BE</w:t>
            </w:r>
          </w:p>
        </w:tc>
      </w:tr>
      <w:tr>
        <w:trPr>
          <w:trHeight w:val="177"/>
        </w:trPr>
        <w:tc>
          <w:tcPr>
            <w:tcW w:w="1340" w:type="dxa"/>
            <w:vAlign w:val="bottom"/>
          </w:tcPr>
          <w:p>
            <w:pPr>
              <w:spacing w:after="0"/>
              <w:rPr>
                <w:sz w:val="15"/>
                <w:szCs w:val="15"/>
                <w:color w:val="auto"/>
              </w:rPr>
            </w:pPr>
          </w:p>
        </w:tc>
        <w:tc>
          <w:tcPr>
            <w:tcW w:w="20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BENEFICIALLY OWNED</w:t>
            </w:r>
          </w:p>
        </w:tc>
      </w:tr>
      <w:tr>
        <w:trPr>
          <w:trHeight w:val="177"/>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NUMBER OF</w:t>
            </w:r>
          </w:p>
        </w:tc>
        <w:tc>
          <w:tcPr>
            <w:tcW w:w="840" w:type="dxa"/>
            <w:vAlign w:val="bottom"/>
          </w:tcPr>
          <w:p>
            <w:pPr>
              <w:spacing w:after="0"/>
              <w:rPr>
                <w:sz w:val="15"/>
                <w:szCs w:val="15"/>
                <w:color w:val="auto"/>
              </w:rPr>
            </w:pPr>
          </w:p>
        </w:tc>
        <w:tc>
          <w:tcPr>
            <w:tcW w:w="1240" w:type="dxa"/>
            <w:vAlign w:val="bottom"/>
          </w:tcPr>
          <w:p>
            <w:pPr>
              <w:jc w:val="center"/>
              <w:ind w:right="623"/>
              <w:spacing w:after="0"/>
              <w:rPr>
                <w:sz w:val="20"/>
                <w:szCs w:val="20"/>
                <w:color w:val="auto"/>
              </w:rPr>
            </w:pPr>
            <w:r>
              <w:rPr>
                <w:rFonts w:ascii="Courier New" w:cs="Courier New" w:eastAsia="Courier New" w:hAnsi="Courier New"/>
                <w:sz w:val="15"/>
                <w:szCs w:val="15"/>
                <w:color w:val="auto"/>
              </w:rPr>
              <w:t>AFTER</w:t>
            </w:r>
          </w:p>
        </w:tc>
      </w:tr>
      <w:tr>
        <w:trPr>
          <w:trHeight w:val="177"/>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ORDINARY</w:t>
            </w:r>
          </w:p>
        </w:tc>
        <w:tc>
          <w:tcPr>
            <w:tcW w:w="2080" w:type="dxa"/>
            <w:vAlign w:val="bottom"/>
            <w:gridSpan w:val="2"/>
          </w:tcPr>
          <w:p>
            <w:pPr>
              <w:jc w:val="center"/>
              <w:ind w:left="63"/>
              <w:spacing w:after="0"/>
              <w:rPr>
                <w:sz w:val="20"/>
                <w:szCs w:val="20"/>
                <w:color w:val="auto"/>
              </w:rPr>
            </w:pPr>
            <w:r>
              <w:rPr>
                <w:rFonts w:ascii="Courier New" w:cs="Courier New" w:eastAsia="Courier New" w:hAnsi="Courier New"/>
                <w:sz w:val="15"/>
                <w:szCs w:val="15"/>
                <w:color w:val="auto"/>
              </w:rPr>
              <w:t>OFFERING (1)(2)</w:t>
            </w:r>
          </w:p>
        </w:tc>
      </w:tr>
      <w:tr>
        <w:trPr>
          <w:trHeight w:val="177"/>
        </w:trPr>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SHARES</w:t>
            </w:r>
          </w:p>
        </w:tc>
        <w:tc>
          <w:tcPr>
            <w:tcW w:w="2080" w:type="dxa"/>
            <w:vAlign w:val="bottom"/>
            <w:gridSpan w:val="2"/>
          </w:tcPr>
          <w:p>
            <w:pPr>
              <w:jc w:val="center"/>
              <w:ind w:left="63"/>
              <w:spacing w:after="0"/>
              <w:rPr>
                <w:sz w:val="20"/>
                <w:szCs w:val="20"/>
                <w:color w:val="auto"/>
              </w:rPr>
            </w:pPr>
            <w:r>
              <w:rPr>
                <w:rFonts w:ascii="Courier New" w:cs="Courier New" w:eastAsia="Courier New" w:hAnsi="Courier New"/>
                <w:sz w:val="15"/>
                <w:szCs w:val="15"/>
                <w:color w:val="auto"/>
              </w:rPr>
              <w:t>---------------</w:t>
            </w:r>
          </w:p>
        </w:tc>
      </w:tr>
      <w:tr>
        <w:trPr>
          <w:trHeight w:val="177"/>
        </w:trPr>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BEING OFFERED</w:t>
            </w:r>
          </w:p>
        </w:tc>
        <w:tc>
          <w:tcPr>
            <w:tcW w:w="840" w:type="dxa"/>
            <w:vAlign w:val="bottom"/>
          </w:tcPr>
          <w:p>
            <w:pPr>
              <w:ind w:left="240"/>
              <w:spacing w:after="0"/>
              <w:rPr>
                <w:sz w:val="20"/>
                <w:szCs w:val="20"/>
                <w:color w:val="auto"/>
              </w:rPr>
            </w:pPr>
            <w:r>
              <w:rPr>
                <w:rFonts w:ascii="Courier New" w:cs="Courier New" w:eastAsia="Courier New" w:hAnsi="Courier New"/>
                <w:sz w:val="15"/>
                <w:szCs w:val="15"/>
                <w:color w:val="auto"/>
              </w:rPr>
              <w:t>NUMBER</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r>
      <w:tr>
        <w:trPr>
          <w:trHeight w:val="177"/>
        </w:trPr>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129</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260</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260</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177"/>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4,545</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r>
        <w:trPr>
          <w:trHeight w:val="355"/>
        </w:trPr>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560,777</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w:t>
            </w:r>
          </w:p>
        </w:tc>
      </w:tr>
    </w:tbl>
    <w:p>
      <w:pPr>
        <w:sectPr>
          <w:pgSz w:w="11900" w:h="16838" w:orient="portrait"/>
          <w:cols w:equalWidth="0" w:num="2">
            <w:col w:w="7845" w:space="180"/>
            <w:col w:w="3420"/>
          </w:cols>
          <w:pgMar w:left="235" w:top="1005" w:right="219" w:bottom="0" w:gutter="0" w:footer="0" w:header="0"/>
        </w:sectPr>
      </w:pPr>
    </w:p>
    <w:bookmarkStart w:id="24" w:name="page25"/>
    <w:bookmarkEnd w:id="24"/>
    <w:p>
      <w:pPr>
        <w:ind w:left="24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019"/>
          </w:cols>
          <w:pgMar w:left="1440" w:top="319" w:right="1440" w:bottom="1440" w:gutter="0" w:footer="0" w:header="0"/>
        </w:sectPr>
      </w:pPr>
    </w:p>
    <w:bookmarkStart w:id="25" w:name="page26"/>
    <w:bookmarkEnd w:id="25"/>
    <w:p>
      <w:pPr>
        <w:ind w:left="552" w:right="2839"/>
        <w:spacing w:after="0" w:line="251" w:lineRule="auto"/>
        <w:rPr>
          <w:sz w:val="20"/>
          <w:szCs w:val="20"/>
          <w:color w:val="auto"/>
        </w:rPr>
      </w:pPr>
      <w:r>
        <w:rPr>
          <w:rFonts w:ascii="Courier New" w:cs="Courier New" w:eastAsia="Courier New" w:hAnsi="Courier New"/>
          <w:sz w:val="15"/>
          <w:szCs w:val="15"/>
          <w:color w:val="auto"/>
        </w:rPr>
        <w:t>President-Technologies, Mr. Schweitzer served as Chief Technology Officer and a director, and Mr. Gries served as President and Chief Executive Officer. Each of these persons is currently employed by us or our affiliates. Each of these persons disclaims beneficial ownership of such shares except to the extent of his pecuniary interest therein.</w:t>
      </w:r>
    </w:p>
    <w:p>
      <w:pPr>
        <w:spacing w:after="0" w:line="176" w:lineRule="exact"/>
        <w:rPr>
          <w:sz w:val="20"/>
          <w:szCs w:val="20"/>
          <w:color w:val="auto"/>
        </w:rPr>
      </w:pPr>
    </w:p>
    <w:p>
      <w:pPr>
        <w:ind w:left="552" w:right="2939" w:hanging="552"/>
        <w:spacing w:after="0" w:line="251" w:lineRule="auto"/>
        <w:tabs>
          <w:tab w:leader="none" w:pos="55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Todd A. Springer is a Managing Director of Trident Capital Management, L.L.C., which is the General Partner of Information Associates-II, L.P. He is also a Managing Director and Member of IA-II Affiliates, L.L.C. Mr. Springer served as a director of XACCT from October 1998 until its acquisition. Mr. Springer disclaims beneficial ownership of such shares except to the extent of his pecuniary interest therein.</w:t>
      </w:r>
    </w:p>
    <w:p>
      <w:pPr>
        <w:spacing w:after="0" w:line="175" w:lineRule="exact"/>
        <w:rPr>
          <w:rFonts w:ascii="Courier New" w:cs="Courier New" w:eastAsia="Courier New" w:hAnsi="Courier New"/>
          <w:sz w:val="15"/>
          <w:szCs w:val="15"/>
          <w:color w:val="auto"/>
        </w:rPr>
      </w:pPr>
    </w:p>
    <w:p>
      <w:pPr>
        <w:ind w:left="552" w:right="2839" w:hanging="552"/>
        <w:spacing w:after="0" w:line="250" w:lineRule="auto"/>
        <w:tabs>
          <w:tab w:leader="none" w:pos="55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Eucalyptus Ventures Management LLC is the general partner of Eucalyptus Ventures L.P., Eucalyptus Ventures (Israel) L.P., Eucalyptus Ventures (Cayman), L.P. and Eucalyptus Ventures (Affiliated) L.P. Eldad Tamir, Danny Fishman, Bruce Crocker and Aaron Mankovski are members of the investment committee of Eucalyptus Ventures Management LLC and may be deemed to share voting power over the ordinary shares held by the Israel Seed Entities. Each individual disclaims beneficial ownership of any shares held by the Israel Seed Entities except to the extent of their respective pecuniary interests.</w:t>
      </w:r>
    </w:p>
    <w:p>
      <w:pPr>
        <w:spacing w:after="0" w:line="181" w:lineRule="exact"/>
        <w:rPr>
          <w:rFonts w:ascii="Courier New" w:cs="Courier New" w:eastAsia="Courier New" w:hAnsi="Courier New"/>
          <w:sz w:val="15"/>
          <w:szCs w:val="15"/>
          <w:color w:val="auto"/>
        </w:rPr>
      </w:pPr>
    </w:p>
    <w:p>
      <w:pPr>
        <w:ind w:left="552" w:right="2939" w:hanging="552"/>
        <w:spacing w:after="0" w:line="250" w:lineRule="auto"/>
        <w:tabs>
          <w:tab w:leader="none" w:pos="55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 Q. Reynolds, Jr. is a non-managing Member of Technology Crossover Management III, L.L.C. which is the Managing General Partner of TCV III (GP) and the sole General Partner of TCV III, L.P., TCV III (Q), L.P. and TCV III Strategic Partners, L.P. He is also a non-managing Member of Technology Crossover Management IV, L.L.C. which is the sole General Partner of TCV IV, L.P. and TCV IV Strategic Partners, L.P. Mr. Reynolds was a director of XACCT from October 1999 until its acquisition. Mr. Reynolds disclaims beneficial ownership of such shares except to the extent of his pecuniary interest therein.</w:t>
      </w:r>
    </w:p>
    <w:p>
      <w:pPr>
        <w:spacing w:after="0" w:line="181" w:lineRule="exact"/>
        <w:rPr>
          <w:rFonts w:ascii="Courier New" w:cs="Courier New" w:eastAsia="Courier New" w:hAnsi="Courier New"/>
          <w:sz w:val="15"/>
          <w:szCs w:val="15"/>
          <w:color w:val="auto"/>
        </w:rPr>
      </w:pPr>
    </w:p>
    <w:p>
      <w:pPr>
        <w:ind w:left="552" w:right="2839" w:hanging="552"/>
        <w:spacing w:after="0" w:line="251" w:lineRule="auto"/>
        <w:tabs>
          <w:tab w:leader="none" w:pos="55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Deutsche Bank AG, London Branch is an affiliate of a registered-broker dealer and may be deemed to be an underwriter. The ordinary shares were acquired in the ordinary course of the selling shareholder's investment business and not for the purpose of resale or distribution. Deutsche Bank AG, London Branch has not participated in the distribution of the shares on behalf of the issuer. Deutsche Bank AG, the shares of which are traded on the New York Stock Exchange, is widely held and a reporting company under the Exchange Act.</w:t>
      </w:r>
    </w:p>
    <w:p>
      <w:pPr>
        <w:spacing w:after="0" w:line="175" w:lineRule="exact"/>
        <w:rPr>
          <w:rFonts w:ascii="Courier New" w:cs="Courier New" w:eastAsia="Courier New" w:hAnsi="Courier New"/>
          <w:sz w:val="15"/>
          <w:szCs w:val="15"/>
          <w:color w:val="auto"/>
        </w:rPr>
      </w:pPr>
    </w:p>
    <w:p>
      <w:pPr>
        <w:ind w:left="552" w:right="2839" w:hanging="552"/>
        <w:spacing w:after="0" w:line="251" w:lineRule="auto"/>
        <w:tabs>
          <w:tab w:leader="none" w:pos="55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NAIC-IT, LLC is the managing member of Globe LinQ International Fund I, LLC. Shinichi G. Kawaratani is the President of NAIC-IT, LLC and, by virute of his position, may be deemed to hold voting and dispositive power over the ordinary shares. Mr. Kawaratani disclaims beneficial ownership except to the extent of his pecuniary interest therein.</w:t>
      </w:r>
    </w:p>
    <w:p>
      <w:pPr>
        <w:spacing w:after="0" w:line="175" w:lineRule="exact"/>
        <w:rPr>
          <w:rFonts w:ascii="Courier New" w:cs="Courier New" w:eastAsia="Courier New" w:hAnsi="Courier New"/>
          <w:sz w:val="15"/>
          <w:szCs w:val="15"/>
          <w:color w:val="auto"/>
        </w:rPr>
      </w:pPr>
    </w:p>
    <w:p>
      <w:pPr>
        <w:ind w:left="552" w:right="2939" w:hanging="552"/>
        <w:spacing w:after="0" w:line="251" w:lineRule="auto"/>
        <w:tabs>
          <w:tab w:leader="none" w:pos="55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Atsushi Numa is the Chief Executive Officer of Infocom Corporation and, by virtue of his position, may be deemed to have voting and dispositive power over the ordinary shares. Mr. Numa disclaims beneficial ownership except to the extent of his pecuniary interest therein.</w:t>
      </w:r>
    </w:p>
    <w:p>
      <w:pPr>
        <w:spacing w:after="0" w:line="176" w:lineRule="exact"/>
        <w:rPr>
          <w:rFonts w:ascii="Courier New" w:cs="Courier New" w:eastAsia="Courier New" w:hAnsi="Courier New"/>
          <w:sz w:val="15"/>
          <w:szCs w:val="15"/>
          <w:color w:val="auto"/>
        </w:rPr>
      </w:pPr>
    </w:p>
    <w:p>
      <w:pPr>
        <w:ind w:left="552" w:right="2939" w:hanging="552"/>
        <w:spacing w:after="0" w:line="252" w:lineRule="auto"/>
        <w:tabs>
          <w:tab w:leader="none" w:pos="55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Dell Ventures L.P. is a wholly-owned subsidiary of Dell Inc. Dell Inc., the shares of which are traded on the Nasdaq National Market, is widely held and is a reporting company under the Exchange Act.</w:t>
      </w:r>
    </w:p>
    <w:p>
      <w:pPr>
        <w:spacing w:after="0" w:line="174" w:lineRule="exact"/>
        <w:rPr>
          <w:rFonts w:ascii="Courier New" w:cs="Courier New" w:eastAsia="Courier New" w:hAnsi="Courier New"/>
          <w:sz w:val="15"/>
          <w:szCs w:val="15"/>
          <w:color w:val="auto"/>
        </w:rPr>
      </w:pPr>
    </w:p>
    <w:p>
      <w:pPr>
        <w:jc w:val="both"/>
        <w:ind w:left="552" w:right="2839" w:hanging="552"/>
        <w:spacing w:after="0" w:line="252" w:lineRule="auto"/>
        <w:tabs>
          <w:tab w:leader="none" w:pos="55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Sun Microsystems, Inc., the shares of which are traded on the Nasdaq National Market, is widely held and is a reporting company under the Exchange Act.</w:t>
      </w:r>
    </w:p>
    <w:p>
      <w:pPr>
        <w:spacing w:after="0" w:line="174" w:lineRule="exact"/>
        <w:rPr>
          <w:rFonts w:ascii="Courier New" w:cs="Courier New" w:eastAsia="Courier New" w:hAnsi="Courier New"/>
          <w:sz w:val="15"/>
          <w:szCs w:val="15"/>
          <w:color w:val="auto"/>
        </w:rPr>
      </w:pPr>
    </w:p>
    <w:p>
      <w:pPr>
        <w:ind w:left="552" w:right="2939" w:hanging="552"/>
        <w:spacing w:after="0" w:line="251" w:lineRule="auto"/>
        <w:tabs>
          <w:tab w:leader="none" w:pos="55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Sage Capital Ltd. is the investment manager of Old Point International Corporation. Daniel Golan is the Chief Executive Officer of Sage Capital Ltd. and, by virtue of his position, may be deemed to have voting and dispositive power over the ordinary shares. Mr. Golan disclaims beneficial ownership of any shares held by Old Point International Corporation except to the extent of his pecuniary interest therein.</w:t>
      </w:r>
    </w:p>
    <w:p>
      <w:pPr>
        <w:spacing w:after="0" w:line="175" w:lineRule="exact"/>
        <w:rPr>
          <w:rFonts w:ascii="Courier New" w:cs="Courier New" w:eastAsia="Courier New" w:hAnsi="Courier New"/>
          <w:sz w:val="15"/>
          <w:szCs w:val="15"/>
          <w:color w:val="auto"/>
        </w:rPr>
      </w:pPr>
    </w:p>
    <w:p>
      <w:pPr>
        <w:ind w:left="552" w:right="2839" w:hanging="552"/>
        <w:spacing w:after="0" w:line="250" w:lineRule="auto"/>
        <w:tabs>
          <w:tab w:leader="none" w:pos="55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Suisse First Boston Venture Fund, L.P. is an affiliate of a registered-broker dealer and may be deemed to be an underwriter. The ordinary shares were acquired in the ordinary course of the selling shareholder's investment business and not for the purpose of resale or distribution. Credit Suisse First Boston Venture Fund has not participated in the distribution of the shares on behalf of the issuer. The beneficial owner of the ordinary shares is CSFB Technology Holdings 2000, LLC. George F. Boutros and William J.B. Brady, III, each a managing director at Credit Suisse First Boston LLC, are co-presidents of CSFB Technology Holdings 2000, LLC and may be deemed to share voting and dispositive power over the ordinary share. Each individual disclaims beneficial ownership except to the extent of his pecuniary interest therein.</w:t>
      </w:r>
    </w:p>
    <w:p>
      <w:pPr>
        <w:sectPr>
          <w:pgSz w:w="11900" w:h="16838" w:orient="portrait"/>
          <w:cols w:equalWidth="0" w:num="1">
            <w:col w:w="9671"/>
          </w:cols>
          <w:pgMar w:left="788" w:top="650" w:right="1440" w:bottom="0" w:gutter="0" w:footer="0" w:header="0"/>
        </w:sectPr>
      </w:pPr>
    </w:p>
    <w:bookmarkStart w:id="26" w:name="page27"/>
    <w:bookmarkEnd w:id="26"/>
    <w:p>
      <w:pPr>
        <w:ind w:left="552" w:right="2939" w:hanging="552"/>
        <w:spacing w:after="0" w:line="251" w:lineRule="auto"/>
        <w:tabs>
          <w:tab w:leader="none" w:pos="55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Hambrecht &amp; Quist California and Hambrecht &amp; Quist Employee Venture Fund 2000, LP are affiliates of a registered-broker dealer, J.P. Morgan Securities Inc., and may be deemed to be underwriters. The ordinary shares were acquired in the ordinary course of the selling shareholders' investment business and not for the purpose of resale or distribution. Hambrecht &amp; Quist California and Hambrecht &amp; Quist Employee Venture Fund 2000, LP have not participated in the distribution of the shares on behalf of the issuer. Hambrecht &amp;</w:t>
      </w:r>
    </w:p>
    <w:p>
      <w:pPr>
        <w:spacing w:after="0" w:line="175" w:lineRule="exact"/>
        <w:rPr>
          <w:sz w:val="20"/>
          <w:szCs w:val="20"/>
          <w:color w:val="auto"/>
        </w:rPr>
      </w:pPr>
    </w:p>
    <w:p>
      <w:pPr>
        <w:ind w:left="3052"/>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671"/>
          </w:cols>
          <w:pgMar w:left="788" w:top="142" w:right="1440" w:bottom="1440" w:gutter="0" w:footer="0" w:header="0"/>
        </w:sectPr>
      </w:pPr>
    </w:p>
    <w:bookmarkStart w:id="27" w:name="page28"/>
    <w:bookmarkEnd w:id="27"/>
    <w:p>
      <w:pPr>
        <w:ind w:left="1100" w:right="2839"/>
        <w:spacing w:after="0" w:line="251" w:lineRule="auto"/>
        <w:rPr>
          <w:sz w:val="20"/>
          <w:szCs w:val="20"/>
          <w:color w:val="auto"/>
        </w:rPr>
      </w:pPr>
      <w:r>
        <w:rPr>
          <w:rFonts w:ascii="Courier New" w:cs="Courier New" w:eastAsia="Courier New" w:hAnsi="Courier New"/>
          <w:sz w:val="15"/>
          <w:szCs w:val="15"/>
          <w:color w:val="auto"/>
        </w:rPr>
        <w:t>Quist Employee Venture Fund 2000, LP is a limited partnership whose general partner is H&amp;Q Venture Management LLC, a wholly owned entity of Hambrecht &amp; Quist California. Hambrecht &amp; Quist California is a wholly owned entity of J.P. Morgan Chase &amp; Co, the shares of which are traded on the New York Stock Exchange. J.P. Morgan Chase &amp; Co is widely held and is a reporting company under the Exchange Act.</w:t>
      </w:r>
    </w:p>
    <w:p>
      <w:pPr>
        <w:spacing w:after="0" w:line="176" w:lineRule="exact"/>
        <w:rPr>
          <w:sz w:val="20"/>
          <w:szCs w:val="20"/>
          <w:color w:val="auto"/>
        </w:rPr>
      </w:pPr>
    </w:p>
    <w:p>
      <w:pPr>
        <w:ind w:left="1100" w:right="2839" w:hanging="552"/>
        <w:spacing w:after="0" w:line="251" w:lineRule="auto"/>
        <w:tabs>
          <w:tab w:leader="none" w:pos="11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Zanoli is affiliated with a registered broker-dealer and may be deemed to be an underwriter. The ordinary shares were acquired by the selling shareholder for investment purposes and not for the purpose of resale or distribution. Mr. Levy has not participated in the distribution of the shares on behalf of the issuer.</w:t>
      </w:r>
    </w:p>
    <w:p>
      <w:pPr>
        <w:spacing w:after="0" w:line="176" w:lineRule="exact"/>
        <w:rPr>
          <w:rFonts w:ascii="Courier New" w:cs="Courier New" w:eastAsia="Courier New" w:hAnsi="Courier New"/>
          <w:sz w:val="15"/>
          <w:szCs w:val="15"/>
          <w:color w:val="auto"/>
        </w:rPr>
      </w:pPr>
    </w:p>
    <w:p>
      <w:pPr>
        <w:ind w:left="1100" w:right="2939" w:hanging="552"/>
        <w:spacing w:after="0" w:line="251" w:lineRule="auto"/>
        <w:tabs>
          <w:tab w:leader="none" w:pos="11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Erez Levy is affiliated with a registered broker-dealer and may be deemed to be an underwriter. The ordinary shares were acquired by the selling shareholder for investment purposes and not for the purpose of resale or distribution. Mr. Levy has not participated in the distribution of the shares on behalf of the issuer.</w:t>
      </w:r>
    </w:p>
    <w:p>
      <w:pPr>
        <w:spacing w:after="0" w:line="354" w:lineRule="exact"/>
        <w:rPr>
          <w:sz w:val="20"/>
          <w:szCs w:val="20"/>
          <w:color w:val="auto"/>
        </w:rPr>
      </w:pPr>
    </w:p>
    <w:p>
      <w:pPr>
        <w:jc w:val="both"/>
        <w:ind w:right="3019" w:firstLine="554"/>
        <w:spacing w:after="0" w:line="252" w:lineRule="auto"/>
        <w:rPr>
          <w:sz w:val="20"/>
          <w:szCs w:val="20"/>
          <w:color w:val="auto"/>
        </w:rPr>
      </w:pPr>
      <w:r>
        <w:rPr>
          <w:rFonts w:ascii="Courier New" w:cs="Courier New" w:eastAsia="Courier New" w:hAnsi="Courier New"/>
          <w:sz w:val="15"/>
          <w:szCs w:val="15"/>
          <w:color w:val="auto"/>
        </w:rPr>
        <w:t>Except as noted above, none of the selling securityholders has held any position or office with, or has otherwise had a material relationship with, us or any of our subsidiaries within the past three years.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50" w:right="1440" w:bottom="1440" w:gutter="0" w:footer="0" w:header="0"/>
        </w:sectPr>
      </w:pPr>
    </w:p>
    <w:bookmarkStart w:id="28" w:name="page29"/>
    <w:bookmarkEnd w:id="28"/>
    <w:p>
      <w:pPr>
        <w:ind w:left="2400"/>
        <w:spacing w:after="0"/>
        <w:rPr>
          <w:sz w:val="20"/>
          <w:szCs w:val="20"/>
          <w:color w:val="auto"/>
        </w:rPr>
      </w:pPr>
      <w:r>
        <w:rPr>
          <w:rFonts w:ascii="Courier New" w:cs="Courier New" w:eastAsia="Courier New" w:hAnsi="Courier New"/>
          <w:sz w:val="15"/>
          <w:szCs w:val="15"/>
          <w:color w:val="auto"/>
        </w:rPr>
        <w:t>DESCRIPTION OF SHARE CAPITAL</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176" w:lineRule="exact"/>
        <w:rPr>
          <w:sz w:val="20"/>
          <w:szCs w:val="20"/>
          <w:color w:val="auto"/>
        </w:rPr>
      </w:pPr>
    </w:p>
    <w:p>
      <w:pPr>
        <w:ind w:right="3019" w:firstLine="554"/>
        <w:spacing w:after="0" w:line="251" w:lineRule="auto"/>
        <w:rPr>
          <w:sz w:val="20"/>
          <w:szCs w:val="20"/>
          <w:color w:val="auto"/>
        </w:rPr>
      </w:pPr>
      <w:r>
        <w:rPr>
          <w:rFonts w:ascii="Courier New" w:cs="Courier New" w:eastAsia="Courier New" w:hAnsi="Courier New"/>
          <w:sz w:val="15"/>
          <w:szCs w:val="15"/>
          <w:color w:val="auto"/>
        </w:rPr>
        <w:t>The share capital of Amdocs is (pound)5,750,000 divided into (i) 25,000,000 preferred shares with a par value of (pound)0.01 per share and (ii) 550,000,000 ordinary shares with a par value of (pound)0.01 per share, consisting of 500,000,000 voting ordinary shares and 50,000,000 non-voting ordinary shares. As of May 31, 2004, 206,124,803 ordinary shares were outstanding (net of treasury shares) and no non-voting ordinary shares or preferred shares were outstanding. The rights, preferences and restrictions attaching to each class of the shares are as follows: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PREFERRED SHARES</w:t>
      </w:r>
    </w:p>
    <w:p>
      <w:pPr>
        <w:spacing w:after="0" w:line="185" w:lineRule="exact"/>
        <w:rPr>
          <w:sz w:val="20"/>
          <w:szCs w:val="20"/>
          <w:color w:val="auto"/>
        </w:rPr>
      </w:pPr>
    </w:p>
    <w:p>
      <w:pPr>
        <w:ind w:left="1100" w:right="2839" w:hanging="552"/>
        <w:spacing w:after="0" w:line="253" w:lineRule="auto"/>
        <w:tabs>
          <w:tab w:leader="none" w:pos="11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 the preferred shares may be issued from time to time in one or more series of any number of shares up to the amount authorized.</w:t>
      </w:r>
    </w:p>
    <w:p>
      <w:pPr>
        <w:spacing w:after="0" w:line="174" w:lineRule="exact"/>
        <w:rPr>
          <w:rFonts w:ascii="Courier New" w:cs="Courier New" w:eastAsia="Courier New" w:hAnsi="Courier New"/>
          <w:sz w:val="15"/>
          <w:szCs w:val="15"/>
          <w:color w:val="auto"/>
        </w:rPr>
      </w:pPr>
    </w:p>
    <w:p>
      <w:pPr>
        <w:ind w:left="1100" w:right="2839" w:hanging="552"/>
        <w:spacing w:after="0" w:line="251" w:lineRule="auto"/>
        <w:tabs>
          <w:tab w:leader="none" w:pos="11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75" w:lineRule="exact"/>
        <w:rPr>
          <w:rFonts w:ascii="Courier New" w:cs="Courier New" w:eastAsia="Courier New" w:hAnsi="Courier New"/>
          <w:sz w:val="15"/>
          <w:szCs w:val="15"/>
          <w:color w:val="auto"/>
        </w:rPr>
      </w:pPr>
    </w:p>
    <w:p>
      <w:pPr>
        <w:ind w:left="1100" w:right="2939" w:hanging="552"/>
        <w:spacing w:after="0" w:line="251" w:lineRule="auto"/>
        <w:tabs>
          <w:tab w:leader="none" w:pos="11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176" w:lineRule="exact"/>
        <w:rPr>
          <w:rFonts w:ascii="Courier New" w:cs="Courier New" w:eastAsia="Courier New" w:hAnsi="Courier New"/>
          <w:sz w:val="15"/>
          <w:szCs w:val="15"/>
          <w:color w:val="auto"/>
        </w:rPr>
      </w:pPr>
    </w:p>
    <w:p>
      <w:pPr>
        <w:ind w:left="1100" w:right="2839" w:hanging="552"/>
        <w:spacing w:after="0" w:line="250" w:lineRule="auto"/>
        <w:tabs>
          <w:tab w:leader="none" w:pos="11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181" w:lineRule="exact"/>
        <w:rPr>
          <w:rFonts w:ascii="Courier New" w:cs="Courier New" w:eastAsia="Courier New" w:hAnsi="Courier New"/>
          <w:sz w:val="15"/>
          <w:szCs w:val="15"/>
          <w:color w:val="auto"/>
        </w:rPr>
      </w:pPr>
    </w:p>
    <w:p>
      <w:pPr>
        <w:ind w:left="1100" w:right="2839" w:hanging="552"/>
        <w:spacing w:after="0" w:line="251" w:lineRule="auto"/>
        <w:tabs>
          <w:tab w:leader="none" w:pos="11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ORDINARY SHARES AND NON-VOTING ORDINARY SHARES</w:t>
      </w:r>
    </w:p>
    <w:p>
      <w:pPr>
        <w:spacing w:after="0" w:line="185" w:lineRule="exact"/>
        <w:rPr>
          <w:sz w:val="20"/>
          <w:szCs w:val="20"/>
          <w:color w:val="auto"/>
        </w:rPr>
      </w:pPr>
    </w:p>
    <w:p>
      <w:pPr>
        <w:jc w:val="both"/>
        <w:ind w:right="2839" w:firstLine="554"/>
        <w:spacing w:after="0" w:line="252" w:lineRule="auto"/>
        <w:rPr>
          <w:sz w:val="20"/>
          <w:szCs w:val="20"/>
          <w:color w:val="auto"/>
        </w:rPr>
      </w:pPr>
      <w:r>
        <w:rPr>
          <w:rFonts w:ascii="Courier New" w:cs="Courier New" w:eastAsia="Courier New" w:hAnsi="Courier New"/>
          <w:sz w:val="15"/>
          <w:szCs w:val="15"/>
          <w:color w:val="auto"/>
        </w:rPr>
        <w:t>Except as otherwise provided by the Memorandum of Association and Articles of Association, the ordinary shares and non-voting ordinary shares are identical and entitle holders thereof to the same rights and privileges.</w:t>
      </w:r>
    </w:p>
    <w:p>
      <w:pPr>
        <w:spacing w:after="0" w:line="175" w:lineRule="exact"/>
        <w:rPr>
          <w:sz w:val="20"/>
          <w:szCs w:val="20"/>
          <w:color w:val="auto"/>
        </w:rPr>
      </w:pPr>
    </w:p>
    <w:p>
      <w:pPr>
        <w:ind w:left="1100" w:right="2839" w:hanging="552"/>
        <w:spacing w:after="0" w:line="251" w:lineRule="auto"/>
        <w:tabs>
          <w:tab w:leader="none" w:pos="11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175" w:lineRule="exact"/>
        <w:rPr>
          <w:rFonts w:ascii="Courier New" w:cs="Courier New" w:eastAsia="Courier New" w:hAnsi="Courier New"/>
          <w:sz w:val="15"/>
          <w:szCs w:val="15"/>
          <w:color w:val="auto"/>
        </w:rPr>
      </w:pPr>
    </w:p>
    <w:p>
      <w:pPr>
        <w:ind w:left="1100" w:right="2839" w:hanging="552"/>
        <w:spacing w:after="0" w:line="251" w:lineRule="auto"/>
        <w:tabs>
          <w:tab w:leader="none" w:pos="11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50" w:right="1440" w:bottom="1440" w:gutter="0" w:footer="0" w:header="0"/>
        </w:sectPr>
      </w:pPr>
    </w:p>
    <w:bookmarkStart w:id="29" w:name="page30"/>
    <w:bookmarkEnd w:id="29"/>
    <w:p>
      <w:pPr>
        <w:ind w:left="552" w:right="2939" w:hanging="552"/>
        <w:spacing w:after="0" w:line="251" w:lineRule="auto"/>
        <w:tabs>
          <w:tab w:leader="none" w:pos="55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176" w:lineRule="exact"/>
        <w:rPr>
          <w:rFonts w:ascii="Courier New" w:cs="Courier New" w:eastAsia="Courier New" w:hAnsi="Courier New"/>
          <w:sz w:val="15"/>
          <w:szCs w:val="15"/>
          <w:color w:val="auto"/>
        </w:rPr>
      </w:pPr>
    </w:p>
    <w:p>
      <w:pPr>
        <w:ind w:left="552" w:right="2839" w:hanging="552"/>
        <w:spacing w:after="0" w:line="253" w:lineRule="auto"/>
        <w:tabs>
          <w:tab w:leader="none" w:pos="55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 the holders of voting ordinary shares are entitled to vote on all matters to be voted on by the members, and the holders of non-voting ordinary shares are not entitled to any voting rights.</w:t>
      </w:r>
    </w:p>
    <w:p>
      <w:pPr>
        <w:spacing w:after="0" w:line="349" w:lineRule="exact"/>
        <w:rPr>
          <w:rFonts w:ascii="Courier New" w:cs="Courier New" w:eastAsia="Courier New" w:hAnsi="Courier New"/>
          <w:sz w:val="15"/>
          <w:szCs w:val="15"/>
          <w:color w:val="auto"/>
        </w:rPr>
      </w:pPr>
    </w:p>
    <w:p>
      <w:pPr>
        <w:ind w:left="552" w:right="2839" w:hanging="552"/>
        <w:spacing w:after="0" w:line="251" w:lineRule="auto"/>
        <w:tabs>
          <w:tab w:leader="none" w:pos="55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Preferences -- the voting ordinary shares and non-voting ordinary shares are subject to all the powers, rights, privileges, preferences and priorities of the preferred shares as are set out in the Articles of Association.</w:t>
      </w:r>
    </w:p>
    <w:p>
      <w:pPr>
        <w:spacing w:after="0" w:line="176" w:lineRule="exact"/>
        <w:rPr>
          <w:sz w:val="20"/>
          <w:szCs w:val="20"/>
          <w:color w:val="auto"/>
        </w:rPr>
      </w:pPr>
    </w:p>
    <w:p>
      <w:pPr>
        <w:ind w:left="3052"/>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671"/>
          </w:cols>
          <w:pgMar w:left="788" w:top="650" w:right="1440" w:bottom="1440" w:gutter="0" w:footer="0" w:header="0"/>
        </w:sectPr>
      </w:pPr>
    </w:p>
    <w:bookmarkStart w:id="30" w:name="page31"/>
    <w:bookmarkEnd w:id="30"/>
    <w:p>
      <w:pPr>
        <w:ind w:left="1200"/>
        <w:spacing w:after="0"/>
        <w:rPr>
          <w:sz w:val="20"/>
          <w:szCs w:val="20"/>
          <w:color w:val="auto"/>
        </w:rPr>
      </w:pPr>
      <w:r>
        <w:rPr>
          <w:rFonts w:ascii="Courier New" w:cs="Courier New" w:eastAsia="Courier New" w:hAnsi="Courier New"/>
          <w:sz w:val="15"/>
          <w:szCs w:val="15"/>
          <w:color w:val="auto"/>
        </w:rPr>
        <w:t>COMPARISON OF UNITED STATES AND GUERNSEY CORPORATE LAW</w:t>
      </w:r>
    </w:p>
    <w:p>
      <w:pPr>
        <w:spacing w:after="0" w:line="185"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The following discussion is a summary of the material differences between United States and Guernsey corporate law relevant to an investment in the ordinary shares. The following discussion is based upon laws and relevant interpretations thereof in effect as of the date hereof, all of which are subject to change.</w:t>
      </w:r>
    </w:p>
    <w:p>
      <w:pPr>
        <w:spacing w:after="0" w:line="176"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76"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364"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82"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or default.</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50" w:right="1440" w:bottom="1440" w:gutter="0" w:footer="0" w:header="0"/>
        </w:sectPr>
      </w:pPr>
    </w:p>
    <w:bookmarkStart w:id="31" w:name="page32"/>
    <w:bookmarkEnd w:id="31"/>
    <w:p>
      <w:pPr>
        <w:ind w:left="2760"/>
        <w:spacing w:after="0"/>
        <w:rPr>
          <w:sz w:val="20"/>
          <w:szCs w:val="20"/>
          <w:color w:val="auto"/>
        </w:rPr>
      </w:pPr>
      <w:r>
        <w:rPr>
          <w:rFonts w:ascii="Courier New" w:cs="Courier New" w:eastAsia="Courier New" w:hAnsi="Courier New"/>
          <w:sz w:val="15"/>
          <w:szCs w:val="15"/>
          <w:color w:val="auto"/>
        </w:rPr>
        <w:t>PLAN OF DISTRIBUTION</w:t>
      </w:r>
    </w:p>
    <w:p>
      <w:pPr>
        <w:spacing w:after="0" w:line="185"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The selling securityholders may offer and sell the ordinary shares covered by this prospectus from time to time. The term "selling securityholders" includes donees, pledgees, transferees, distributees or other successors-in-interest selling shares received after the date of this prospectus from a selling securityholder as a gift, pledge, partnership or limited liability company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ordinary shares by one or more of, or a combination of, the following methods:</w:t>
      </w:r>
    </w:p>
    <w:p>
      <w:pPr>
        <w:spacing w:after="0" w:line="183" w:lineRule="exact"/>
        <w:rPr>
          <w:sz w:val="20"/>
          <w:szCs w:val="20"/>
          <w:color w:val="auto"/>
        </w:rPr>
      </w:pPr>
    </w:p>
    <w:p>
      <w:pPr>
        <w:ind w:left="1100" w:right="3399" w:hanging="552"/>
        <w:spacing w:after="0" w:line="253" w:lineRule="auto"/>
        <w:tabs>
          <w:tab w:leader="none" w:pos="11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by a broker-dealer as principal and resale by such broker-dealer for its own account pursuant to this prospectus;</w:t>
      </w:r>
    </w:p>
    <w:p>
      <w:pPr>
        <w:spacing w:after="0" w:line="174" w:lineRule="exact"/>
        <w:rPr>
          <w:rFonts w:ascii="Courier New" w:cs="Courier New" w:eastAsia="Courier New" w:hAnsi="Courier New"/>
          <w:sz w:val="15"/>
          <w:szCs w:val="15"/>
          <w:color w:val="auto"/>
        </w:rPr>
      </w:pPr>
    </w:p>
    <w:p>
      <w:pPr>
        <w:ind w:left="1100" w:right="2839" w:hanging="552"/>
        <w:spacing w:after="0" w:line="253" w:lineRule="auto"/>
        <w:tabs>
          <w:tab w:leader="none" w:pos="11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brokerage transactions and transactions in which the broker solicits purchasers;</w:t>
      </w:r>
    </w:p>
    <w:p>
      <w:pPr>
        <w:spacing w:after="0" w:line="174" w:lineRule="exact"/>
        <w:rPr>
          <w:rFonts w:ascii="Courier New" w:cs="Courier New" w:eastAsia="Courier New" w:hAnsi="Courier New"/>
          <w:sz w:val="15"/>
          <w:szCs w:val="15"/>
          <w:color w:val="auto"/>
        </w:rPr>
      </w:pPr>
    </w:p>
    <w:p>
      <w:pPr>
        <w:ind w:left="1100" w:right="3019" w:hanging="552"/>
        <w:spacing w:after="0" w:line="252" w:lineRule="auto"/>
        <w:tabs>
          <w:tab w:leader="none" w:pos="11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block trades in which the broker-dealer so engaged will attempt to sell the shares as agent but may position and resell a portion of the block as principal to facilitate the transaction;</w:t>
      </w:r>
    </w:p>
    <w:p>
      <w:pPr>
        <w:spacing w:after="0" w:line="174" w:lineRule="exact"/>
        <w:rPr>
          <w:rFonts w:ascii="Courier New" w:cs="Courier New" w:eastAsia="Courier New" w:hAnsi="Courier New"/>
          <w:sz w:val="15"/>
          <w:szCs w:val="15"/>
          <w:color w:val="auto"/>
        </w:rPr>
      </w:pPr>
    </w:p>
    <w:p>
      <w:pPr>
        <w:ind w:left="1100" w:right="2839" w:hanging="552"/>
        <w:spacing w:after="0" w:line="252" w:lineRule="auto"/>
        <w:tabs>
          <w:tab w:leader="none" w:pos="11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any national securities exchange or U.S. inter-dealer system of a registered national securities association on which our ordinary shares may be listed or quoted at the time of sale;</w:t>
      </w:r>
    </w:p>
    <w:p>
      <w:pPr>
        <w:spacing w:after="0" w:line="17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privately negotiated transactions; and</w:t>
      </w:r>
    </w:p>
    <w:p>
      <w:pPr>
        <w:spacing w:after="0" w:line="184" w:lineRule="exact"/>
        <w:rPr>
          <w:rFonts w:ascii="Courier New" w:cs="Courier New" w:eastAsia="Courier New" w:hAnsi="Courier New"/>
          <w:sz w:val="15"/>
          <w:szCs w:val="15"/>
          <w:color w:val="auto"/>
        </w:rPr>
      </w:pPr>
    </w:p>
    <w:p>
      <w:pPr>
        <w:ind w:left="1100" w:hanging="552"/>
        <w:spacing w:after="0"/>
        <w:tabs>
          <w:tab w:leader="none" w:pos="11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options transactions.</w:t>
      </w:r>
    </w:p>
    <w:p>
      <w:pPr>
        <w:spacing w:after="0" w:line="185" w:lineRule="exact"/>
        <w:rPr>
          <w:sz w:val="20"/>
          <w:szCs w:val="20"/>
          <w:color w:val="auto"/>
        </w:rPr>
      </w:pPr>
    </w:p>
    <w:p>
      <w:pPr>
        <w:ind w:right="2939" w:firstLine="554"/>
        <w:spacing w:after="0" w:line="253" w:lineRule="auto"/>
        <w:rPr>
          <w:sz w:val="20"/>
          <w:szCs w:val="20"/>
          <w:color w:val="auto"/>
        </w:rPr>
      </w:pPr>
      <w:r>
        <w:rPr>
          <w:rFonts w:ascii="Courier New" w:cs="Courier New" w:eastAsia="Courier New" w:hAnsi="Courier New"/>
          <w:sz w:val="15"/>
          <w:szCs w:val="15"/>
          <w:color w:val="auto"/>
        </w:rPr>
        <w:t>In addition, the selling securityholders may sell any shares that qualify for sale under Rule 144 rather than pursuant to this prospectus.</w:t>
      </w:r>
    </w:p>
    <w:p>
      <w:pPr>
        <w:spacing w:after="0" w:line="174" w:lineRule="exact"/>
        <w:rPr>
          <w:sz w:val="20"/>
          <w:szCs w:val="20"/>
          <w:color w:val="auto"/>
        </w:rPr>
      </w:pPr>
    </w:p>
    <w:p>
      <w:pPr>
        <w:ind w:right="2839" w:firstLine="554"/>
        <w:spacing w:after="0" w:line="250" w:lineRule="auto"/>
        <w:rPr>
          <w:sz w:val="20"/>
          <w:szCs w:val="20"/>
          <w:color w:val="auto"/>
        </w:rPr>
      </w:pPr>
      <w:r>
        <w:rPr>
          <w:rFonts w:ascii="Courier New" w:cs="Courier New" w:eastAsia="Courier New" w:hAnsi="Courier New"/>
          <w:sz w:val="15"/>
          <w:szCs w:val="15"/>
          <w:color w:val="auto"/>
        </w:rPr>
        <w:t>In connection with distributions of the ordinary shares covered by this prospectus or otherwise, the selling securityholders may enter into hedging transactions with broker-dealers or other financial institutions. In connection with such transactions, broker-dealers or other financial institutions may engage in short sales of the ordinary shares in the course of hedging the positions they assume with selling securityholders. The selling securityholders may also sell ordinary shares short and deliver the shares offered by this prospectus to close out such short positions. The selling securityholders may also enter into option or other transactions with broker-dealers or other financial institutions which require the delivery to such broker-dealer or other financial institution of ordinary shares offered by this prospectus, which shares such broker-dealer or other financial institution may resell pursuant to this prospectus, as supplemented or amended to reflect such transaction. The selling securityholders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85" w:lineRule="exact"/>
        <w:rPr>
          <w:sz w:val="20"/>
          <w:szCs w:val="20"/>
          <w:color w:val="auto"/>
        </w:rPr>
      </w:pPr>
    </w:p>
    <w:p>
      <w:pPr>
        <w:ind w:right="2939" w:firstLine="554"/>
        <w:spacing w:after="0" w:line="251" w:lineRule="auto"/>
        <w:rPr>
          <w:sz w:val="20"/>
          <w:szCs w:val="20"/>
          <w:color w:val="auto"/>
        </w:rPr>
      </w:pPr>
      <w:r>
        <w:rPr>
          <w:rFonts w:ascii="Courier New" w:cs="Courier New" w:eastAsia="Courier New" w:hAnsi="Courier New"/>
          <w:sz w:val="15"/>
          <w:szCs w:val="15"/>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176"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In offering the ordinary shares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treated as underwriting discounts and commissions.</w:t>
      </w:r>
    </w:p>
    <w:p>
      <w:pPr>
        <w:spacing w:after="0" w:line="1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Our ordinary shares are listed on the New York Stock Exchange.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50" w:right="1440" w:bottom="1440" w:gutter="0" w:footer="0" w:header="0"/>
        </w:sectPr>
      </w:pPr>
    </w:p>
    <w:bookmarkStart w:id="32" w:name="page33"/>
    <w:bookmarkEnd w:id="32"/>
    <w:p>
      <w:pPr>
        <w:ind w:left="5" w:right="2839" w:firstLine="554"/>
        <w:spacing w:after="0" w:line="251" w:lineRule="auto"/>
        <w:rPr>
          <w:sz w:val="20"/>
          <w:szCs w:val="20"/>
          <w:color w:val="auto"/>
        </w:rPr>
      </w:pPr>
      <w:r>
        <w:rPr>
          <w:rFonts w:ascii="Courier New" w:cs="Courier New" w:eastAsia="Courier New" w:hAnsi="Courier New"/>
          <w:sz w:val="15"/>
          <w:szCs w:val="15"/>
          <w:color w:val="auto"/>
        </w:rPr>
        <w:t>In order to comply with the securities laws of some states, the selling securityholders may be required to sell their shares in such jurisdictions only through registered or licensed brokers or dealers. In addition, some states may restrict the selling securityholders from selling their shares unless the shares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left="5" w:right="2839" w:firstLine="554"/>
        <w:spacing w:after="0" w:line="250" w:lineRule="auto"/>
        <w:rPr>
          <w:sz w:val="20"/>
          <w:szCs w:val="20"/>
          <w:color w:val="auto"/>
        </w:rPr>
      </w:pPr>
      <w:r>
        <w:rPr>
          <w:rFonts w:ascii="Courier New" w:cs="Courier New" w:eastAsia="Courier New" w:hAnsi="Courier New"/>
          <w:sz w:val="15"/>
          <w:szCs w:val="15"/>
          <w:color w:val="auto"/>
        </w:rPr>
        <w:t>We have advised the selling securityholders that the anti-manipulation rules of Regulation M under the Exchange Act may apply to sales of shares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NYSE pursuant to Rule 153 under the Securities Act. The selling securityholders may indemnify any broker-dealer that participates in transactions involving the sale of the shares against certain liabilities, including liabilities arising under the Securities Act.</w:t>
      </w:r>
    </w:p>
    <w:p>
      <w:pPr>
        <w:spacing w:after="0" w:line="182" w:lineRule="exact"/>
        <w:rPr>
          <w:sz w:val="20"/>
          <w:szCs w:val="20"/>
          <w:color w:val="auto"/>
        </w:rPr>
      </w:pPr>
    </w:p>
    <w:p>
      <w:pPr>
        <w:ind w:left="5" w:right="3119" w:firstLine="554"/>
        <w:spacing w:after="0" w:line="251" w:lineRule="auto"/>
        <w:rPr>
          <w:sz w:val="20"/>
          <w:szCs w:val="20"/>
          <w:color w:val="auto"/>
        </w:rPr>
      </w:pPr>
      <w:r>
        <w:rPr>
          <w:rFonts w:ascii="Courier New" w:cs="Courier New" w:eastAsia="Courier New" w:hAnsi="Courier New"/>
          <w:sz w:val="15"/>
          <w:szCs w:val="15"/>
          <w:color w:val="auto"/>
        </w:rPr>
        <w:t>At the time a particular offer of shares is made, if required, we will distribute a prospectus supplement that will set forth the number of ordinary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75" w:lineRule="exact"/>
        <w:rPr>
          <w:sz w:val="20"/>
          <w:szCs w:val="20"/>
          <w:color w:val="auto"/>
        </w:rPr>
      </w:pPr>
    </w:p>
    <w:p>
      <w:pPr>
        <w:ind w:left="5" w:right="3119" w:firstLine="554"/>
        <w:spacing w:after="0" w:line="253" w:lineRule="auto"/>
        <w:rPr>
          <w:sz w:val="20"/>
          <w:szCs w:val="20"/>
          <w:color w:val="auto"/>
        </w:rPr>
      </w:pPr>
      <w:r>
        <w:rPr>
          <w:rFonts w:ascii="Courier New" w:cs="Courier New" w:eastAsia="Courier New" w:hAnsi="Courier New"/>
          <w:sz w:val="15"/>
          <w:szCs w:val="15"/>
          <w:color w:val="auto"/>
        </w:rPr>
        <w:t>We have agreed to indemnify the selling securityholders against certain liabilities, including certain liabilities under the Securities Act.</w:t>
      </w:r>
    </w:p>
    <w:p>
      <w:pPr>
        <w:spacing w:after="0" w:line="174" w:lineRule="exact"/>
        <w:rPr>
          <w:sz w:val="20"/>
          <w:szCs w:val="20"/>
          <w:color w:val="auto"/>
        </w:rPr>
      </w:pPr>
    </w:p>
    <w:p>
      <w:pPr>
        <w:ind w:left="5" w:right="2939" w:firstLine="554"/>
        <w:spacing w:after="0" w:line="250" w:lineRule="auto"/>
        <w:rPr>
          <w:sz w:val="20"/>
          <w:szCs w:val="20"/>
          <w:color w:val="auto"/>
        </w:rPr>
      </w:pPr>
      <w:r>
        <w:rPr>
          <w:rFonts w:ascii="Courier New" w:cs="Courier New" w:eastAsia="Courier New" w:hAnsi="Courier New"/>
          <w:sz w:val="15"/>
          <w:szCs w:val="15"/>
          <w:color w:val="auto"/>
        </w:rPr>
        <w:t>We have agreed with the selling securityholders to keep the Registration Statement of which this prospectus constitutes a part effective until the earliest to occur of (1) the date on which all of the shares being offered hereby have been sold pursuant to the Registration Statement of which this prospectus constitutes a part or pursuant to Rule 144 under the Securities Act,</w:t>
      </w:r>
    </w:p>
    <w:p>
      <w:pPr>
        <w:spacing w:after="0" w:line="2" w:lineRule="exact"/>
        <w:rPr>
          <w:sz w:val="20"/>
          <w:szCs w:val="20"/>
          <w:color w:val="auto"/>
        </w:rPr>
      </w:pPr>
    </w:p>
    <w:p>
      <w:pPr>
        <w:ind w:left="5" w:right="2839" w:hanging="5"/>
        <w:spacing w:after="0" w:line="252" w:lineRule="auto"/>
        <w:tabs>
          <w:tab w:leader="none" w:pos="37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all of the shares being offered hereby can be sold without registration without regard to the volume restrictions of Rule 144 under the Securities Act and (3) February 19, 2006.</w:t>
      </w:r>
    </w:p>
    <w:p>
      <w:pPr>
        <w:spacing w:after="0" w:line="175"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LEGAL MATTERS</w:t>
      </w:r>
    </w:p>
    <w:p>
      <w:pPr>
        <w:spacing w:after="0" w:line="185" w:lineRule="exact"/>
        <w:rPr>
          <w:sz w:val="20"/>
          <w:szCs w:val="20"/>
          <w:color w:val="auto"/>
        </w:rPr>
      </w:pPr>
    </w:p>
    <w:p>
      <w:pPr>
        <w:ind w:left="5" w:right="2839" w:firstLine="554"/>
        <w:spacing w:after="0" w:line="253" w:lineRule="auto"/>
        <w:rPr>
          <w:sz w:val="20"/>
          <w:szCs w:val="20"/>
          <w:color w:val="auto"/>
        </w:rPr>
      </w:pPr>
      <w:r>
        <w:rPr>
          <w:rFonts w:ascii="Courier New" w:cs="Courier New" w:eastAsia="Courier New" w:hAnsi="Courier New"/>
          <w:sz w:val="15"/>
          <w:szCs w:val="15"/>
          <w:color w:val="auto"/>
        </w:rPr>
        <w:t>The validity of the ordinary shares offered hereby will be passed upon for us by Carey Olsen, Island of Guernsey.</w:t>
      </w:r>
    </w:p>
    <w:p>
      <w:pPr>
        <w:spacing w:after="0" w:line="174"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EXPERTS</w:t>
      </w:r>
    </w:p>
    <w:p>
      <w:pPr>
        <w:spacing w:after="0" w:line="185"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The consolidated financial statements and schedule of Amdocs Limited appearing in Amdocs Limited's Annual Report (Form 20-F) for the year ended September 30, 2003, have been audited by Ernst &amp; Young LLP, independent auditors,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176"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Deloitte &amp; Touche, LLP, independent registered chartered accountants, have audited the Financial Statements of Certen Inc. as set forth in their report included in our Annual Report on Form 20-F for the year ended September 30, 2003, which is incorporated by reference herein. The Financial Statements of Certen are incorporated by reference in reliance on Deloitte &amp; Touche, LLP's report, given on their authority as experts in accounting and auditing.</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5"/>
          </w:cols>
          <w:pgMar w:left="235" w:top="650" w:right="1440" w:bottom="1440" w:gutter="0" w:footer="0" w:header="0"/>
        </w:sectPr>
      </w:pPr>
    </w:p>
    <w:bookmarkStart w:id="33" w:name="page34"/>
    <w:bookmarkEnd w:id="33"/>
    <w:p>
      <w:pPr>
        <w:ind w:left="2125"/>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85"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175"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175"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76" w:lineRule="exact"/>
        <w:rPr>
          <w:sz w:val="20"/>
          <w:szCs w:val="20"/>
          <w:color w:val="auto"/>
        </w:rPr>
      </w:pPr>
    </w:p>
    <w:p>
      <w:pPr>
        <w:ind w:left="5" w:right="3019" w:firstLine="554"/>
        <w:spacing w:after="0" w:line="251" w:lineRule="auto"/>
        <w:rPr>
          <w:sz w:val="20"/>
          <w:szCs w:val="20"/>
          <w:color w:val="auto"/>
        </w:rPr>
      </w:pPr>
      <w:r>
        <w:rPr>
          <w:rFonts w:ascii="Courier New" w:cs="Courier New" w:eastAsia="Courier New" w:hAnsi="Courier New"/>
          <w:sz w:val="15"/>
          <w:szCs w:val="15"/>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176"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175"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176" w:lineRule="exact"/>
        <w:rPr>
          <w:sz w:val="20"/>
          <w:szCs w:val="20"/>
          <w:color w:val="auto"/>
        </w:rPr>
      </w:pPr>
    </w:p>
    <w:p>
      <w:pPr>
        <w:jc w:val="both"/>
        <w:ind w:left="5" w:right="2939" w:firstLine="554"/>
        <w:spacing w:after="0" w:line="252" w:lineRule="auto"/>
        <w:rPr>
          <w:sz w:val="20"/>
          <w:szCs w:val="20"/>
          <w:color w:val="auto"/>
        </w:rPr>
      </w:pPr>
      <w:r>
        <w:rPr>
          <w:rFonts w:ascii="Courier New" w:cs="Courier New" w:eastAsia="Courier New" w:hAnsi="Courier New"/>
          <w:sz w:val="15"/>
          <w:szCs w:val="15"/>
          <w:color w:val="auto"/>
        </w:rPr>
        <w:t>In order for the Royal Court of Guernsey to entertain an action to sue on a foreign judgment, it is expected that the following criteria would have to be met:</w:t>
      </w:r>
    </w:p>
    <w:p>
      <w:pPr>
        <w:spacing w:after="0" w:line="175" w:lineRule="exact"/>
        <w:rPr>
          <w:sz w:val="20"/>
          <w:szCs w:val="20"/>
          <w:color w:val="auto"/>
        </w:rPr>
      </w:pPr>
    </w:p>
    <w:p>
      <w:pPr>
        <w:ind w:left="545" w:right="2839" w:hanging="545"/>
        <w:spacing w:after="0" w:line="252" w:lineRule="auto"/>
        <w:tabs>
          <w:tab w:leader="none" w:pos="54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foreign court is recognized by the Royal Court of Guernsey as having jurisdiction to determine the dispute. It is likely that such jurisdiction will be recognized in the following circumstances:</w:t>
      </w:r>
    </w:p>
    <w:p>
      <w:pPr>
        <w:spacing w:after="0" w:line="174" w:lineRule="exact"/>
        <w:rPr>
          <w:rFonts w:ascii="Courier New" w:cs="Courier New" w:eastAsia="Courier New" w:hAnsi="Courier New"/>
          <w:sz w:val="15"/>
          <w:szCs w:val="15"/>
          <w:color w:val="auto"/>
        </w:rPr>
      </w:pPr>
    </w:p>
    <w:p>
      <w:pPr>
        <w:ind w:left="545" w:right="2939" w:hanging="361"/>
        <w:spacing w:after="0" w:line="253" w:lineRule="auto"/>
        <w:tabs>
          <w:tab w:leader="none" w:pos="545"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judgment debtor was present in the foreign country at the time the foreign proceedings were instituted;</w:t>
      </w:r>
    </w:p>
    <w:p>
      <w:pPr>
        <w:spacing w:after="0" w:line="174" w:lineRule="exact"/>
        <w:rPr>
          <w:rFonts w:ascii="Courier New" w:cs="Courier New" w:eastAsia="Courier New" w:hAnsi="Courier New"/>
          <w:sz w:val="15"/>
          <w:szCs w:val="15"/>
          <w:color w:val="auto"/>
        </w:rPr>
      </w:pPr>
    </w:p>
    <w:p>
      <w:pPr>
        <w:ind w:left="545" w:right="2939" w:hanging="361"/>
        <w:spacing w:after="0" w:line="253" w:lineRule="auto"/>
        <w:tabs>
          <w:tab w:leader="none" w:pos="545"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judgment debtor was claimant or counterclaimant in the proceedings in the foreign court;</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5"/>
          </w:cols>
          <w:pgMar w:left="235" w:top="650" w:right="1440" w:bottom="1440" w:gutter="0" w:footer="0" w:header="0"/>
        </w:sectPr>
      </w:pPr>
    </w:p>
    <w:bookmarkStart w:id="34" w:name="page35"/>
    <w:bookmarkEnd w:id="34"/>
    <w:p>
      <w:pPr>
        <w:ind w:left="545" w:right="2939" w:hanging="361"/>
        <w:spacing w:after="0" w:line="252" w:lineRule="auto"/>
        <w:tabs>
          <w:tab w:leader="none" w:pos="545"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judgment debtor, being a defendant in the foreign court, submitted to the jurisdiction of that court by voluntarily appearing in the proceedings; or</w:t>
      </w:r>
    </w:p>
    <w:p>
      <w:pPr>
        <w:spacing w:after="0" w:line="174" w:lineRule="exact"/>
        <w:rPr>
          <w:rFonts w:ascii="Courier New" w:cs="Courier New" w:eastAsia="Courier New" w:hAnsi="Courier New"/>
          <w:sz w:val="15"/>
          <w:szCs w:val="15"/>
          <w:color w:val="auto"/>
        </w:rPr>
      </w:pPr>
    </w:p>
    <w:p>
      <w:pPr>
        <w:ind w:left="545" w:right="3119" w:hanging="361"/>
        <w:spacing w:after="0" w:line="251" w:lineRule="auto"/>
        <w:tabs>
          <w:tab w:leader="none" w:pos="545"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176" w:lineRule="exact"/>
        <w:rPr>
          <w:rFonts w:ascii="Courier New" w:cs="Courier New" w:eastAsia="Courier New" w:hAnsi="Courier New"/>
          <w:sz w:val="15"/>
          <w:szCs w:val="15"/>
          <w:color w:val="auto"/>
        </w:rPr>
      </w:pPr>
    </w:p>
    <w:p>
      <w:pPr>
        <w:ind w:left="545" w:right="2839" w:hanging="545"/>
        <w:spacing w:after="0" w:line="251" w:lineRule="auto"/>
        <w:tabs>
          <w:tab w:leader="none" w:pos="54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76" w:lineRule="exact"/>
        <w:rPr>
          <w:sz w:val="20"/>
          <w:szCs w:val="20"/>
          <w:color w:val="auto"/>
        </w:rPr>
      </w:pPr>
    </w:p>
    <w:p>
      <w:pPr>
        <w:ind w:left="545" w:right="2839"/>
        <w:spacing w:after="0" w:line="252" w:lineRule="auto"/>
        <w:rPr>
          <w:sz w:val="20"/>
          <w:szCs w:val="20"/>
          <w:color w:val="auto"/>
        </w:rPr>
      </w:pPr>
      <w:r>
        <w:rPr>
          <w:rFonts w:ascii="Courier New" w:cs="Courier New" w:eastAsia="Courier New" w:hAnsi="Courier New"/>
          <w:sz w:val="15"/>
          <w:szCs w:val="15"/>
          <w:color w:val="auto"/>
        </w:rPr>
        <w:t>The foreign judgment must be final and conclusive on the merits and is for a definite sum of money, other than a sum in respect of taxes, fines or other penalties.</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5"/>
          </w:cols>
          <w:pgMar w:left="235" w:top="650" w:right="1440" w:bottom="1440" w:gutter="0" w:footer="0" w:header="0"/>
        </w:sectPr>
      </w:pPr>
    </w:p>
    <w:bookmarkStart w:id="35" w:name="page36"/>
    <w:bookmarkEnd w:id="35"/>
    <w:p>
      <w:pPr>
        <w:jc w:val="center"/>
        <w:ind w:right="2754"/>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85" w:lineRule="exact"/>
        <w:rPr>
          <w:sz w:val="20"/>
          <w:szCs w:val="20"/>
          <w:color w:val="auto"/>
        </w:rPr>
      </w:pPr>
    </w:p>
    <w:p>
      <w:pPr>
        <w:ind w:left="5" w:right="2939" w:firstLine="554"/>
        <w:spacing w:after="0" w:line="251" w:lineRule="auto"/>
        <w:rPr>
          <w:sz w:val="20"/>
          <w:szCs w:val="20"/>
          <w:color w:val="auto"/>
        </w:rPr>
      </w:pPr>
      <w:r>
        <w:rPr>
          <w:rFonts w:ascii="Courier New" w:cs="Courier New" w:eastAsia="Courier New" w:hAnsi="Courier New"/>
          <w:sz w:val="15"/>
          <w:szCs w:val="15"/>
          <w:color w:val="auto"/>
        </w:rPr>
        <w:t>We incorporate by reference into this prospectus the documents listed below and any future filings we make with the Securities and Exchange Commission, referred to herein as the SEC, under Sections 13(a), 13(c) or 15(d) of the Securities Exchange Act of 1934, as amended, referred to herein as the Exchange Act, including any filings or submissions after the date of this prospectus, until the selling securityholders have sold all of the ordinary shares to which this prospectus relates:</w:t>
      </w:r>
    </w:p>
    <w:p>
      <w:pPr>
        <w:spacing w:after="0" w:line="176" w:lineRule="exact"/>
        <w:rPr>
          <w:sz w:val="20"/>
          <w:szCs w:val="20"/>
          <w:color w:val="auto"/>
        </w:rPr>
      </w:pPr>
    </w:p>
    <w:p>
      <w:pPr>
        <w:ind w:left="1105" w:right="3019" w:hanging="552"/>
        <w:spacing w:after="0" w:line="253" w:lineRule="auto"/>
        <w:tabs>
          <w:tab w:leader="none" w:pos="110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 for the fiscal year ended September 30, 2003, filed on December 24, 2003;</w:t>
      </w:r>
    </w:p>
    <w:p>
      <w:pPr>
        <w:spacing w:after="0" w:line="174" w:lineRule="exact"/>
        <w:rPr>
          <w:rFonts w:ascii="Courier New" w:cs="Courier New" w:eastAsia="Courier New" w:hAnsi="Courier New"/>
          <w:sz w:val="15"/>
          <w:szCs w:val="15"/>
          <w:color w:val="auto"/>
        </w:rPr>
      </w:pPr>
    </w:p>
    <w:p>
      <w:pPr>
        <w:ind w:left="1105" w:right="2839" w:hanging="552"/>
        <w:spacing w:after="0" w:line="253" w:lineRule="auto"/>
        <w:tabs>
          <w:tab w:leader="none" w:pos="110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 on Form 6-K containing our proxy materials for our annual general meeting of shareholders, filed on December 24, 2003;</w:t>
      </w:r>
    </w:p>
    <w:p>
      <w:pPr>
        <w:spacing w:after="0" w:line="174" w:lineRule="exact"/>
        <w:rPr>
          <w:rFonts w:ascii="Courier New" w:cs="Courier New" w:eastAsia="Courier New" w:hAnsi="Courier New"/>
          <w:sz w:val="15"/>
          <w:szCs w:val="15"/>
          <w:color w:val="auto"/>
        </w:rPr>
      </w:pPr>
    </w:p>
    <w:p>
      <w:pPr>
        <w:ind w:left="1105" w:right="3299" w:hanging="552"/>
        <w:spacing w:after="0" w:line="253" w:lineRule="auto"/>
        <w:tabs>
          <w:tab w:leader="none" w:pos="110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 on Form 6-K containing our results for the quarterly period ended December 31, 2003, filed on February 17, 2004;</w:t>
      </w:r>
    </w:p>
    <w:p>
      <w:pPr>
        <w:spacing w:after="0" w:line="174" w:lineRule="exact"/>
        <w:rPr>
          <w:rFonts w:ascii="Courier New" w:cs="Courier New" w:eastAsia="Courier New" w:hAnsi="Courier New"/>
          <w:sz w:val="15"/>
          <w:szCs w:val="15"/>
          <w:color w:val="auto"/>
        </w:rPr>
      </w:pPr>
    </w:p>
    <w:p>
      <w:pPr>
        <w:ind w:left="1105" w:right="3219" w:hanging="552"/>
        <w:spacing w:after="0" w:line="252" w:lineRule="auto"/>
        <w:tabs>
          <w:tab w:leader="none" w:pos="110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reports on Form 6-K with respect to our offering of 0.50% Convertible Senior Notes due 2024, filed on March 1, March 2 and March 5, 2004;</w:t>
      </w:r>
    </w:p>
    <w:p>
      <w:pPr>
        <w:spacing w:after="0" w:line="174" w:lineRule="exact"/>
        <w:rPr>
          <w:rFonts w:ascii="Courier New" w:cs="Courier New" w:eastAsia="Courier New" w:hAnsi="Courier New"/>
          <w:sz w:val="15"/>
          <w:szCs w:val="15"/>
          <w:color w:val="auto"/>
        </w:rPr>
      </w:pPr>
    </w:p>
    <w:p>
      <w:pPr>
        <w:ind w:left="1105" w:right="3299" w:hanging="552"/>
        <w:spacing w:after="0" w:line="253" w:lineRule="auto"/>
        <w:tabs>
          <w:tab w:leader="none" w:pos="110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 on Form 6-K containing our results for the quarterly period ended March 31, 2004, filed on June 10, 2004; and</w:t>
      </w:r>
    </w:p>
    <w:p>
      <w:pPr>
        <w:spacing w:after="0" w:line="174" w:lineRule="exact"/>
        <w:rPr>
          <w:rFonts w:ascii="Courier New" w:cs="Courier New" w:eastAsia="Courier New" w:hAnsi="Courier New"/>
          <w:sz w:val="15"/>
          <w:szCs w:val="15"/>
          <w:color w:val="auto"/>
        </w:rPr>
      </w:pPr>
    </w:p>
    <w:p>
      <w:pPr>
        <w:ind w:left="1105" w:right="2839" w:hanging="552"/>
        <w:spacing w:after="0" w:line="251" w:lineRule="auto"/>
        <w:tabs>
          <w:tab w:leader="none" w:pos="110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ordinary shares contained in our Registration Statement on Form 8-A filed on June 17, 1998 under Section 12 of the Exchange Act, including any amendment or report updating this description.</w:t>
      </w:r>
    </w:p>
    <w:p>
      <w:pPr>
        <w:spacing w:after="0" w:line="176" w:lineRule="exact"/>
        <w:rPr>
          <w:sz w:val="20"/>
          <w:szCs w:val="20"/>
          <w:color w:val="auto"/>
        </w:rPr>
      </w:pPr>
    </w:p>
    <w:p>
      <w:pPr>
        <w:ind w:left="5" w:right="3119" w:firstLine="554"/>
        <w:spacing w:after="0" w:line="250" w:lineRule="auto"/>
        <w:rPr>
          <w:sz w:val="20"/>
          <w:szCs w:val="20"/>
          <w:color w:val="auto"/>
        </w:rPr>
      </w:pPr>
      <w:r>
        <w:rPr>
          <w:rFonts w:ascii="Courier New" w:cs="Courier New" w:eastAsia="Courier New" w:hAnsi="Courier New"/>
          <w:sz w:val="15"/>
          <w:szCs w:val="15"/>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2" w:lineRule="exact"/>
        <w:rPr>
          <w:sz w:val="20"/>
          <w:szCs w:val="20"/>
          <w:color w:val="auto"/>
        </w:rPr>
      </w:pPr>
    </w:p>
    <w:p>
      <w:pPr>
        <w:ind w:left="5" w:right="2839" w:hanging="5"/>
        <w:spacing w:after="0" w:line="253" w:lineRule="auto"/>
        <w:tabs>
          <w:tab w:leader="none" w:pos="37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subsequently filed document that is incorporated by reference into this prospectus modifies or supersedes such statement.</w:t>
      </w:r>
    </w:p>
    <w:p>
      <w:pPr>
        <w:spacing w:after="0" w:line="174"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176" w:lineRule="exact"/>
        <w:rPr>
          <w:sz w:val="20"/>
          <w:szCs w:val="20"/>
          <w:color w:val="auto"/>
        </w:rPr>
      </w:pPr>
    </w:p>
    <w:p>
      <w:pPr>
        <w:ind w:left="2125"/>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85" w:lineRule="exact"/>
        <w:rPr>
          <w:sz w:val="20"/>
          <w:szCs w:val="20"/>
          <w:color w:val="auto"/>
        </w:rPr>
      </w:pPr>
    </w:p>
    <w:p>
      <w:pPr>
        <w:ind w:left="5" w:right="2839" w:firstLine="554"/>
        <w:spacing w:after="0" w:line="250" w:lineRule="auto"/>
        <w:rPr>
          <w:sz w:val="20"/>
          <w:szCs w:val="20"/>
          <w:color w:val="auto"/>
        </w:rPr>
      </w:pPr>
      <w:r>
        <w:rPr>
          <w:rFonts w:ascii="Courier New" w:cs="Courier New" w:eastAsia="Courier New" w:hAnsi="Courier New"/>
          <w:sz w:val="15"/>
          <w:szCs w:val="15"/>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182"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5"/>
          </w:cols>
          <w:pgMar w:left="235" w:top="650" w:right="1440" w:bottom="1440" w:gutter="0" w:footer="0" w:header="0"/>
        </w:sectPr>
      </w:pPr>
    </w:p>
    <w:bookmarkStart w:id="36" w:name="page37"/>
    <w:bookmarkEnd w:id="36"/>
    <w:p>
      <w:pPr>
        <w:ind w:left="820"/>
        <w:spacing w:after="0"/>
        <w:rPr>
          <w:sz w:val="20"/>
          <w:szCs w:val="20"/>
          <w:color w:val="auto"/>
        </w:rPr>
      </w:pPr>
      <w:r>
        <w:rPr>
          <w:rFonts w:ascii="Courier New" w:cs="Courier New" w:eastAsia="Courier New" w:hAnsi="Courier New"/>
          <w:sz w:val="15"/>
          <w:szCs w:val="15"/>
          <w:color w:val="auto"/>
        </w:rPr>
        <w:t>UNAUDITED PRO FORMA CONDENSED CONSOLIDATED FINANCIAL STATEMENTS</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The unaudited pro forma condensed consolidated statement of operations for the twelve months ended September 30, 2003, gives effect to the acquisition from Bell Canada of its 90% ownership interest in Certen Inc., which we refer to as Certen, which closed on July 2, 2003, as if it had occurred on October 1, 2002.</w:t>
      </w:r>
    </w:p>
    <w:p>
      <w:pPr>
        <w:spacing w:after="0" w:line="176" w:lineRule="exact"/>
        <w:rPr>
          <w:sz w:val="20"/>
          <w:szCs w:val="20"/>
          <w:color w:val="auto"/>
        </w:rPr>
      </w:pPr>
    </w:p>
    <w:p>
      <w:pPr>
        <w:ind w:right="3119" w:firstLine="554"/>
        <w:spacing w:after="0" w:line="251" w:lineRule="auto"/>
        <w:rPr>
          <w:sz w:val="20"/>
          <w:szCs w:val="20"/>
          <w:color w:val="auto"/>
        </w:rPr>
      </w:pPr>
      <w:r>
        <w:rPr>
          <w:rFonts w:ascii="Courier New" w:cs="Courier New" w:eastAsia="Courier New" w:hAnsi="Courier New"/>
          <w:sz w:val="15"/>
          <w:szCs w:val="15"/>
          <w:color w:val="auto"/>
        </w:rPr>
        <w:t>The unaudited pro forma condensed consolidated statements of operations are based upon, and should be read in conjunction with, (i) our historical audited financial statements for the year ended September 30, 2003, (ii) the historical audited financial statements of Certen for the year ended December 31, 2002 (together with the reconciliation to U.S. GAAP), and (iii) the historical unaudited financial statements of Certen for the six months ended June 30, 2003 (together with the reconciliation to U.S. GAAP).</w:t>
      </w:r>
    </w:p>
    <w:p>
      <w:pPr>
        <w:spacing w:after="0" w:line="176"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The historical financial statements of Certen have been prepared in accordance with Canadian GAAP. For the purpose of presenting the unaudited pro forma condensed consolidated financial statements, financial statements relating to Certen have been adjusted to conform with accounting policies under U.S. GAAP. In addition, the historical financial information of Certen has been presented in accordance with Amdocs' fiscal year.</w:t>
      </w:r>
    </w:p>
    <w:p>
      <w:pPr>
        <w:spacing w:after="0" w:line="176" w:lineRule="exact"/>
        <w:rPr>
          <w:sz w:val="20"/>
          <w:szCs w:val="20"/>
          <w:color w:val="auto"/>
        </w:rPr>
      </w:pPr>
    </w:p>
    <w:p>
      <w:pPr>
        <w:ind w:right="3019" w:firstLine="554"/>
        <w:spacing w:after="0" w:line="251" w:lineRule="auto"/>
        <w:rPr>
          <w:sz w:val="20"/>
          <w:szCs w:val="20"/>
          <w:color w:val="auto"/>
        </w:rPr>
      </w:pPr>
      <w:r>
        <w:rPr>
          <w:rFonts w:ascii="Courier New" w:cs="Courier New" w:eastAsia="Courier New" w:hAnsi="Courier New"/>
          <w:sz w:val="15"/>
          <w:szCs w:val="15"/>
          <w:color w:val="auto"/>
        </w:rPr>
        <w:t>The historical financial statements of Certen were presented in Canadian dollars. For the purpose of presenting the unaudited pro forma condensed consolidated statements, the adjusted income statements of Certen for the nine months ended June 30, 2003 have been translated into U.S. dollars using the average Canadian dollar/U.S. dollar exchange rates for the period presented as listed on Bloomberg. The average Canadian dollar/U.S. dollar exchange rate was 1.493 for the nine months ended June 30, 2003.</w:t>
      </w:r>
    </w:p>
    <w:p>
      <w:pPr>
        <w:spacing w:after="0" w:line="176"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The unaudited pro forma financial information has been prepared to provide an analysis of the financial effects of the acquisition of Certen for purposes of illustration only. The pro forma financial information is not intended to be a projection of future results and is not necessarily indicative of the results that would have occurred if the business combination had been in effect on the period presented.</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50" w:right="1440" w:bottom="1440" w:gutter="0" w:footer="0" w:header="0"/>
        </w:sectPr>
      </w:pPr>
    </w:p>
    <w:bookmarkStart w:id="37" w:name="page38"/>
    <w:bookmarkEnd w:id="37"/>
    <w:p>
      <w:pPr>
        <w:jc w:val="center"/>
        <w:ind w:right="4135"/>
        <w:spacing w:after="0"/>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8" w:lineRule="exact"/>
        <w:rPr>
          <w:sz w:val="20"/>
          <w:szCs w:val="20"/>
          <w:color w:val="auto"/>
        </w:rPr>
      </w:pPr>
    </w:p>
    <w:p>
      <w:pPr>
        <w:ind w:left="1565"/>
        <w:spacing w:after="0"/>
        <w:rPr>
          <w:sz w:val="20"/>
          <w:szCs w:val="20"/>
          <w:color w:val="auto"/>
        </w:rPr>
      </w:pPr>
      <w:r>
        <w:rPr>
          <w:rFonts w:ascii="Courier New" w:cs="Courier New" w:eastAsia="Courier New" w:hAnsi="Courier New"/>
          <w:sz w:val="15"/>
          <w:szCs w:val="15"/>
          <w:color w:val="auto"/>
        </w:rPr>
        <w:t>FOR THE TWELVE MONTHS ENDED SEPTEMBER 30, 2003</w:t>
      </w:r>
    </w:p>
    <w:p>
      <w:pPr>
        <w:spacing w:after="0" w:line="8" w:lineRule="exact"/>
        <w:rPr>
          <w:sz w:val="20"/>
          <w:szCs w:val="20"/>
          <w:color w:val="auto"/>
        </w:rPr>
      </w:pPr>
    </w:p>
    <w:p>
      <w:pPr>
        <w:ind w:left="202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8"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(in U.S. dollars)</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AMDOCS</w:t>
            </w:r>
          </w:p>
        </w:tc>
        <w:tc>
          <w:tcPr>
            <w:tcW w:w="320" w:type="dxa"/>
            <w:vAlign w:val="bottom"/>
          </w:tcPr>
          <w:p>
            <w:pPr>
              <w:spacing w:after="0"/>
              <w:rPr>
                <w:sz w:val="14"/>
                <w:szCs w:val="14"/>
                <w:color w:val="auto"/>
              </w:rPr>
            </w:pPr>
          </w:p>
        </w:tc>
        <w:tc>
          <w:tcPr>
            <w:tcW w:w="13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CERTEN</w:t>
            </w:r>
          </w:p>
        </w:tc>
        <w:tc>
          <w:tcPr>
            <w:tcW w:w="4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PRO FORMA</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PRO FORMA</w:t>
            </w:r>
          </w:p>
        </w:tc>
      </w:tr>
      <w:tr>
        <w:trPr>
          <w:trHeight w:val="177"/>
        </w:trPr>
        <w:tc>
          <w:tcPr>
            <w:tcW w:w="520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HISTORICAL</w:t>
            </w:r>
          </w:p>
        </w:tc>
        <w:tc>
          <w:tcPr>
            <w:tcW w:w="32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9"/>
              </w:rPr>
              <w:t>HISTORICAL</w:t>
            </w:r>
          </w:p>
        </w:tc>
        <w:tc>
          <w:tcPr>
            <w:tcW w:w="4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ADJUSTMENTS</w:t>
            </w:r>
          </w:p>
        </w:tc>
        <w:tc>
          <w:tcPr>
            <w:tcW w:w="56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CONSOLIDATED</w:t>
            </w:r>
          </w:p>
        </w:tc>
      </w:tr>
      <w:tr>
        <w:trPr>
          <w:trHeight w:val="177"/>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8"/>
              </w:rPr>
              <w:t>U.S. GAAP</w:t>
            </w:r>
          </w:p>
        </w:tc>
        <w:tc>
          <w:tcPr>
            <w:tcW w:w="170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U.S. GAAP (*)</w:t>
            </w:r>
          </w:p>
        </w:tc>
        <w:tc>
          <w:tcPr>
            <w:tcW w:w="4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U.S. GAAP</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U.S. GAAP</w:t>
            </w:r>
          </w:p>
        </w:tc>
      </w:tr>
      <w:tr>
        <w:trPr>
          <w:trHeight w:val="177"/>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8"/>
              </w:rPr>
              <w:t>---------</w:t>
            </w:r>
          </w:p>
        </w:tc>
        <w:tc>
          <w:tcPr>
            <w:tcW w:w="17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w:t>
            </w:r>
          </w:p>
        </w:tc>
      </w:tr>
      <w:tr>
        <w:trPr>
          <w:trHeight w:val="355"/>
        </w:trPr>
        <w:tc>
          <w:tcPr>
            <w:tcW w:w="52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$1,483,327</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226,579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(87,949)</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$ 1,621,957</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Cost of revenue........................................</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913,359</w:t>
            </w:r>
          </w:p>
        </w:tc>
        <w:tc>
          <w:tcPr>
            <w:tcW w:w="32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214,437</w:t>
            </w:r>
          </w:p>
        </w:tc>
        <w:tc>
          <w:tcPr>
            <w:tcW w:w="4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(27,767)</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(35,196)</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2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1,064,833</w:t>
            </w:r>
          </w:p>
        </w:tc>
      </w:tr>
      <w:tr>
        <w:trPr>
          <w:trHeight w:val="355"/>
        </w:trPr>
        <w:tc>
          <w:tcPr>
            <w:tcW w:w="520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240" w:type="dxa"/>
            <w:vAlign w:val="bottom"/>
          </w:tcPr>
          <w:p>
            <w:pPr>
              <w:spacing w:after="0"/>
              <w:rPr>
                <w:sz w:val="24"/>
                <w:szCs w:val="24"/>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119,256</w:t>
            </w:r>
          </w:p>
        </w:tc>
        <w:tc>
          <w:tcPr>
            <w:tcW w:w="320" w:type="dxa"/>
            <w:vAlign w:val="bottom"/>
          </w:tcPr>
          <w:p>
            <w:pPr>
              <w:spacing w:after="0"/>
              <w:rPr>
                <w:sz w:val="24"/>
                <w:szCs w:val="24"/>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206,265</w:t>
            </w:r>
          </w:p>
        </w:tc>
        <w:tc>
          <w:tcPr>
            <w:tcW w:w="32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8,333</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Amortization of purchased intangible assets............</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19,940</w:t>
            </w:r>
          </w:p>
        </w:tc>
        <w:tc>
          <w:tcPr>
            <w:tcW w:w="32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3,738</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2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23,678</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Restructuring charges and other........................</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14,089</w:t>
            </w:r>
          </w:p>
        </w:tc>
        <w:tc>
          <w:tcPr>
            <w:tcW w:w="32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54</w:t>
            </w:r>
          </w:p>
        </w:tc>
        <w:tc>
          <w:tcPr>
            <w:tcW w:w="4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(4,133)</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200" w:type="dxa"/>
            <w:vAlign w:val="bottom"/>
          </w:tcPr>
          <w:p>
            <w:pPr>
              <w:spacing w:after="0"/>
              <w:rPr>
                <w:sz w:val="15"/>
                <w:szCs w:val="15"/>
                <w:color w:val="auto"/>
              </w:rPr>
            </w:pP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8"/>
              </w:rPr>
              <w:t>1,272,909</w:t>
            </w:r>
          </w:p>
        </w:tc>
        <w:tc>
          <w:tcPr>
            <w:tcW w:w="32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222,824</w:t>
            </w:r>
          </w:p>
        </w:tc>
        <w:tc>
          <w:tcPr>
            <w:tcW w:w="4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(63,358)</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1,432,375</w:t>
            </w:r>
          </w:p>
        </w:tc>
      </w:tr>
      <w:tr>
        <w:trPr>
          <w:trHeight w:val="177"/>
        </w:trPr>
        <w:tc>
          <w:tcPr>
            <w:tcW w:w="5200" w:type="dxa"/>
            <w:vAlign w:val="bottom"/>
          </w:tcPr>
          <w:p>
            <w:pPr>
              <w:spacing w:after="0"/>
              <w:rPr>
                <w:sz w:val="15"/>
                <w:szCs w:val="15"/>
                <w:color w:val="auto"/>
              </w:rPr>
            </w:pP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210,418</w:t>
            </w:r>
          </w:p>
        </w:tc>
        <w:tc>
          <w:tcPr>
            <w:tcW w:w="32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3,755</w:t>
            </w:r>
          </w:p>
        </w:tc>
        <w:tc>
          <w:tcPr>
            <w:tcW w:w="4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(24,591)</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189,582</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Interest income (expense) and other, net...............</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14,759</w:t>
            </w:r>
          </w:p>
        </w:tc>
        <w:tc>
          <w:tcPr>
            <w:tcW w:w="320" w:type="dxa"/>
            <w:vAlign w:val="bottom"/>
          </w:tcPr>
          <w:p>
            <w:pPr>
              <w:spacing w:after="0"/>
              <w:rPr>
                <w:sz w:val="15"/>
                <w:szCs w:val="15"/>
                <w:color w:val="auto"/>
              </w:rPr>
            </w:pP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(311)</w:t>
            </w:r>
          </w:p>
        </w:tc>
        <w:tc>
          <w:tcPr>
            <w:tcW w:w="4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(1,314)</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11,979</w:t>
            </w:r>
          </w:p>
        </w:tc>
      </w:tr>
      <w:tr>
        <w:trPr>
          <w:trHeight w:val="177"/>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(1,931)</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776</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5200" w:type="dxa"/>
            <w:vAlign w:val="bottom"/>
          </w:tcPr>
          <w:p>
            <w:pPr>
              <w:spacing w:after="0"/>
              <w:rPr>
                <w:sz w:val="15"/>
                <w:szCs w:val="15"/>
                <w:color w:val="auto"/>
              </w:rPr>
            </w:pP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225,177</w:t>
            </w:r>
          </w:p>
        </w:tc>
        <w:tc>
          <w:tcPr>
            <w:tcW w:w="32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3,444</w:t>
            </w:r>
          </w:p>
        </w:tc>
        <w:tc>
          <w:tcPr>
            <w:tcW w:w="4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(27,060)</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201,561</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56,294</w:t>
            </w:r>
          </w:p>
        </w:tc>
        <w:tc>
          <w:tcPr>
            <w:tcW w:w="32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2,322</w:t>
            </w:r>
          </w:p>
        </w:tc>
        <w:tc>
          <w:tcPr>
            <w:tcW w:w="4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(8,226)</w:t>
            </w:r>
          </w:p>
        </w:tc>
        <w:tc>
          <w:tcPr>
            <w:tcW w:w="56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50,390</w:t>
            </w:r>
          </w:p>
        </w:tc>
      </w:tr>
      <w:tr>
        <w:trPr>
          <w:trHeight w:val="177"/>
        </w:trPr>
        <w:tc>
          <w:tcPr>
            <w:tcW w:w="5200" w:type="dxa"/>
            <w:vAlign w:val="bottom"/>
          </w:tcPr>
          <w:p>
            <w:pPr>
              <w:spacing w:after="0"/>
              <w:rPr>
                <w:sz w:val="15"/>
                <w:szCs w:val="15"/>
                <w:color w:val="auto"/>
              </w:rPr>
            </w:pP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168,883</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1,122</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(18,834)</w:t>
            </w:r>
          </w:p>
        </w:tc>
        <w:tc>
          <w:tcPr>
            <w:tcW w:w="560" w:type="dxa"/>
            <w:vAlign w:val="bottom"/>
          </w:tcPr>
          <w:p>
            <w:pPr>
              <w:spacing w:after="0"/>
              <w:rPr>
                <w:sz w:val="15"/>
                <w:szCs w:val="15"/>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151,171</w:t>
            </w:r>
          </w:p>
        </w:tc>
      </w:tr>
      <w:tr>
        <w:trPr>
          <w:trHeight w:val="177"/>
        </w:trPr>
        <w:tc>
          <w:tcPr>
            <w:tcW w:w="5200" w:type="dxa"/>
            <w:vAlign w:val="bottom"/>
          </w:tcPr>
          <w:p>
            <w:pPr>
              <w:spacing w:after="0"/>
              <w:rPr>
                <w:sz w:val="15"/>
                <w:szCs w:val="15"/>
                <w:color w:val="auto"/>
              </w:rPr>
            </w:pP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Basic income per share.................................</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0.78</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0.70</w:t>
            </w:r>
          </w:p>
        </w:tc>
      </w:tr>
      <w:tr>
        <w:trPr>
          <w:trHeight w:val="177"/>
        </w:trPr>
        <w:tc>
          <w:tcPr>
            <w:tcW w:w="5200" w:type="dxa"/>
            <w:vAlign w:val="bottom"/>
          </w:tcPr>
          <w:p>
            <w:pPr>
              <w:spacing w:after="0"/>
              <w:rPr>
                <w:sz w:val="15"/>
                <w:szCs w:val="15"/>
                <w:color w:val="auto"/>
              </w:rPr>
            </w:pP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Diluted income per share...............................</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0.77</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0.69</w:t>
            </w:r>
          </w:p>
        </w:tc>
      </w:tr>
      <w:tr>
        <w:trPr>
          <w:trHeight w:val="177"/>
        </w:trPr>
        <w:tc>
          <w:tcPr>
            <w:tcW w:w="5200" w:type="dxa"/>
            <w:vAlign w:val="bottom"/>
          </w:tcPr>
          <w:p>
            <w:pPr>
              <w:spacing w:after="0"/>
              <w:rPr>
                <w:sz w:val="15"/>
                <w:szCs w:val="15"/>
                <w:color w:val="auto"/>
              </w:rPr>
            </w:pP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 outstanding....</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215,849</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215,849</w:t>
            </w:r>
          </w:p>
        </w:tc>
      </w:tr>
      <w:tr>
        <w:trPr>
          <w:trHeight w:val="177"/>
        </w:trPr>
        <w:tc>
          <w:tcPr>
            <w:tcW w:w="5200" w:type="dxa"/>
            <w:vAlign w:val="bottom"/>
          </w:tcPr>
          <w:p>
            <w:pPr>
              <w:spacing w:after="0"/>
              <w:rPr>
                <w:sz w:val="15"/>
                <w:szCs w:val="15"/>
                <w:color w:val="auto"/>
              </w:rPr>
            </w:pP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24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219,876</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219,876</w:t>
            </w:r>
          </w:p>
        </w:tc>
      </w:tr>
      <w:tr>
        <w:trPr>
          <w:trHeight w:val="177"/>
        </w:trPr>
        <w:tc>
          <w:tcPr>
            <w:tcW w:w="5200" w:type="dxa"/>
            <w:vAlign w:val="bottom"/>
          </w:tcPr>
          <w:p>
            <w:pPr>
              <w:spacing w:after="0"/>
              <w:rPr>
                <w:sz w:val="15"/>
                <w:szCs w:val="15"/>
                <w:color w:val="auto"/>
              </w:rPr>
            </w:pP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45" w:right="4140" w:hanging="545"/>
        <w:spacing w:after="0" w:line="251" w:lineRule="auto"/>
        <w:tabs>
          <w:tab w:leader="none" w:pos="54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Certen historical U.S. GAAP statement reflects Certen's results for the nine months ended June 30, 2003. Certen's results for the period from July 1, 2003 to September 30, 2003 are included and consolidated in the historical consolidated financial statement column.</w:t>
      </w:r>
    </w:p>
    <w:p>
      <w:pPr>
        <w:spacing w:after="0" w:line="176" w:lineRule="exact"/>
        <w:rPr>
          <w:sz w:val="20"/>
          <w:szCs w:val="20"/>
          <w:color w:val="auto"/>
        </w:rPr>
      </w:pPr>
    </w:p>
    <w:p>
      <w:pPr>
        <w:ind w:left="745"/>
        <w:spacing w:after="0"/>
        <w:rPr>
          <w:sz w:val="20"/>
          <w:szCs w:val="20"/>
          <w:color w:val="auto"/>
        </w:rPr>
      </w:pPr>
      <w:r>
        <w:rPr>
          <w:rFonts w:ascii="Courier New" w:cs="Courier New" w:eastAsia="Courier New" w:hAnsi="Courier New"/>
          <w:sz w:val="15"/>
          <w:szCs w:val="15"/>
          <w:color w:val="auto"/>
        </w:rPr>
        <w:t>See Notes to Unaudited Pro Forma Condensed Consolidated Financial</w:t>
      </w:r>
    </w:p>
    <w:p>
      <w:pPr>
        <w:spacing w:after="0" w:line="8" w:lineRule="exact"/>
        <w:rPr>
          <w:sz w:val="20"/>
          <w:szCs w:val="20"/>
          <w:color w:val="auto"/>
        </w:rPr>
      </w:pPr>
    </w:p>
    <w:p>
      <w:pPr>
        <w:ind w:left="1745"/>
        <w:spacing w:after="0"/>
        <w:rPr>
          <w:sz w:val="20"/>
          <w:szCs w:val="20"/>
          <w:color w:val="auto"/>
        </w:rPr>
      </w:pPr>
      <w:r>
        <w:rPr>
          <w:rFonts w:ascii="Courier New" w:cs="Courier New" w:eastAsia="Courier New" w:hAnsi="Courier New"/>
          <w:sz w:val="15"/>
          <w:szCs w:val="15"/>
          <w:color w:val="auto"/>
        </w:rPr>
        <w:t>Statements for discussion of adjustments.</w:t>
      </w:r>
    </w:p>
    <w:p>
      <w:pPr>
        <w:spacing w:after="0" w:line="18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1525"/>
          </w:cols>
          <w:pgMar w:left="235" w:top="650" w:right="139" w:bottom="1440" w:gutter="0" w:footer="0" w:header="0"/>
        </w:sectPr>
      </w:pPr>
    </w:p>
    <w:bookmarkStart w:id="38" w:name="page39"/>
    <w:bookmarkEnd w:id="38"/>
    <w:p>
      <w:pPr>
        <w:jc w:val="center"/>
        <w:ind w:right="2834"/>
        <w:spacing w:after="0"/>
        <w:rPr>
          <w:sz w:val="20"/>
          <w:szCs w:val="20"/>
          <w:color w:val="auto"/>
        </w:rPr>
      </w:pPr>
      <w:r>
        <w:rPr>
          <w:rFonts w:ascii="Courier New" w:cs="Courier New" w:eastAsia="Courier New" w:hAnsi="Courier New"/>
          <w:sz w:val="15"/>
          <w:szCs w:val="15"/>
          <w:color w:val="auto"/>
        </w:rPr>
        <w:t>NOTES TO UNAUDITED PRO FORMA CONDENSED CONSOLIDATED FINANCIAL STATEMENTS</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(in thousands)</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185" w:lineRule="exact"/>
        <w:rPr>
          <w:sz w:val="20"/>
          <w:szCs w:val="20"/>
          <w:color w:val="auto"/>
        </w:rPr>
      </w:pPr>
    </w:p>
    <w:p>
      <w:pPr>
        <w:ind w:left="545" w:right="2839" w:hanging="545"/>
        <w:spacing w:after="0" w:line="250" w:lineRule="auto"/>
        <w:tabs>
          <w:tab w:leader="none" w:pos="54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July 2, 2003, Amdocs acquired from Bell Canada its 90% ownership interest in Certen for approximately U.S. $66 million in cash, pursuant to an Acquisition Agreement, dated as of May 28, 2003. Amdocs and Bell Canada formed Certen, which commenced operations in January 2001, to provide customer care and billing solutions to Bell Canada and a number of Bell Canada's affiliated companies. Prior to the acquisition of Certen, Bell Canada's ownership interest in Certen was 90% and Amdocs owned the remainder. Accordingly, Certen's operations are included in the historical results of Amdocs from July 2, 2003. Since Certen's inception, Amdocs has provided customer care and billing software required by Certen, including related customization, installation, maintenance and other services.</w:t>
      </w:r>
    </w:p>
    <w:p>
      <w:pPr>
        <w:spacing w:after="0" w:line="182" w:lineRule="exact"/>
        <w:rPr>
          <w:rFonts w:ascii="Courier New" w:cs="Courier New" w:eastAsia="Courier New" w:hAnsi="Courier New"/>
          <w:sz w:val="15"/>
          <w:szCs w:val="15"/>
          <w:color w:val="auto"/>
        </w:rPr>
      </w:pPr>
    </w:p>
    <w:p>
      <w:pPr>
        <w:ind w:left="54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acquisition of Certen, Amdocs accounted for the investment in Certen under the cost method for its 10% ownership. In the fourth quarter of 2003, Amdocs recognized the cumulative effect of its 10% interest in Certen prior to the acquisition of Certen. The cumulative effect is a loss of $4,133.</w:t>
      </w:r>
    </w:p>
    <w:p>
      <w:pPr>
        <w:spacing w:after="0" w:line="176" w:lineRule="exact"/>
        <w:rPr>
          <w:rFonts w:ascii="Courier New" w:cs="Courier New" w:eastAsia="Courier New" w:hAnsi="Courier New"/>
          <w:sz w:val="15"/>
          <w:szCs w:val="15"/>
          <w:color w:val="auto"/>
        </w:rPr>
      </w:pPr>
    </w:p>
    <w:p>
      <w:pPr>
        <w:ind w:left="54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Certen increased the amount of goodwill on the Company's consolidated financial statements by approximately $102,830, an increase of 14% from September 30, 2002. In addition to goodwill, approximately $36,385 of the purchase price was allocated to an intangible for a customer arrangement and approximately $74,307 was allocated to deferred income taxes.</w:t>
      </w:r>
    </w:p>
    <w:p>
      <w:pPr>
        <w:spacing w:after="0" w:line="175" w:lineRule="exact"/>
        <w:rPr>
          <w:rFonts w:ascii="Courier New" w:cs="Courier New" w:eastAsia="Courier New" w:hAnsi="Courier New"/>
          <w:sz w:val="15"/>
          <w:szCs w:val="15"/>
          <w:color w:val="auto"/>
        </w:rPr>
      </w:pPr>
    </w:p>
    <w:p>
      <w:pPr>
        <w:ind w:left="5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the revised preliminary allocation of the purchase price:</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Purchase price</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65,887</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Estimated transaction costs</w:t>
            </w:r>
          </w:p>
        </w:tc>
        <w:tc>
          <w:tcPr>
            <w:tcW w:w="4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5,000</w:t>
            </w:r>
          </w:p>
        </w:tc>
      </w:tr>
      <w:tr>
        <w:trPr>
          <w:trHeight w:val="177"/>
        </w:trPr>
        <w:tc>
          <w:tcPr>
            <w:tcW w:w="5900" w:type="dxa"/>
            <w:vAlign w:val="bottom"/>
          </w:tcPr>
          <w:p>
            <w:pPr>
              <w:spacing w:after="0"/>
              <w:rPr>
                <w:sz w:val="15"/>
                <w:szCs w:val="15"/>
                <w:color w:val="auto"/>
              </w:rPr>
            </w:pPr>
          </w:p>
        </w:tc>
        <w:tc>
          <w:tcPr>
            <w:tcW w:w="13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Total purchase price</w:t>
            </w:r>
          </w:p>
        </w:tc>
        <w:tc>
          <w:tcPr>
            <w:tcW w:w="4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70,887</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Write-off of deferred revenue and allowance on Amdocs</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900" w:type="dxa"/>
            <w:vAlign w:val="bottom"/>
          </w:tcPr>
          <w:p>
            <w:pPr>
              <w:ind w:left="460"/>
              <w:spacing w:after="0"/>
              <w:rPr>
                <w:sz w:val="20"/>
                <w:szCs w:val="20"/>
                <w:color w:val="auto"/>
              </w:rPr>
            </w:pPr>
            <w:r>
              <w:rPr>
                <w:rFonts w:ascii="Courier New" w:cs="Courier New" w:eastAsia="Courier New" w:hAnsi="Courier New"/>
                <w:sz w:val="15"/>
                <w:szCs w:val="15"/>
                <w:color w:val="auto"/>
              </w:rPr>
              <w:t>books, net of tax</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(33,666)</w:t>
            </w:r>
          </w:p>
        </w:tc>
      </w:tr>
      <w:tr>
        <w:trPr>
          <w:trHeight w:val="177"/>
        </w:trPr>
        <w:tc>
          <w:tcPr>
            <w:tcW w:w="5900" w:type="dxa"/>
            <w:vAlign w:val="bottom"/>
          </w:tcPr>
          <w:p>
            <w:pPr>
              <w:spacing w:after="0"/>
              <w:rPr>
                <w:sz w:val="15"/>
                <w:szCs w:val="15"/>
                <w:color w:val="auto"/>
              </w:rPr>
            </w:pPr>
          </w:p>
        </w:tc>
        <w:tc>
          <w:tcPr>
            <w:tcW w:w="13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Net amount for purchase price allocation</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37,221</w:t>
            </w:r>
          </w:p>
        </w:tc>
      </w:tr>
      <w:tr>
        <w:trPr>
          <w:trHeight w:val="177"/>
        </w:trPr>
        <w:tc>
          <w:tcPr>
            <w:tcW w:w="5900" w:type="dxa"/>
            <w:vAlign w:val="bottom"/>
          </w:tcPr>
          <w:p>
            <w:pPr>
              <w:spacing w:after="0"/>
              <w:rPr>
                <w:sz w:val="15"/>
                <w:szCs w:val="15"/>
                <w:color w:val="auto"/>
              </w:rPr>
            </w:pPr>
          </w:p>
        </w:tc>
        <w:tc>
          <w:tcPr>
            <w:tcW w:w="13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spacing w:after="0"/>
              <w:rPr>
                <w:sz w:val="20"/>
                <w:szCs w:val="20"/>
                <w:color w:val="auto"/>
              </w:rPr>
            </w:pPr>
            <w:r>
              <w:rPr>
                <w:rFonts w:ascii="Courier New" w:cs="Courier New" w:eastAsia="Courier New" w:hAnsi="Courier New"/>
                <w:sz w:val="15"/>
                <w:szCs w:val="15"/>
                <w:color w:val="auto"/>
              </w:rPr>
              <w:t>Allocation of purchase price:</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90% of tangible assets acquired, net of capitalized Amdocs</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900" w:type="dxa"/>
            <w:vAlign w:val="bottom"/>
          </w:tcPr>
          <w:p>
            <w:pPr>
              <w:ind w:left="460"/>
              <w:spacing w:after="0"/>
              <w:rPr>
                <w:sz w:val="20"/>
                <w:szCs w:val="20"/>
                <w:color w:val="auto"/>
              </w:rPr>
            </w:pPr>
            <w:r>
              <w:rPr>
                <w:rFonts w:ascii="Courier New" w:cs="Courier New" w:eastAsia="Courier New" w:hAnsi="Courier New"/>
                <w:sz w:val="15"/>
                <w:szCs w:val="15"/>
                <w:color w:val="auto"/>
              </w:rPr>
              <w:t>system on Certen's books</w:t>
            </w: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80,929</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90% of liabilities assumed</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(241,760)</w:t>
            </w:r>
          </w:p>
        </w:tc>
      </w:tr>
      <w:tr>
        <w:trPr>
          <w:trHeight w:val="177"/>
        </w:trPr>
        <w:tc>
          <w:tcPr>
            <w:tcW w:w="5900" w:type="dxa"/>
            <w:vAlign w:val="bottom"/>
          </w:tcPr>
          <w:p>
            <w:pPr>
              <w:spacing w:after="0"/>
              <w:rPr>
                <w:sz w:val="15"/>
                <w:szCs w:val="15"/>
                <w:color w:val="auto"/>
              </w:rPr>
            </w:pPr>
          </w:p>
        </w:tc>
        <w:tc>
          <w:tcPr>
            <w:tcW w:w="13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Net liabilities acquired</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(160,831)</w:t>
            </w:r>
          </w:p>
        </w:tc>
      </w:tr>
      <w:tr>
        <w:trPr>
          <w:trHeight w:val="355"/>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Customer arrangement</w:t>
            </w:r>
          </w:p>
        </w:tc>
        <w:tc>
          <w:tcPr>
            <w:tcW w:w="46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36,385</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Adjustment to fair value of pension and other</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900" w:type="dxa"/>
            <w:vAlign w:val="bottom"/>
          </w:tcPr>
          <w:p>
            <w:pPr>
              <w:ind w:left="460"/>
              <w:spacing w:after="0"/>
              <w:rPr>
                <w:sz w:val="20"/>
                <w:szCs w:val="20"/>
                <w:color w:val="auto"/>
              </w:rPr>
            </w:pPr>
            <w:r>
              <w:rPr>
                <w:rFonts w:ascii="Courier New" w:cs="Courier New" w:eastAsia="Courier New" w:hAnsi="Courier New"/>
                <w:sz w:val="15"/>
                <w:szCs w:val="15"/>
                <w:color w:val="auto"/>
              </w:rPr>
              <w:t>post-employment benefit liabilities</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(10,534)</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EITF 95-3 and other liabilities</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(4,936)</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Deferred taxes, resulting from the difference between the</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900" w:type="dxa"/>
            <w:vAlign w:val="bottom"/>
          </w:tcPr>
          <w:p>
            <w:pPr>
              <w:ind w:left="460"/>
              <w:spacing w:after="0"/>
              <w:rPr>
                <w:sz w:val="20"/>
                <w:szCs w:val="20"/>
                <w:color w:val="auto"/>
              </w:rPr>
            </w:pPr>
            <w:r>
              <w:rPr>
                <w:rFonts w:ascii="Courier New" w:cs="Courier New" w:eastAsia="Courier New" w:hAnsi="Courier New"/>
                <w:sz w:val="15"/>
                <w:szCs w:val="15"/>
                <w:color w:val="auto"/>
              </w:rPr>
              <w:t>assigned value of certain assets and liabilities and</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900" w:type="dxa"/>
            <w:vAlign w:val="bottom"/>
          </w:tcPr>
          <w:p>
            <w:pPr>
              <w:ind w:left="460"/>
              <w:spacing w:after="0"/>
              <w:rPr>
                <w:sz w:val="20"/>
                <w:szCs w:val="20"/>
                <w:color w:val="auto"/>
              </w:rPr>
            </w:pPr>
            <w:r>
              <w:rPr>
                <w:rFonts w:ascii="Courier New" w:cs="Courier New" w:eastAsia="Courier New" w:hAnsi="Courier New"/>
                <w:sz w:val="15"/>
                <w:szCs w:val="15"/>
                <w:color w:val="auto"/>
              </w:rPr>
              <w:t>their respective tax bases</w:t>
            </w:r>
          </w:p>
        </w:tc>
        <w:tc>
          <w:tcPr>
            <w:tcW w:w="4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74,307</w:t>
            </w:r>
          </w:p>
        </w:tc>
      </w:tr>
      <w:tr>
        <w:trPr>
          <w:trHeight w:val="177"/>
        </w:trPr>
        <w:tc>
          <w:tcPr>
            <w:tcW w:w="5900" w:type="dxa"/>
            <w:vAlign w:val="bottom"/>
          </w:tcPr>
          <w:p>
            <w:pPr>
              <w:spacing w:after="0"/>
              <w:rPr>
                <w:sz w:val="15"/>
                <w:szCs w:val="15"/>
                <w:color w:val="auto"/>
              </w:rPr>
            </w:pPr>
          </w:p>
        </w:tc>
        <w:tc>
          <w:tcPr>
            <w:tcW w:w="13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Net fair value of liabilities acquired</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(65,609)</w:t>
            </w:r>
          </w:p>
        </w:tc>
      </w:tr>
      <w:tr>
        <w:trPr>
          <w:trHeight w:val="177"/>
        </w:trPr>
        <w:tc>
          <w:tcPr>
            <w:tcW w:w="5900" w:type="dxa"/>
            <w:vAlign w:val="bottom"/>
          </w:tcPr>
          <w:p>
            <w:pPr>
              <w:ind w:left="280"/>
              <w:spacing w:after="0"/>
              <w:rPr>
                <w:sz w:val="20"/>
                <w:szCs w:val="20"/>
                <w:color w:val="auto"/>
              </w:rPr>
            </w:pPr>
            <w:r>
              <w:rPr>
                <w:rFonts w:ascii="Courier New" w:cs="Courier New" w:eastAsia="Courier New" w:hAnsi="Courier New"/>
                <w:sz w:val="15"/>
                <w:szCs w:val="15"/>
                <w:color w:val="auto"/>
              </w:rPr>
              <w:t>Goodwill</w:t>
            </w:r>
          </w:p>
        </w:tc>
        <w:tc>
          <w:tcPr>
            <w:tcW w:w="4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102,830</w:t>
            </w:r>
          </w:p>
        </w:tc>
      </w:tr>
      <w:tr>
        <w:trPr>
          <w:trHeight w:val="177"/>
        </w:trPr>
        <w:tc>
          <w:tcPr>
            <w:tcW w:w="5900" w:type="dxa"/>
            <w:vAlign w:val="bottom"/>
          </w:tcPr>
          <w:p>
            <w:pPr>
              <w:spacing w:after="0"/>
              <w:rPr>
                <w:sz w:val="15"/>
                <w:szCs w:val="15"/>
                <w:color w:val="auto"/>
              </w:rPr>
            </w:pPr>
          </w:p>
        </w:tc>
        <w:tc>
          <w:tcPr>
            <w:tcW w:w="13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900" w:type="dxa"/>
            <w:vAlign w:val="bottom"/>
          </w:tcPr>
          <w:p>
            <w:pPr>
              <w:spacing w:after="0"/>
              <w:rPr>
                <w:sz w:val="15"/>
                <w:szCs w:val="15"/>
                <w:color w:val="auto"/>
              </w:rPr>
            </w:pP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37,221</w:t>
            </w:r>
          </w:p>
        </w:tc>
      </w:tr>
      <w:tr>
        <w:trPr>
          <w:trHeight w:val="177"/>
        </w:trPr>
        <w:tc>
          <w:tcPr>
            <w:tcW w:w="5900" w:type="dxa"/>
            <w:vAlign w:val="bottom"/>
          </w:tcPr>
          <w:p>
            <w:pPr>
              <w:spacing w:after="0"/>
              <w:rPr>
                <w:sz w:val="15"/>
                <w:szCs w:val="15"/>
                <w:color w:val="auto"/>
              </w:rPr>
            </w:pPr>
          </w:p>
        </w:tc>
        <w:tc>
          <w:tcPr>
            <w:tcW w:w="13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532"/>
        </w:trPr>
        <w:tc>
          <w:tcPr>
            <w:tcW w:w="5900" w:type="dxa"/>
            <w:vAlign w:val="bottom"/>
          </w:tcPr>
          <w:p>
            <w:pPr>
              <w:ind w:left="3600"/>
              <w:spacing w:after="0"/>
              <w:rPr>
                <w:sz w:val="20"/>
                <w:szCs w:val="20"/>
                <w:color w:val="auto"/>
              </w:rPr>
            </w:pPr>
            <w:r>
              <w:rPr>
                <w:rFonts w:ascii="Courier New" w:cs="Courier New" w:eastAsia="Courier New" w:hAnsi="Courier New"/>
                <w:sz w:val="15"/>
                <w:szCs w:val="15"/>
                <w:color w:val="auto"/>
              </w:rPr>
              <w:t>34</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25"/>
          </w:cols>
          <w:pgMar w:left="235" w:top="650" w:right="1440" w:bottom="1440" w:gutter="0" w:footer="0" w:header="0"/>
        </w:sectPr>
      </w:pPr>
    </w:p>
    <w:bookmarkStart w:id="39" w:name="page40"/>
    <w:bookmarkEnd w:id="39"/>
    <w:p>
      <w:pPr>
        <w:ind w:left="545" w:right="2939" w:hanging="545"/>
        <w:spacing w:after="0" w:line="253" w:lineRule="auto"/>
        <w:tabs>
          <w:tab w:leader="none" w:pos="54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revenue to Amdocs attributable to license and services provided to Certen.</w:t>
      </w:r>
    </w:p>
    <w:p>
      <w:pPr>
        <w:spacing w:after="0" w:line="174" w:lineRule="exact"/>
        <w:rPr>
          <w:rFonts w:ascii="Courier New" w:cs="Courier New" w:eastAsia="Courier New" w:hAnsi="Courier New"/>
          <w:sz w:val="15"/>
          <w:szCs w:val="15"/>
          <w:color w:val="auto"/>
        </w:rPr>
      </w:pPr>
    </w:p>
    <w:p>
      <w:pPr>
        <w:ind w:left="545" w:right="3119" w:hanging="545"/>
        <w:spacing w:after="0" w:line="253" w:lineRule="auto"/>
        <w:tabs>
          <w:tab w:leader="none" w:pos="54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expenses incurred by Certen attributable to Amdocs services that were not capitalized.</w:t>
      </w:r>
    </w:p>
    <w:p>
      <w:pPr>
        <w:spacing w:after="0" w:line="174" w:lineRule="exact"/>
        <w:rPr>
          <w:rFonts w:ascii="Courier New" w:cs="Courier New" w:eastAsia="Courier New" w:hAnsi="Courier New"/>
          <w:sz w:val="15"/>
          <w:szCs w:val="15"/>
          <w:color w:val="auto"/>
        </w:rPr>
      </w:pPr>
    </w:p>
    <w:p>
      <w:pPr>
        <w:ind w:left="545" w:right="3399" w:hanging="545"/>
        <w:spacing w:after="0" w:line="253" w:lineRule="auto"/>
        <w:tabs>
          <w:tab w:leader="none" w:pos="54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depreciation related to Amdocs system on Certen's books.</w:t>
      </w:r>
    </w:p>
    <w:p>
      <w:pPr>
        <w:spacing w:after="0" w:line="174" w:lineRule="exact"/>
        <w:rPr>
          <w:rFonts w:ascii="Courier New" w:cs="Courier New" w:eastAsia="Courier New" w:hAnsi="Courier New"/>
          <w:sz w:val="15"/>
          <w:szCs w:val="15"/>
          <w:color w:val="auto"/>
        </w:rPr>
      </w:pPr>
    </w:p>
    <w:p>
      <w:pPr>
        <w:ind w:left="545" w:right="3019" w:hanging="545"/>
        <w:spacing w:after="0" w:line="253" w:lineRule="auto"/>
        <w:tabs>
          <w:tab w:leader="none" w:pos="54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purchased customer arrangements incurred in the acquisition of Certen.</w:t>
      </w:r>
    </w:p>
    <w:p>
      <w:pPr>
        <w:spacing w:after="0" w:line="174" w:lineRule="exact"/>
        <w:rPr>
          <w:rFonts w:ascii="Courier New" w:cs="Courier New" w:eastAsia="Courier New" w:hAnsi="Courier New"/>
          <w:sz w:val="15"/>
          <w:szCs w:val="15"/>
          <w:color w:val="auto"/>
        </w:rPr>
      </w:pPr>
    </w:p>
    <w:p>
      <w:pPr>
        <w:ind w:left="545" w:right="2939" w:hanging="545"/>
        <w:spacing w:after="0" w:line="253" w:lineRule="auto"/>
        <w:tabs>
          <w:tab w:leader="none" w:pos="54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the cumulative effect of Amdocs' 10% interest in Certen results prior to the acquisition of Certen.</w:t>
      </w:r>
    </w:p>
    <w:p>
      <w:pPr>
        <w:spacing w:after="0" w:line="174" w:lineRule="exact"/>
        <w:rPr>
          <w:rFonts w:ascii="Courier New" w:cs="Courier New" w:eastAsia="Courier New" w:hAnsi="Courier New"/>
          <w:sz w:val="15"/>
          <w:szCs w:val="15"/>
          <w:color w:val="auto"/>
        </w:rPr>
      </w:pPr>
    </w:p>
    <w:p>
      <w:pPr>
        <w:ind w:left="545" w:right="3119" w:hanging="545"/>
        <w:spacing w:after="0" w:line="253" w:lineRule="auto"/>
        <w:tabs>
          <w:tab w:leader="none" w:pos="54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interest income earned on the cash used for the acquisition of Certen.</w:t>
      </w:r>
    </w:p>
    <w:p>
      <w:pPr>
        <w:spacing w:after="0" w:line="174" w:lineRule="exact"/>
        <w:rPr>
          <w:rFonts w:ascii="Courier New" w:cs="Courier New" w:eastAsia="Courier New" w:hAnsi="Courier New"/>
          <w:sz w:val="15"/>
          <w:szCs w:val="15"/>
          <w:color w:val="auto"/>
        </w:rPr>
      </w:pPr>
    </w:p>
    <w:p>
      <w:pPr>
        <w:ind w:left="545" w:right="2839" w:hanging="545"/>
        <w:spacing w:after="0" w:line="253" w:lineRule="auto"/>
        <w:tabs>
          <w:tab w:leader="none" w:pos="54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capitalized interest expense in Certen related to the convertible debentures issued to Amdocs.</w:t>
      </w:r>
    </w:p>
    <w:p>
      <w:pPr>
        <w:spacing w:after="0" w:line="174" w:lineRule="exact"/>
        <w:rPr>
          <w:rFonts w:ascii="Courier New" w:cs="Courier New" w:eastAsia="Courier New" w:hAnsi="Courier New"/>
          <w:sz w:val="15"/>
          <w:szCs w:val="15"/>
          <w:color w:val="auto"/>
        </w:rPr>
      </w:pPr>
    </w:p>
    <w:p>
      <w:pPr>
        <w:ind w:left="545" w:right="2839" w:hanging="545"/>
        <w:spacing w:after="0" w:line="253" w:lineRule="auto"/>
        <w:tabs>
          <w:tab w:leader="none" w:pos="54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liability related to adjustment to fair value of capital lease obligations on Certen's books.</w:t>
      </w:r>
    </w:p>
    <w:p>
      <w:pPr>
        <w:spacing w:after="0" w:line="174" w:lineRule="exact"/>
        <w:rPr>
          <w:rFonts w:ascii="Courier New" w:cs="Courier New" w:eastAsia="Courier New" w:hAnsi="Courier New"/>
          <w:sz w:val="15"/>
          <w:szCs w:val="15"/>
          <w:color w:val="auto"/>
        </w:rPr>
      </w:pPr>
    </w:p>
    <w:p>
      <w:pPr>
        <w:ind w:left="545" w:right="3219" w:hanging="545"/>
        <w:spacing w:after="0" w:line="253" w:lineRule="auto"/>
        <w:tabs>
          <w:tab w:leader="none" w:pos="54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tax adjustment to reflect the combined results at Amdocs' effective tax rate.</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5"/>
          </w:cols>
          <w:pgMar w:left="235" w:top="650" w:right="1440" w:bottom="1440" w:gutter="0" w:footer="0" w:header="0"/>
        </w:sectPr>
      </w:pPr>
    </w:p>
    <w:bookmarkStart w:id="40" w:name="page41"/>
    <w:bookmarkEnd w:id="40"/>
    <w:p>
      <w:pPr>
        <w:ind w:left="1660"/>
        <w:spacing w:after="0"/>
        <w:rPr>
          <w:sz w:val="20"/>
          <w:szCs w:val="20"/>
          <w:color w:val="auto"/>
        </w:rPr>
      </w:pPr>
      <w:r>
        <w:rPr>
          <w:rFonts w:ascii="Courier New" w:cs="Courier New" w:eastAsia="Courier New" w:hAnsi="Courier New"/>
          <w:sz w:val="15"/>
          <w:szCs w:val="15"/>
          <w:color w:val="auto"/>
        </w:rPr>
        <w:t>UNAUDITED FINANCIAL STATEMENTS OF CERTEN INC.</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The unaudited financial statements of Certen for the six months ended June 30, 2003 and 2002, are based upon, and should be read in conjunction with, the historical audited financial statements of Certen for the year ended December 31, 2002 and 2001 (together with the reconciliation to U.S. GAAP). The historical financial statements of Certen have been prepared in accordance with Canadian GAAP and presented in Canadian dollars.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50" w:right="1440" w:bottom="1440" w:gutter="0" w:footer="0" w:header="0"/>
        </w:sectPr>
      </w:pPr>
    </w:p>
    <w:bookmarkStart w:id="41" w:name="page42"/>
    <w:bookmarkEnd w:id="41"/>
    <w:p>
      <w:pPr>
        <w:jc w:val="center"/>
        <w:ind w:right="2759"/>
        <w:spacing w:after="0"/>
        <w:rPr>
          <w:sz w:val="20"/>
          <w:szCs w:val="20"/>
          <w:color w:val="auto"/>
        </w:rPr>
      </w:pPr>
      <w:r>
        <w:rPr>
          <w:rFonts w:ascii="Courier New" w:cs="Courier New" w:eastAsia="Courier New" w:hAnsi="Courier New"/>
          <w:sz w:val="15"/>
          <w:szCs w:val="15"/>
          <w:color w:val="auto"/>
        </w:rPr>
        <w:t>CERTEN INC.</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STATEMENT OF OPERATIONS AND RETAINED EARNINGS</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SIX-MONTH PERIOD ENDED JUNE 30, 2003</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(in thousands of dollars)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40" w:type="dxa"/>
            <w:vAlign w:val="bottom"/>
          </w:tcPr>
          <w:p>
            <w:pPr>
              <w:spacing w:after="0"/>
              <w:rPr>
                <w:sz w:val="14"/>
                <w:szCs w:val="14"/>
                <w:color w:val="auto"/>
              </w:rPr>
            </w:pP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2003</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2002</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340" w:type="dxa"/>
            <w:vAlign w:val="bottom"/>
          </w:tcPr>
          <w:p>
            <w:pPr>
              <w:spacing w:after="0"/>
              <w:rPr>
                <w:sz w:val="24"/>
                <w:szCs w:val="24"/>
                <w:color w:val="auto"/>
              </w:rPr>
            </w:pPr>
          </w:p>
        </w:tc>
        <w:tc>
          <w:tcPr>
            <w:tcW w:w="106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5340" w:type="dxa"/>
            <w:vAlign w:val="bottom"/>
          </w:tcPr>
          <w:p>
            <w:pPr>
              <w:ind w:left="360"/>
              <w:spacing w:after="0"/>
              <w:rPr>
                <w:sz w:val="20"/>
                <w:szCs w:val="20"/>
                <w:color w:val="auto"/>
              </w:rPr>
            </w:pPr>
            <w:r>
              <w:rPr>
                <w:rFonts w:ascii="Courier New" w:cs="Courier New" w:eastAsia="Courier New" w:hAnsi="Courier New"/>
                <w:sz w:val="15"/>
                <w:szCs w:val="15"/>
                <w:color w:val="auto"/>
              </w:rPr>
              <w:t>Billing services</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215,881</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184,106</w:t>
            </w:r>
          </w:p>
        </w:tc>
      </w:tr>
      <w:tr>
        <w:trPr>
          <w:trHeight w:val="177"/>
        </w:trPr>
        <w:tc>
          <w:tcPr>
            <w:tcW w:w="5340" w:type="dxa"/>
            <w:vAlign w:val="bottom"/>
          </w:tcPr>
          <w:p>
            <w:pPr>
              <w:ind w:left="360"/>
              <w:spacing w:after="0"/>
              <w:rPr>
                <w:sz w:val="20"/>
                <w:szCs w:val="20"/>
                <w:color w:val="auto"/>
              </w:rPr>
            </w:pPr>
            <w:r>
              <w:rPr>
                <w:rFonts w:ascii="Courier New" w:cs="Courier New" w:eastAsia="Courier New" w:hAnsi="Courier New"/>
                <w:sz w:val="15"/>
                <w:szCs w:val="15"/>
                <w:color w:val="auto"/>
              </w:rPr>
              <w:t>Professional services</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11,799</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29,642</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227,680</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213,748</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Cost of services, selling and administrative expenses</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169,270</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159,297</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Net benefit plans expense</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2,139</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637</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Operating earnings before undernoted</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56,271</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53,814</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56,453</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30,843</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Restructuring charge</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80</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721</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Operating (loss) 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(262)</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22,250</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Interest expense - long-term debt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3,615</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3,623</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Accretion on convertible debentures due to related party</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3,054</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2,286</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(1,414)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(2,385)</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(5,517)</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18,726</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7"/>
        </w:trPr>
        <w:tc>
          <w:tcPr>
            <w:tcW w:w="5340" w:type="dxa"/>
            <w:vAlign w:val="bottom"/>
          </w:tcPr>
          <w:p>
            <w:pPr>
              <w:ind w:left="360"/>
              <w:spacing w:after="0"/>
              <w:rPr>
                <w:sz w:val="20"/>
                <w:szCs w:val="20"/>
                <w:color w:val="auto"/>
              </w:rPr>
            </w:pPr>
            <w:r>
              <w:rPr>
                <w:rFonts w:ascii="Courier New" w:cs="Courier New" w:eastAsia="Courier New" w:hAnsi="Courier New"/>
                <w:sz w:val="15"/>
                <w:szCs w:val="15"/>
                <w:color w:val="auto"/>
              </w:rPr>
              <w:t>Current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(371)</w:t>
            </w:r>
          </w:p>
        </w:tc>
      </w:tr>
      <w:tr>
        <w:trPr>
          <w:trHeight w:val="177"/>
        </w:trPr>
        <w:tc>
          <w:tcPr>
            <w:tcW w:w="5340" w:type="dxa"/>
            <w:vAlign w:val="bottom"/>
          </w:tcPr>
          <w:p>
            <w:pPr>
              <w:ind w:left="360"/>
              <w:spacing w:after="0"/>
              <w:rPr>
                <w:sz w:val="20"/>
                <w:szCs w:val="20"/>
                <w:color w:val="auto"/>
              </w:rPr>
            </w:pPr>
            <w:r>
              <w:rPr>
                <w:rFonts w:ascii="Courier New" w:cs="Courier New" w:eastAsia="Courier New" w:hAnsi="Courier New"/>
                <w:sz w:val="15"/>
                <w:szCs w:val="15"/>
                <w:color w:val="auto"/>
              </w:rPr>
              <w:t>Future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(9,163)</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(9,534)</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(6,208)</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9,192</w:t>
            </w:r>
          </w:p>
        </w:tc>
      </w:tr>
      <w:tr>
        <w:trPr>
          <w:trHeight w:val="355"/>
        </w:trPr>
        <w:tc>
          <w:tcPr>
            <w:tcW w:w="5340" w:type="dxa"/>
            <w:vAlign w:val="bottom"/>
          </w:tcPr>
          <w:p>
            <w:pPr>
              <w:spacing w:after="0"/>
              <w:rPr>
                <w:sz w:val="20"/>
                <w:szCs w:val="20"/>
                <w:color w:val="auto"/>
              </w:rPr>
            </w:pPr>
            <w:r>
              <w:rPr>
                <w:rFonts w:ascii="Courier New" w:cs="Courier New" w:eastAsia="Courier New" w:hAnsi="Courier New"/>
                <w:sz w:val="15"/>
                <w:szCs w:val="15"/>
                <w:color w:val="auto"/>
              </w:rPr>
              <w:t>Retained earnings, beginning of period</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51,068</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35,774</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340" w:type="dxa"/>
            <w:vAlign w:val="bottom"/>
          </w:tcPr>
          <w:p>
            <w:pPr>
              <w:spacing w:after="0"/>
              <w:rPr>
                <w:sz w:val="20"/>
                <w:szCs w:val="20"/>
                <w:color w:val="auto"/>
              </w:rPr>
            </w:pPr>
            <w:r>
              <w:rPr>
                <w:rFonts w:ascii="Courier New" w:cs="Courier New" w:eastAsia="Courier New" w:hAnsi="Courier New"/>
                <w:sz w:val="15"/>
                <w:szCs w:val="15"/>
                <w:color w:val="auto"/>
              </w:rPr>
              <w:t>RETAINED EARNINGS, END OF PERIOD</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44,860</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44,966</w:t>
            </w:r>
          </w:p>
        </w:tc>
      </w:tr>
      <w:tr>
        <w:trPr>
          <w:trHeight w:val="177"/>
        </w:trPr>
        <w:tc>
          <w:tcPr>
            <w:tcW w:w="53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532"/>
        </w:trPr>
        <w:tc>
          <w:tcPr>
            <w:tcW w:w="5340" w:type="dxa"/>
            <w:vAlign w:val="bottom"/>
          </w:tcPr>
          <w:p>
            <w:pPr>
              <w:ind w:left="3600"/>
              <w:spacing w:after="0"/>
              <w:rPr>
                <w:sz w:val="20"/>
                <w:szCs w:val="20"/>
                <w:color w:val="auto"/>
              </w:rPr>
            </w:pPr>
            <w:r>
              <w:rPr>
                <w:rFonts w:ascii="Courier New" w:cs="Courier New" w:eastAsia="Courier New" w:hAnsi="Courier New"/>
                <w:sz w:val="15"/>
                <w:szCs w:val="15"/>
                <w:color w:val="auto"/>
              </w:rPr>
              <w:t>37</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20" w:type="dxa"/>
            <w:vAlign w:val="bottom"/>
          </w:tcPr>
          <w:p>
            <w:pPr>
              <w:jc w:val="center"/>
              <w:ind w:left="1663"/>
              <w:spacing w:after="0"/>
              <w:rPr>
                <w:sz w:val="20"/>
                <w:szCs w:val="20"/>
                <w:color w:val="auto"/>
              </w:rPr>
            </w:pPr>
            <w:r>
              <w:rPr>
                <w:rFonts w:ascii="Courier New" w:cs="Courier New" w:eastAsia="Courier New" w:hAnsi="Courier New"/>
                <w:sz w:val="15"/>
                <w:szCs w:val="15"/>
                <w:color w:val="auto"/>
              </w:rPr>
              <w:t>CERTEN INC.</w:t>
            </w:r>
          </w:p>
        </w:tc>
        <w:tc>
          <w:tcPr>
            <w:tcW w:w="1200" w:type="dxa"/>
            <w:vAlign w:val="bottom"/>
          </w:tcPr>
          <w:p>
            <w:pPr>
              <w:spacing w:after="0"/>
              <w:rPr>
                <w:sz w:val="14"/>
                <w:szCs w:val="14"/>
                <w:color w:val="auto"/>
              </w:rPr>
            </w:pPr>
          </w:p>
        </w:tc>
      </w:tr>
      <w:tr>
        <w:trPr>
          <w:trHeight w:val="177"/>
        </w:trPr>
        <w:tc>
          <w:tcPr>
            <w:tcW w:w="5720" w:type="dxa"/>
            <w:vAlign w:val="bottom"/>
          </w:tcPr>
          <w:p>
            <w:pPr>
              <w:jc w:val="center"/>
              <w:ind w:left="1683"/>
              <w:spacing w:after="0"/>
              <w:rPr>
                <w:sz w:val="20"/>
                <w:szCs w:val="20"/>
                <w:color w:val="auto"/>
              </w:rPr>
            </w:pPr>
            <w:r>
              <w:rPr>
                <w:rFonts w:ascii="Courier New" w:cs="Courier New" w:eastAsia="Courier New" w:hAnsi="Courier New"/>
                <w:sz w:val="15"/>
                <w:szCs w:val="15"/>
                <w:color w:val="auto"/>
              </w:rPr>
              <w:t>BALANCE SHEET</w:t>
            </w:r>
          </w:p>
        </w:tc>
        <w:tc>
          <w:tcPr>
            <w:tcW w:w="1200" w:type="dxa"/>
            <w:vAlign w:val="bottom"/>
          </w:tcPr>
          <w:p>
            <w:pPr>
              <w:spacing w:after="0"/>
              <w:rPr>
                <w:sz w:val="15"/>
                <w:szCs w:val="15"/>
                <w:color w:val="auto"/>
              </w:rPr>
            </w:pPr>
          </w:p>
        </w:tc>
      </w:tr>
      <w:tr>
        <w:trPr>
          <w:trHeight w:val="177"/>
        </w:trPr>
        <w:tc>
          <w:tcPr>
            <w:tcW w:w="5720" w:type="dxa"/>
            <w:vAlign w:val="bottom"/>
          </w:tcPr>
          <w:p>
            <w:pPr>
              <w:jc w:val="center"/>
              <w:ind w:left="1663"/>
              <w:spacing w:after="0"/>
              <w:rPr>
                <w:sz w:val="20"/>
                <w:szCs w:val="20"/>
                <w:color w:val="auto"/>
              </w:rPr>
            </w:pPr>
            <w:r>
              <w:rPr>
                <w:rFonts w:ascii="Courier New" w:cs="Courier New" w:eastAsia="Courier New" w:hAnsi="Courier New"/>
                <w:sz w:val="15"/>
                <w:szCs w:val="15"/>
                <w:color w:val="auto"/>
              </w:rPr>
              <w:t>AS AT JUNE 30, 2003</w:t>
            </w:r>
          </w:p>
        </w:tc>
        <w:tc>
          <w:tcPr>
            <w:tcW w:w="1200" w:type="dxa"/>
            <w:vAlign w:val="bottom"/>
          </w:tcPr>
          <w:p>
            <w:pPr>
              <w:spacing w:after="0"/>
              <w:rPr>
                <w:sz w:val="15"/>
                <w:szCs w:val="15"/>
                <w:color w:val="auto"/>
              </w:rPr>
            </w:pPr>
          </w:p>
        </w:tc>
      </w:tr>
      <w:tr>
        <w:trPr>
          <w:trHeight w:val="177"/>
        </w:trPr>
        <w:tc>
          <w:tcPr>
            <w:tcW w:w="5720" w:type="dxa"/>
            <w:vAlign w:val="bottom"/>
          </w:tcPr>
          <w:p>
            <w:pPr>
              <w:jc w:val="center"/>
              <w:ind w:left="1663"/>
              <w:spacing w:after="0"/>
              <w:rPr>
                <w:sz w:val="20"/>
                <w:szCs w:val="20"/>
                <w:color w:val="auto"/>
              </w:rPr>
            </w:pPr>
            <w:r>
              <w:rPr>
                <w:rFonts w:ascii="Courier New" w:cs="Courier New" w:eastAsia="Courier New" w:hAnsi="Courier New"/>
                <w:sz w:val="15"/>
                <w:szCs w:val="15"/>
                <w:color w:val="auto"/>
              </w:rPr>
              <w:t>(in thousands of dollars)</w:t>
            </w:r>
          </w:p>
        </w:tc>
        <w:tc>
          <w:tcPr>
            <w:tcW w:w="1200" w:type="dxa"/>
            <w:vAlign w:val="bottom"/>
          </w:tcPr>
          <w:p>
            <w:pPr>
              <w:spacing w:after="0"/>
              <w:rPr>
                <w:sz w:val="15"/>
                <w:szCs w:val="15"/>
                <w:color w:val="auto"/>
              </w:rPr>
            </w:pPr>
          </w:p>
        </w:tc>
      </w:tr>
      <w:tr>
        <w:trPr>
          <w:trHeight w:val="177"/>
        </w:trPr>
        <w:tc>
          <w:tcPr>
            <w:tcW w:w="5720" w:type="dxa"/>
            <w:vAlign w:val="bottom"/>
          </w:tcPr>
          <w:p>
            <w:pPr>
              <w:jc w:val="center"/>
              <w:ind w:left="1663"/>
              <w:spacing w:after="0"/>
              <w:rPr>
                <w:sz w:val="20"/>
                <w:szCs w:val="20"/>
                <w:color w:val="auto"/>
              </w:rPr>
            </w:pPr>
            <w:r>
              <w:rPr>
                <w:rFonts w:ascii="Courier New" w:cs="Courier New" w:eastAsia="Courier New" w:hAnsi="Courier New"/>
                <w:sz w:val="15"/>
                <w:szCs w:val="15"/>
                <w:color w:val="auto"/>
              </w:rPr>
              <w:t>(unaudited)</w:t>
            </w:r>
          </w:p>
        </w:tc>
        <w:tc>
          <w:tcPr>
            <w:tcW w:w="1200" w:type="dxa"/>
            <w:vAlign w:val="bottom"/>
          </w:tcPr>
          <w:p>
            <w:pPr>
              <w:spacing w:after="0"/>
              <w:rPr>
                <w:sz w:val="15"/>
                <w:szCs w:val="15"/>
                <w:color w:val="auto"/>
              </w:rPr>
            </w:pPr>
          </w:p>
        </w:tc>
      </w:tr>
      <w:tr>
        <w:trPr>
          <w:trHeight w:val="887"/>
        </w:trPr>
        <w:tc>
          <w:tcPr>
            <w:tcW w:w="5720" w:type="dxa"/>
            <w:vAlign w:val="bottom"/>
          </w:tcPr>
          <w:p>
            <w:pPr>
              <w:spacing w:after="0"/>
              <w:rPr>
                <w:sz w:val="24"/>
                <w:szCs w:val="24"/>
                <w:color w:val="auto"/>
              </w:rPr>
            </w:pPr>
          </w:p>
        </w:tc>
        <w:tc>
          <w:tcPr>
            <w:tcW w:w="120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00" w:type="dxa"/>
            <w:vAlign w:val="bottom"/>
          </w:tcPr>
          <w:p>
            <w:pPr>
              <w:spacing w:after="0"/>
              <w:rPr>
                <w:sz w:val="15"/>
                <w:szCs w:val="15"/>
                <w:color w:val="auto"/>
              </w:rPr>
            </w:pP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00" w:type="dxa"/>
            <w:vAlign w:val="bottom"/>
          </w:tcPr>
          <w:p>
            <w:pPr>
              <w:spacing w:after="0"/>
              <w:rPr>
                <w:sz w:val="24"/>
                <w:szCs w:val="24"/>
                <w:color w:val="auto"/>
              </w:rPr>
            </w:pP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Cash</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34,358</w:t>
            </w: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Accounts receivable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4,891</w:t>
            </w: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Other current receivables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24,292</w:t>
            </w: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Prepaid expense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7,471</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71,012</w:t>
            </w: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53,495</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384,277</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Future income taxes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10,082</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Accrued benefit asset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3,046</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521,912</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200" w:type="dxa"/>
            <w:vAlign w:val="bottom"/>
          </w:tcPr>
          <w:p>
            <w:pPr>
              <w:spacing w:after="0"/>
              <w:rPr>
                <w:sz w:val="24"/>
                <w:szCs w:val="24"/>
                <w:color w:val="auto"/>
              </w:rPr>
            </w:pP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00" w:type="dxa"/>
            <w:vAlign w:val="bottom"/>
          </w:tcPr>
          <w:p>
            <w:pPr>
              <w:spacing w:after="0"/>
              <w:rPr>
                <w:sz w:val="24"/>
                <w:szCs w:val="24"/>
                <w:color w:val="auto"/>
              </w:rPr>
            </w:pP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Accounts payable and accrued liabilities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155,110</w:t>
            </w: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Income and other taxes payable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8,241</w:t>
            </w: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Current portion of loan payable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2,976</w:t>
            </w: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Current portion of obligation under capital lease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27,740</w:t>
            </w: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Other current liabilities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4,920</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198,987</w:t>
            </w: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Convertible debentures due to related party</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36,281</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Loan</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1,529</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Obligation under capital lease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25,179</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Future income taxes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39,493</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Accrued benefit liability</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10,318</w:t>
            </w:r>
          </w:p>
        </w:tc>
      </w:tr>
      <w:tr>
        <w:trPr>
          <w:trHeight w:val="177"/>
        </w:trPr>
        <w:tc>
          <w:tcPr>
            <w:tcW w:w="572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25,136</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336,923</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7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200" w:type="dxa"/>
            <w:vAlign w:val="bottom"/>
          </w:tcPr>
          <w:p>
            <w:pPr>
              <w:spacing w:after="0"/>
              <w:rPr>
                <w:sz w:val="24"/>
                <w:szCs w:val="24"/>
                <w:color w:val="auto"/>
              </w:rPr>
            </w:pPr>
          </w:p>
        </w:tc>
      </w:tr>
      <w:tr>
        <w:trPr>
          <w:trHeight w:val="355"/>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Option on convertible debentures due to related party</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37,960</w:t>
            </w: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Common shares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102,169</w:t>
            </w:r>
          </w:p>
        </w:tc>
      </w:tr>
      <w:tr>
        <w:trPr>
          <w:trHeight w:val="177"/>
        </w:trPr>
        <w:tc>
          <w:tcPr>
            <w:tcW w:w="5720" w:type="dxa"/>
            <w:vAlign w:val="bottom"/>
          </w:tcPr>
          <w:p>
            <w:pPr>
              <w:ind w:left="360"/>
              <w:spacing w:after="0"/>
              <w:rPr>
                <w:sz w:val="20"/>
                <w:szCs w:val="20"/>
                <w:color w:val="auto"/>
              </w:rPr>
            </w:pPr>
            <w:r>
              <w:rPr>
                <w:rFonts w:ascii="Courier New" w:cs="Courier New" w:eastAsia="Courier New" w:hAnsi="Courier New"/>
                <w:sz w:val="15"/>
                <w:szCs w:val="15"/>
                <w:color w:val="auto"/>
              </w:rPr>
              <w:t>Retained earnings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44,860</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184,989</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521,912</w:t>
            </w:r>
          </w:p>
        </w:tc>
      </w:tr>
      <w:tr>
        <w:trPr>
          <w:trHeight w:val="177"/>
        </w:trPr>
        <w:tc>
          <w:tcPr>
            <w:tcW w:w="57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32"/>
        </w:trPr>
        <w:tc>
          <w:tcPr>
            <w:tcW w:w="5720" w:type="dxa"/>
            <w:vAlign w:val="bottom"/>
          </w:tcPr>
          <w:p>
            <w:pPr>
              <w:ind w:left="3600"/>
              <w:spacing w:after="0"/>
              <w:rPr>
                <w:sz w:val="20"/>
                <w:szCs w:val="20"/>
                <w:color w:val="auto"/>
              </w:rPr>
            </w:pPr>
            <w:r>
              <w:rPr>
                <w:rFonts w:ascii="Courier New" w:cs="Courier New" w:eastAsia="Courier New" w:hAnsi="Courier New"/>
                <w:sz w:val="15"/>
                <w:szCs w:val="15"/>
                <w:color w:val="auto"/>
              </w:rPr>
              <w:t>38</w:t>
            </w:r>
          </w:p>
        </w:tc>
        <w:tc>
          <w:tcPr>
            <w:tcW w:w="120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43" w:name="page44"/>
    <w:bookmarkEnd w:id="43"/>
    <w:p>
      <w:pPr>
        <w:jc w:val="center"/>
        <w:ind w:right="2759"/>
        <w:spacing w:after="0"/>
        <w:rPr>
          <w:sz w:val="20"/>
          <w:szCs w:val="20"/>
          <w:color w:val="auto"/>
        </w:rPr>
      </w:pPr>
      <w:r>
        <w:rPr>
          <w:rFonts w:ascii="Courier New" w:cs="Courier New" w:eastAsia="Courier New" w:hAnsi="Courier New"/>
          <w:sz w:val="15"/>
          <w:szCs w:val="15"/>
          <w:color w:val="auto"/>
        </w:rPr>
        <w:t>CERTEN INC.</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STATEMENT OF CASH FLOWS</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SIX-MONTH PERIOD ENDED JUNE 30, 2003</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(in thousands of dollars)</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60" w:type="dxa"/>
            <w:vAlign w:val="bottom"/>
          </w:tcPr>
          <w:p>
            <w:pPr>
              <w:spacing w:after="0"/>
              <w:rPr>
                <w:sz w:val="14"/>
                <w:szCs w:val="14"/>
                <w:color w:val="auto"/>
              </w:rPr>
            </w:pP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2003</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2002</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360" w:type="dxa"/>
            <w:vAlign w:val="bottom"/>
          </w:tcPr>
          <w:p>
            <w:pPr>
              <w:spacing w:after="0"/>
              <w:rPr>
                <w:sz w:val="24"/>
                <w:szCs w:val="24"/>
                <w:color w:val="auto"/>
              </w:rPr>
            </w:pPr>
          </w:p>
        </w:tc>
        <w:tc>
          <w:tcPr>
            <w:tcW w:w="162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r>
      <w:tr>
        <w:trPr>
          <w:trHeight w:val="177"/>
        </w:trPr>
        <w:tc>
          <w:tcPr>
            <w:tcW w:w="63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6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5"/>
        </w:trPr>
        <w:tc>
          <w:tcPr>
            <w:tcW w:w="6360" w:type="dxa"/>
            <w:vAlign w:val="bottom"/>
          </w:tcPr>
          <w:p>
            <w:pPr>
              <w:ind w:left="360"/>
              <w:spacing w:after="0"/>
              <w:rPr>
                <w:sz w:val="20"/>
                <w:szCs w:val="20"/>
                <w:color w:val="auto"/>
              </w:rPr>
            </w:pPr>
            <w:r>
              <w:rPr>
                <w:rFonts w:ascii="Courier New" w:cs="Courier New" w:eastAsia="Courier New" w:hAnsi="Courier New"/>
                <w:sz w:val="15"/>
                <w:szCs w:val="15"/>
                <w:color w:val="auto"/>
              </w:rPr>
              <w:t>Net (loss) income</w:t>
            </w:r>
          </w:p>
        </w:tc>
        <w:tc>
          <w:tcPr>
            <w:tcW w:w="16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(6,208)</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9,192</w:t>
            </w:r>
          </w:p>
        </w:tc>
      </w:tr>
      <w:tr>
        <w:trPr>
          <w:trHeight w:val="177"/>
        </w:trPr>
        <w:tc>
          <w:tcPr>
            <w:tcW w:w="6360" w:type="dxa"/>
            <w:vAlign w:val="bottom"/>
          </w:tcPr>
          <w:p>
            <w:pPr>
              <w:ind w:left="360"/>
              <w:spacing w:after="0"/>
              <w:rPr>
                <w:sz w:val="20"/>
                <w:szCs w:val="20"/>
                <w:color w:val="auto"/>
              </w:rPr>
            </w:pPr>
            <w:r>
              <w:rPr>
                <w:rFonts w:ascii="Courier New" w:cs="Courier New" w:eastAsia="Courier New" w:hAnsi="Courier New"/>
                <w:sz w:val="15"/>
                <w:szCs w:val="15"/>
                <w:color w:val="auto"/>
              </w:rPr>
              <w:t>Adjustments for:</w:t>
            </w:r>
          </w:p>
        </w:tc>
        <w:tc>
          <w:tcPr>
            <w:tcW w:w="16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6360" w:type="dxa"/>
            <w:vAlign w:val="bottom"/>
          </w:tcPr>
          <w:p>
            <w:pPr>
              <w:ind w:left="740"/>
              <w:spacing w:after="0"/>
              <w:rPr>
                <w:sz w:val="20"/>
                <w:szCs w:val="20"/>
                <w:color w:val="auto"/>
              </w:rPr>
            </w:pPr>
            <w:r>
              <w:rPr>
                <w:rFonts w:ascii="Courier New" w:cs="Courier New" w:eastAsia="Courier New" w:hAnsi="Courier New"/>
                <w:sz w:val="15"/>
                <w:szCs w:val="15"/>
                <w:color w:val="auto"/>
              </w:rPr>
              <w:t>Amortization</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56,453</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30,843</w:t>
            </w:r>
          </w:p>
        </w:tc>
      </w:tr>
      <w:tr>
        <w:trPr>
          <w:trHeight w:val="177"/>
        </w:trPr>
        <w:tc>
          <w:tcPr>
            <w:tcW w:w="6360" w:type="dxa"/>
            <w:vAlign w:val="bottom"/>
          </w:tcPr>
          <w:p>
            <w:pPr>
              <w:ind w:left="740"/>
              <w:spacing w:after="0"/>
              <w:rPr>
                <w:sz w:val="20"/>
                <w:szCs w:val="20"/>
                <w:color w:val="auto"/>
              </w:rPr>
            </w:pPr>
            <w:r>
              <w:rPr>
                <w:rFonts w:ascii="Courier New" w:cs="Courier New" w:eastAsia="Courier New" w:hAnsi="Courier New"/>
                <w:sz w:val="15"/>
                <w:szCs w:val="15"/>
                <w:color w:val="auto"/>
              </w:rPr>
              <w:t>Accretion on convertible debentures due to related party</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3,054</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2,286</w:t>
            </w:r>
          </w:p>
        </w:tc>
      </w:tr>
      <w:tr>
        <w:trPr>
          <w:trHeight w:val="177"/>
        </w:trPr>
        <w:tc>
          <w:tcPr>
            <w:tcW w:w="6360" w:type="dxa"/>
            <w:vAlign w:val="bottom"/>
          </w:tcPr>
          <w:p>
            <w:pPr>
              <w:ind w:left="740"/>
              <w:spacing w:after="0"/>
              <w:rPr>
                <w:sz w:val="20"/>
                <w:szCs w:val="20"/>
                <w:color w:val="auto"/>
              </w:rPr>
            </w:pPr>
            <w:r>
              <w:rPr>
                <w:rFonts w:ascii="Courier New" w:cs="Courier New" w:eastAsia="Courier New" w:hAnsi="Courier New"/>
                <w:sz w:val="15"/>
                <w:szCs w:val="15"/>
                <w:color w:val="auto"/>
              </w:rPr>
              <w:t>Gain from sale of property, plant and equipment</w:t>
            </w:r>
          </w:p>
        </w:tc>
        <w:tc>
          <w:tcPr>
            <w:tcW w:w="16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360" w:type="dxa"/>
            <w:vAlign w:val="bottom"/>
          </w:tcPr>
          <w:p>
            <w:pPr>
              <w:ind w:left="740"/>
              <w:spacing w:after="0"/>
              <w:rPr>
                <w:sz w:val="20"/>
                <w:szCs w:val="20"/>
                <w:color w:val="auto"/>
              </w:rPr>
            </w:pPr>
            <w:r>
              <w:rPr>
                <w:rFonts w:ascii="Courier New" w:cs="Courier New" w:eastAsia="Courier New" w:hAnsi="Courier New"/>
                <w:sz w:val="15"/>
                <w:szCs w:val="15"/>
                <w:color w:val="auto"/>
              </w:rPr>
              <w:t>Future income taxes</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691</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9,163</w:t>
            </w:r>
          </w:p>
        </w:tc>
      </w:tr>
      <w:tr>
        <w:trPr>
          <w:trHeight w:val="177"/>
        </w:trPr>
        <w:tc>
          <w:tcPr>
            <w:tcW w:w="6360" w:type="dxa"/>
            <w:vAlign w:val="bottom"/>
          </w:tcPr>
          <w:p>
            <w:pPr>
              <w:ind w:left="740"/>
              <w:spacing w:after="0"/>
              <w:rPr>
                <w:sz w:val="20"/>
                <w:szCs w:val="20"/>
                <w:color w:val="auto"/>
              </w:rPr>
            </w:pPr>
            <w:r>
              <w:rPr>
                <w:rFonts w:ascii="Courier New" w:cs="Courier New" w:eastAsia="Courier New" w:hAnsi="Courier New"/>
                <w:sz w:val="15"/>
                <w:szCs w:val="15"/>
                <w:color w:val="auto"/>
              </w:rPr>
              <w:t>Net benefit plans expense</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2,139</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637</w:t>
            </w:r>
          </w:p>
        </w:tc>
      </w:tr>
      <w:tr>
        <w:trPr>
          <w:trHeight w:val="177"/>
        </w:trPr>
        <w:tc>
          <w:tcPr>
            <w:tcW w:w="6360" w:type="dxa"/>
            <w:vAlign w:val="bottom"/>
          </w:tcPr>
          <w:p>
            <w:pPr>
              <w:ind w:left="360"/>
              <w:spacing w:after="0"/>
              <w:rPr>
                <w:sz w:val="20"/>
                <w:szCs w:val="20"/>
                <w:color w:val="auto"/>
              </w:rPr>
            </w:pPr>
            <w:r>
              <w:rPr>
                <w:rFonts w:ascii="Courier New" w:cs="Courier New" w:eastAsia="Courier New" w:hAnsi="Courier New"/>
                <w:sz w:val="15"/>
                <w:szCs w:val="15"/>
                <w:color w:val="auto"/>
              </w:rPr>
              <w:t>Net change in non-cash working capital items</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47,987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(17,535)</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104,105</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34,586</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3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6360" w:type="dxa"/>
            <w:vAlign w:val="bottom"/>
          </w:tcPr>
          <w:p>
            <w:pPr>
              <w:ind w:left="360"/>
              <w:spacing w:after="0"/>
              <w:rPr>
                <w:sz w:val="20"/>
                <w:szCs w:val="20"/>
                <w:color w:val="auto"/>
              </w:rPr>
            </w:pPr>
            <w:r>
              <w:rPr>
                <w:rFonts w:ascii="Courier New" w:cs="Courier New" w:eastAsia="Courier New" w:hAnsi="Courier New"/>
                <w:sz w:val="15"/>
                <w:szCs w:val="15"/>
                <w:color w:val="auto"/>
              </w:rPr>
              <w:t>Capital expenditures</w:t>
            </w:r>
          </w:p>
        </w:tc>
        <w:tc>
          <w:tcPr>
            <w:tcW w:w="16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(79,311)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(127,823)</w:t>
            </w:r>
          </w:p>
        </w:tc>
      </w:tr>
      <w:tr>
        <w:trPr>
          <w:trHeight w:val="177"/>
        </w:trPr>
        <w:tc>
          <w:tcPr>
            <w:tcW w:w="6360" w:type="dxa"/>
            <w:vAlign w:val="bottom"/>
          </w:tcPr>
          <w:p>
            <w:pPr>
              <w:ind w:left="360"/>
              <w:spacing w:after="0"/>
              <w:rPr>
                <w:sz w:val="20"/>
                <w:szCs w:val="20"/>
                <w:color w:val="auto"/>
              </w:rPr>
            </w:pPr>
            <w:r>
              <w:rPr>
                <w:rFonts w:ascii="Courier New" w:cs="Courier New" w:eastAsia="Courier New" w:hAnsi="Courier New"/>
                <w:sz w:val="15"/>
                <w:szCs w:val="15"/>
                <w:color w:val="auto"/>
              </w:rPr>
              <w:t>Proceeds from disposal of property, plant and equipment</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332</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(78,979)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(127,823)</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3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5"/>
        </w:trPr>
        <w:tc>
          <w:tcPr>
            <w:tcW w:w="6360" w:type="dxa"/>
            <w:vAlign w:val="bottom"/>
          </w:tcPr>
          <w:p>
            <w:pPr>
              <w:ind w:left="360"/>
              <w:spacing w:after="0"/>
              <w:rPr>
                <w:sz w:val="20"/>
                <w:szCs w:val="20"/>
                <w:color w:val="auto"/>
              </w:rPr>
            </w:pPr>
            <w:r>
              <w:rPr>
                <w:rFonts w:ascii="Courier New" w:cs="Courier New" w:eastAsia="Courier New" w:hAnsi="Courier New"/>
                <w:sz w:val="15"/>
                <w:szCs w:val="15"/>
                <w:color w:val="auto"/>
              </w:rPr>
              <w:t>Repayment of capital leases</w:t>
            </w:r>
          </w:p>
        </w:tc>
        <w:tc>
          <w:tcPr>
            <w:tcW w:w="16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(24,358)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(3,022)</w:t>
            </w:r>
          </w:p>
        </w:tc>
      </w:tr>
      <w:tr>
        <w:trPr>
          <w:trHeight w:val="177"/>
        </w:trPr>
        <w:tc>
          <w:tcPr>
            <w:tcW w:w="6360" w:type="dxa"/>
            <w:vAlign w:val="bottom"/>
          </w:tcPr>
          <w:p>
            <w:pPr>
              <w:ind w:left="360"/>
              <w:spacing w:after="0"/>
              <w:rPr>
                <w:sz w:val="20"/>
                <w:szCs w:val="20"/>
                <w:color w:val="auto"/>
              </w:rPr>
            </w:pPr>
            <w:r>
              <w:rPr>
                <w:rFonts w:ascii="Courier New" w:cs="Courier New" w:eastAsia="Courier New" w:hAnsi="Courier New"/>
                <w:sz w:val="15"/>
                <w:szCs w:val="15"/>
                <w:color w:val="auto"/>
              </w:rPr>
              <w:t>Issuance of convertible debentures due to related party</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33,859</w:t>
            </w:r>
          </w:p>
        </w:tc>
      </w:tr>
      <w:tr>
        <w:trPr>
          <w:trHeight w:val="177"/>
        </w:trPr>
        <w:tc>
          <w:tcPr>
            <w:tcW w:w="6360" w:type="dxa"/>
            <w:vAlign w:val="bottom"/>
          </w:tcPr>
          <w:p>
            <w:pPr>
              <w:ind w:left="360"/>
              <w:spacing w:after="0"/>
              <w:rPr>
                <w:sz w:val="20"/>
                <w:szCs w:val="20"/>
                <w:color w:val="auto"/>
              </w:rPr>
            </w:pPr>
            <w:r>
              <w:rPr>
                <w:rFonts w:ascii="Courier New" w:cs="Courier New" w:eastAsia="Courier New" w:hAnsi="Courier New"/>
                <w:sz w:val="15"/>
                <w:szCs w:val="15"/>
                <w:color w:val="auto"/>
              </w:rPr>
              <w:t>Issuance of Common shares</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47,241</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(24,358)</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78,078</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3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768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(15,159)</w:t>
            </w:r>
          </w:p>
        </w:tc>
      </w:tr>
      <w:tr>
        <w:trPr>
          <w:trHeight w:val="177"/>
        </w:trPr>
        <w:tc>
          <w:tcPr>
            <w:tcW w:w="636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33,590</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57,693</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636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34,358</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42,534</w:t>
            </w:r>
          </w:p>
        </w:tc>
      </w:tr>
      <w:tr>
        <w:trPr>
          <w:trHeight w:val="177"/>
        </w:trPr>
        <w:tc>
          <w:tcPr>
            <w:tcW w:w="6360" w:type="dxa"/>
            <w:vAlign w:val="bottom"/>
          </w:tcPr>
          <w:p>
            <w:pPr>
              <w:spacing w:after="0"/>
              <w:rPr>
                <w:sz w:val="15"/>
                <w:szCs w:val="15"/>
                <w:color w:val="auto"/>
              </w:rPr>
            </w:pPr>
          </w:p>
        </w:tc>
        <w:tc>
          <w:tcPr>
            <w:tcW w:w="16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532"/>
        </w:trPr>
        <w:tc>
          <w:tcPr>
            <w:tcW w:w="6360" w:type="dxa"/>
            <w:vAlign w:val="bottom"/>
          </w:tcPr>
          <w:p>
            <w:pPr>
              <w:ind w:left="3600"/>
              <w:spacing w:after="0"/>
              <w:rPr>
                <w:sz w:val="20"/>
                <w:szCs w:val="20"/>
                <w:color w:val="auto"/>
              </w:rPr>
            </w:pPr>
            <w:r>
              <w:rPr>
                <w:rFonts w:ascii="Courier New" w:cs="Courier New" w:eastAsia="Courier New" w:hAnsi="Courier New"/>
                <w:sz w:val="15"/>
                <w:szCs w:val="15"/>
                <w:color w:val="auto"/>
              </w:rPr>
              <w:t>39</w:t>
            </w: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44" w:name="page45"/>
    <w:bookmarkEnd w:id="44"/>
    <w:p>
      <w:pPr>
        <w:jc w:val="center"/>
        <w:ind w:right="2754"/>
        <w:spacing w:after="0"/>
        <w:rPr>
          <w:sz w:val="20"/>
          <w:szCs w:val="20"/>
          <w:color w:val="auto"/>
        </w:rPr>
      </w:pPr>
      <w:r>
        <w:rPr>
          <w:rFonts w:ascii="Courier New" w:cs="Courier New" w:eastAsia="Courier New" w:hAnsi="Courier New"/>
          <w:sz w:val="15"/>
          <w:szCs w:val="15"/>
          <w:color w:val="auto"/>
        </w:rPr>
        <w:t>CERTEN INC.</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NOTES TO THE FINANCIAL STATEMENTS</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SIX-MONTH PERIOD ENDED JUNE 30, 2003</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(unaudited)</w:t>
      </w:r>
    </w:p>
    <w:p>
      <w:pPr>
        <w:spacing w:after="0" w:line="8"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(all tabular amounts are in thousands of dollars except where otherwise noted)</w:t>
      </w:r>
    </w:p>
    <w:p>
      <w:pPr>
        <w:spacing w:after="0" w:line="185" w:lineRule="exact"/>
        <w:rPr>
          <w:sz w:val="20"/>
          <w:szCs w:val="20"/>
          <w:color w:val="auto"/>
        </w:rPr>
      </w:pPr>
    </w:p>
    <w:p>
      <w:pPr>
        <w:ind w:left="545" w:right="3019" w:hanging="545"/>
        <w:spacing w:after="0" w:line="253" w:lineRule="auto"/>
        <w:tabs>
          <w:tab w:leader="none" w:pos="54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OF RESULTS REPORTED IN ACCORDANCE WITH CANADIAN GENERALLY ACCEPTED ACCOUNTING PRINCIPLES (GAAP) TO UNITED STATES GAAP</w:t>
      </w:r>
    </w:p>
    <w:p>
      <w:pPr>
        <w:spacing w:after="0" w:line="174" w:lineRule="exact"/>
        <w:rPr>
          <w:rFonts w:ascii="Courier New" w:cs="Courier New" w:eastAsia="Courier New" w:hAnsi="Courier New"/>
          <w:sz w:val="15"/>
          <w:szCs w:val="15"/>
          <w:color w:val="auto"/>
        </w:rPr>
      </w:pPr>
    </w:p>
    <w:p>
      <w:pPr>
        <w:ind w:left="545" w:right="30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significant differences between Canadian and United States GAAP affecting Certen's net earnings and shareholders' equity are detailed as follows:</w:t>
      </w:r>
    </w:p>
    <w:p>
      <w:pPr>
        <w:spacing w:after="0" w:line="200" w:lineRule="exact"/>
        <w:rPr>
          <w:sz w:val="20"/>
          <w:szCs w:val="20"/>
          <w:color w:val="auto"/>
        </w:rPr>
      </w:pPr>
    </w:p>
    <w:p>
      <w:pPr>
        <w:spacing w:after="0" w:line="329"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6180" w:type="dxa"/>
            <w:vAlign w:val="bottom"/>
          </w:tcPr>
          <w:p>
            <w:pPr>
              <w:spacing w:after="0"/>
              <w:rPr>
                <w:sz w:val="20"/>
                <w:szCs w:val="20"/>
                <w:color w:val="auto"/>
              </w:rPr>
            </w:pPr>
            <w:r>
              <w:rPr>
                <w:rFonts w:ascii="Courier New" w:cs="Courier New" w:eastAsia="Courier New" w:hAnsi="Courier New"/>
                <w:sz w:val="15"/>
                <w:szCs w:val="15"/>
                <w:color w:val="auto"/>
              </w:rPr>
              <w:t>RECONCILIATION OF NET EARNINGS:</w:t>
            </w:r>
          </w:p>
        </w:tc>
        <w:tc>
          <w:tcPr>
            <w:tcW w:w="1740" w:type="dxa"/>
            <w:vAlign w:val="bottom"/>
          </w:tcPr>
          <w:p>
            <w:pPr>
              <w:ind w:left="640"/>
              <w:spacing w:after="0"/>
              <w:rPr>
                <w:sz w:val="20"/>
                <w:szCs w:val="20"/>
                <w:color w:val="auto"/>
              </w:rPr>
            </w:pPr>
            <w:r>
              <w:rPr>
                <w:rFonts w:ascii="Courier New" w:cs="Courier New" w:eastAsia="Courier New" w:hAnsi="Courier New"/>
                <w:sz w:val="15"/>
                <w:szCs w:val="15"/>
                <w:color w:val="auto"/>
              </w:rPr>
              <w:t>2003</w:t>
            </w:r>
          </w:p>
        </w:tc>
        <w:tc>
          <w:tcPr>
            <w:tcW w:w="1400" w:type="dxa"/>
            <w:vAlign w:val="bottom"/>
          </w:tcPr>
          <w:p>
            <w:pPr>
              <w:ind w:left="740"/>
              <w:spacing w:after="0"/>
              <w:rPr>
                <w:sz w:val="20"/>
                <w:szCs w:val="20"/>
                <w:color w:val="auto"/>
              </w:rPr>
            </w:pPr>
            <w:r>
              <w:rPr>
                <w:rFonts w:ascii="Courier New" w:cs="Courier New" w:eastAsia="Courier New" w:hAnsi="Courier New"/>
                <w:sz w:val="15"/>
                <w:szCs w:val="15"/>
                <w:color w:val="auto"/>
              </w:rPr>
              <w:t>2002</w:t>
            </w:r>
          </w:p>
        </w:tc>
      </w:tr>
      <w:tr>
        <w:trPr>
          <w:trHeight w:val="177"/>
        </w:trPr>
        <w:tc>
          <w:tcPr>
            <w:tcW w:w="6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4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740"/>
              <w:spacing w:after="0"/>
              <w:rPr>
                <w:sz w:val="20"/>
                <w:szCs w:val="20"/>
                <w:color w:val="auto"/>
              </w:rPr>
            </w:pPr>
            <w:r>
              <w:rPr>
                <w:rFonts w:ascii="Courier New" w:cs="Courier New" w:eastAsia="Courier New" w:hAnsi="Courier New"/>
                <w:sz w:val="15"/>
                <w:szCs w:val="15"/>
                <w:color w:val="auto"/>
              </w:rPr>
              <w:t>-------</w:t>
            </w:r>
          </w:p>
        </w:tc>
      </w:tr>
      <w:tr>
        <w:trPr>
          <w:trHeight w:val="355"/>
        </w:trPr>
        <w:tc>
          <w:tcPr>
            <w:tcW w:w="6180" w:type="dxa"/>
            <w:vAlign w:val="bottom"/>
          </w:tcPr>
          <w:p>
            <w:pPr>
              <w:spacing w:after="0"/>
              <w:rPr>
                <w:sz w:val="24"/>
                <w:szCs w:val="24"/>
                <w:color w:val="auto"/>
              </w:rPr>
            </w:pPr>
          </w:p>
        </w:tc>
        <w:tc>
          <w:tcPr>
            <w:tcW w:w="1740" w:type="dxa"/>
            <w:vAlign w:val="bottom"/>
          </w:tcPr>
          <w:p>
            <w:pPr>
              <w:jc w:val="right"/>
              <w:ind w:right="110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CANADIAN GAAP - NET (LOSS) INCOME</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(6,208)</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9,192</w:t>
            </w:r>
          </w:p>
        </w:tc>
      </w:tr>
      <w:tr>
        <w:trPr>
          <w:trHeight w:val="177"/>
        </w:trPr>
        <w:tc>
          <w:tcPr>
            <w:tcW w:w="618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17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7"/>
        </w:trPr>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Accretion on convertible debentures due to related party (a)</w:t>
            </w: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3,054</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2,286</w:t>
            </w:r>
          </w:p>
        </w:tc>
      </w:tr>
      <w:tr>
        <w:trPr>
          <w:trHeight w:val="177"/>
        </w:trPr>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Capitalization of training costs (b)</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(1,013)</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Capitalization of interest (c)</w:t>
            </w: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2,939</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1,287</w:t>
            </w:r>
          </w:p>
        </w:tc>
      </w:tr>
      <w:tr>
        <w:trPr>
          <w:trHeight w:val="177"/>
        </w:trPr>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Income taxes (d)</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(661)</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(424)</w:t>
            </w:r>
          </w:p>
        </w:tc>
      </w:tr>
      <w:tr>
        <w:trPr>
          <w:trHeight w:val="177"/>
        </w:trPr>
        <w:tc>
          <w:tcPr>
            <w:tcW w:w="6180" w:type="dxa"/>
            <w:vAlign w:val="bottom"/>
          </w:tcPr>
          <w:p>
            <w:pPr>
              <w:spacing w:after="0"/>
              <w:rPr>
                <w:sz w:val="15"/>
                <w:szCs w:val="15"/>
                <w:color w:val="auto"/>
              </w:rPr>
            </w:pP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6180" w:type="dxa"/>
            <w:vAlign w:val="bottom"/>
          </w:tcPr>
          <w:p>
            <w:pPr>
              <w:spacing w:after="0"/>
              <w:rPr>
                <w:sz w:val="20"/>
                <w:szCs w:val="20"/>
                <w:color w:val="auto"/>
              </w:rPr>
            </w:pPr>
            <w:r>
              <w:rPr>
                <w:rFonts w:ascii="Courier New" w:cs="Courier New" w:eastAsia="Courier New" w:hAnsi="Courier New"/>
                <w:sz w:val="15"/>
                <w:szCs w:val="15"/>
                <w:color w:val="auto"/>
              </w:rPr>
              <w:t>UNITED STATES GAAP - NET (LOSS) INCOME</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(1,889)</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12,341</w:t>
            </w:r>
          </w:p>
        </w:tc>
      </w:tr>
      <w:tr>
        <w:trPr>
          <w:trHeight w:val="177"/>
        </w:trPr>
        <w:tc>
          <w:tcPr>
            <w:tcW w:w="6180" w:type="dxa"/>
            <w:vAlign w:val="bottom"/>
          </w:tcPr>
          <w:p>
            <w:pPr>
              <w:spacing w:after="0"/>
              <w:rPr>
                <w:sz w:val="15"/>
                <w:szCs w:val="15"/>
                <w:color w:val="auto"/>
              </w:rPr>
            </w:pP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887"/>
        </w:trPr>
        <w:tc>
          <w:tcPr>
            <w:tcW w:w="6180" w:type="dxa"/>
            <w:vAlign w:val="bottom"/>
          </w:tcPr>
          <w:p>
            <w:pPr>
              <w:spacing w:after="0"/>
              <w:rPr>
                <w:sz w:val="20"/>
                <w:szCs w:val="20"/>
                <w:color w:val="auto"/>
              </w:rPr>
            </w:pPr>
            <w:r>
              <w:rPr>
                <w:rFonts w:ascii="Courier New" w:cs="Courier New" w:eastAsia="Courier New" w:hAnsi="Courier New"/>
                <w:sz w:val="15"/>
                <w:szCs w:val="15"/>
                <w:color w:val="auto"/>
              </w:rPr>
              <w:t>RECONCILIATION OF SHAREHOLDERS' EQUITY:</w:t>
            </w:r>
          </w:p>
        </w:tc>
        <w:tc>
          <w:tcPr>
            <w:tcW w:w="1740" w:type="dxa"/>
            <w:vAlign w:val="bottom"/>
          </w:tcPr>
          <w:p>
            <w:pPr>
              <w:ind w:left="560"/>
              <w:spacing w:after="0"/>
              <w:rPr>
                <w:sz w:val="20"/>
                <w:szCs w:val="20"/>
                <w:color w:val="auto"/>
              </w:rPr>
            </w:pPr>
            <w:r>
              <w:rPr>
                <w:rFonts w:ascii="Courier New" w:cs="Courier New" w:eastAsia="Courier New" w:hAnsi="Courier New"/>
                <w:sz w:val="15"/>
                <w:szCs w:val="15"/>
                <w:color w:val="auto"/>
              </w:rPr>
              <w:t>2003</w:t>
            </w:r>
          </w:p>
        </w:tc>
        <w:tc>
          <w:tcPr>
            <w:tcW w:w="1400" w:type="dxa"/>
            <w:vAlign w:val="bottom"/>
          </w:tcPr>
          <w:p>
            <w:pPr>
              <w:ind w:left="660"/>
              <w:spacing w:after="0"/>
              <w:rPr>
                <w:sz w:val="20"/>
                <w:szCs w:val="20"/>
                <w:color w:val="auto"/>
              </w:rPr>
            </w:pPr>
            <w:r>
              <w:rPr>
                <w:rFonts w:ascii="Courier New" w:cs="Courier New" w:eastAsia="Courier New" w:hAnsi="Courier New"/>
                <w:sz w:val="15"/>
                <w:szCs w:val="15"/>
                <w:color w:val="auto"/>
              </w:rPr>
              <w:t>2002</w:t>
            </w:r>
          </w:p>
        </w:tc>
      </w:tr>
      <w:tr>
        <w:trPr>
          <w:trHeight w:val="177"/>
        </w:trPr>
        <w:tc>
          <w:tcPr>
            <w:tcW w:w="6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r>
      <w:tr>
        <w:trPr>
          <w:trHeight w:val="355"/>
        </w:trPr>
        <w:tc>
          <w:tcPr>
            <w:tcW w:w="6180" w:type="dxa"/>
            <w:vAlign w:val="bottom"/>
          </w:tcPr>
          <w:p>
            <w:pPr>
              <w:spacing w:after="0"/>
              <w:rPr>
                <w:sz w:val="24"/>
                <w:szCs w:val="24"/>
                <w:color w:val="auto"/>
              </w:rPr>
            </w:pPr>
          </w:p>
        </w:tc>
        <w:tc>
          <w:tcPr>
            <w:tcW w:w="1740" w:type="dxa"/>
            <w:vAlign w:val="bottom"/>
          </w:tcPr>
          <w:p>
            <w:pPr>
              <w:jc w:val="right"/>
              <w:ind w:right="120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w:t>
            </w:r>
          </w:p>
        </w:tc>
      </w:tr>
      <w:tr>
        <w:trPr>
          <w:trHeight w:val="177"/>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CANADIAN GAAP - SHAREHOLDERS' EQUITY</w:t>
            </w: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184,989</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185,096</w:t>
            </w:r>
          </w:p>
        </w:tc>
      </w:tr>
      <w:tr>
        <w:trPr>
          <w:trHeight w:val="177"/>
        </w:trPr>
        <w:tc>
          <w:tcPr>
            <w:tcW w:w="618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17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7"/>
        </w:trPr>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Accretion on convertible debentures due to related party (a)</w:t>
            </w: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9,419</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3,194</w:t>
            </w:r>
          </w:p>
        </w:tc>
      </w:tr>
      <w:tr>
        <w:trPr>
          <w:trHeight w:val="177"/>
        </w:trPr>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Option on convertible debentures due to related party (a)</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(37,960)</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(37,960)</w:t>
            </w:r>
          </w:p>
        </w:tc>
      </w:tr>
      <w:tr>
        <w:trPr>
          <w:trHeight w:val="177"/>
        </w:trPr>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Capitalization of training costs (b)</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(5,859)</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Capitalization of interest (c)</w:t>
            </w: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6,915</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1,366</w:t>
            </w:r>
          </w:p>
        </w:tc>
      </w:tr>
      <w:tr>
        <w:trPr>
          <w:trHeight w:val="177"/>
        </w:trPr>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Income taxes (d)</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(346)</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(451)</w:t>
            </w:r>
          </w:p>
        </w:tc>
      </w:tr>
      <w:tr>
        <w:trPr>
          <w:trHeight w:val="177"/>
        </w:trPr>
        <w:tc>
          <w:tcPr>
            <w:tcW w:w="6180" w:type="dxa"/>
            <w:vAlign w:val="bottom"/>
          </w:tcPr>
          <w:p>
            <w:pPr>
              <w:spacing w:after="0"/>
              <w:rPr>
                <w:sz w:val="15"/>
                <w:szCs w:val="15"/>
                <w:color w:val="auto"/>
              </w:rPr>
            </w:pP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6180" w:type="dxa"/>
            <w:vAlign w:val="bottom"/>
          </w:tcPr>
          <w:p>
            <w:pPr>
              <w:spacing w:after="0"/>
              <w:rPr>
                <w:sz w:val="20"/>
                <w:szCs w:val="20"/>
                <w:color w:val="auto"/>
              </w:rPr>
            </w:pPr>
            <w:r>
              <w:rPr>
                <w:rFonts w:ascii="Courier New" w:cs="Courier New" w:eastAsia="Courier New" w:hAnsi="Courier New"/>
                <w:sz w:val="15"/>
                <w:szCs w:val="15"/>
                <w:color w:val="auto"/>
              </w:rPr>
              <w:t>UNITED STATES GAAP - SHAREHOLDERS' EQUITY</w:t>
            </w: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157,158</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151,245</w:t>
            </w:r>
          </w:p>
        </w:tc>
      </w:tr>
      <w:tr>
        <w:trPr>
          <w:trHeight w:val="177"/>
        </w:trPr>
        <w:tc>
          <w:tcPr>
            <w:tcW w:w="6180" w:type="dxa"/>
            <w:vAlign w:val="bottom"/>
          </w:tcPr>
          <w:p>
            <w:pPr>
              <w:spacing w:after="0"/>
              <w:rPr>
                <w:sz w:val="15"/>
                <w:szCs w:val="15"/>
                <w:color w:val="auto"/>
              </w:rPr>
            </w:pPr>
          </w:p>
        </w:tc>
        <w:tc>
          <w:tcPr>
            <w:tcW w:w="17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45" w:hanging="545"/>
        <w:spacing w:after="0"/>
        <w:tabs>
          <w:tab w:leader="none" w:pos="54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Accretion on convertible debentures due to related party</w:t>
      </w:r>
    </w:p>
    <w:p>
      <w:pPr>
        <w:spacing w:after="0" w:line="184" w:lineRule="exact"/>
        <w:rPr>
          <w:rFonts w:ascii="Courier New" w:cs="Courier New" w:eastAsia="Courier New" w:hAnsi="Courier New"/>
          <w:sz w:val="15"/>
          <w:szCs w:val="15"/>
          <w:color w:val="auto"/>
        </w:rPr>
      </w:pPr>
    </w:p>
    <w:p>
      <w:pPr>
        <w:ind w:left="54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Canadian GAAP, the issuer of financial instruments that contain both a liability and an equity component must separate and classify the instruments according to their nature. Under United States GAAP, the issuer is not required to separate such financial instruments. Consequently, the accretion on convertible debentures due to related party is added back to United States GAAP net earnings.</w:t>
      </w:r>
    </w:p>
    <w:p>
      <w:pPr>
        <w:spacing w:after="0" w:line="175" w:lineRule="exact"/>
        <w:rPr>
          <w:rFonts w:ascii="Courier New" w:cs="Courier New" w:eastAsia="Courier New" w:hAnsi="Courier New"/>
          <w:sz w:val="15"/>
          <w:szCs w:val="15"/>
          <w:color w:val="auto"/>
        </w:rPr>
      </w:pPr>
    </w:p>
    <w:p>
      <w:pPr>
        <w:ind w:left="545" w:hanging="545"/>
        <w:spacing w:after="0"/>
        <w:tabs>
          <w:tab w:leader="none" w:pos="54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of training costs</w:t>
      </w:r>
    </w:p>
    <w:p>
      <w:pPr>
        <w:spacing w:after="0" w:line="184" w:lineRule="exact"/>
        <w:rPr>
          <w:rFonts w:ascii="Courier New" w:cs="Courier New" w:eastAsia="Courier New" w:hAnsi="Courier New"/>
          <w:sz w:val="15"/>
          <w:szCs w:val="15"/>
          <w:color w:val="auto"/>
        </w:rPr>
      </w:pPr>
    </w:p>
    <w:p>
      <w:pPr>
        <w:ind w:left="545" w:right="329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Canadian GAAP, training costs incurred in the development of internal-use software is capitalized. Under United States GAAP, these costs are expensed as incurred.</w:t>
      </w:r>
    </w:p>
    <w:p>
      <w:pPr>
        <w:spacing w:after="0" w:line="174" w:lineRule="exact"/>
        <w:rPr>
          <w:rFonts w:ascii="Courier New" w:cs="Courier New" w:eastAsia="Courier New" w:hAnsi="Courier New"/>
          <w:sz w:val="15"/>
          <w:szCs w:val="15"/>
          <w:color w:val="auto"/>
        </w:rPr>
      </w:pPr>
    </w:p>
    <w:p>
      <w:pPr>
        <w:ind w:left="545" w:hanging="545"/>
        <w:spacing w:after="0"/>
        <w:tabs>
          <w:tab w:leader="none" w:pos="54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of interest expense</w:t>
      </w:r>
    </w:p>
    <w:p>
      <w:pPr>
        <w:spacing w:after="0" w:line="184" w:lineRule="exact"/>
        <w:rPr>
          <w:rFonts w:ascii="Courier New" w:cs="Courier New" w:eastAsia="Courier New" w:hAnsi="Courier New"/>
          <w:sz w:val="15"/>
          <w:szCs w:val="15"/>
          <w:color w:val="auto"/>
        </w:rPr>
      </w:pPr>
    </w:p>
    <w:p>
      <w:pPr>
        <w:ind w:left="545" w:right="28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United States GAAP, interest expense related to internally developed capital assets must be capitalized. Canadian GAAP makes no such requirements and therefore, Certen has expensed all interest costs.</w:t>
      </w:r>
    </w:p>
    <w:p>
      <w:pPr>
        <w:spacing w:after="0" w:line="174" w:lineRule="exact"/>
        <w:rPr>
          <w:rFonts w:ascii="Courier New" w:cs="Courier New" w:eastAsia="Courier New" w:hAnsi="Courier New"/>
          <w:sz w:val="15"/>
          <w:szCs w:val="15"/>
          <w:color w:val="auto"/>
        </w:rPr>
      </w:pPr>
    </w:p>
    <w:p>
      <w:pPr>
        <w:ind w:left="545" w:hanging="545"/>
        <w:spacing w:after="0"/>
        <w:tabs>
          <w:tab w:leader="none" w:pos="54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5" w:lineRule="exact"/>
        <w:rPr>
          <w:sz w:val="20"/>
          <w:szCs w:val="20"/>
          <w:color w:val="auto"/>
        </w:rPr>
      </w:pPr>
    </w:p>
    <w:p>
      <w:pPr>
        <w:ind w:left="545" w:right="3399"/>
        <w:spacing w:after="0" w:line="253" w:lineRule="auto"/>
        <w:rPr>
          <w:sz w:val="20"/>
          <w:szCs w:val="20"/>
          <w:color w:val="auto"/>
        </w:rPr>
      </w:pPr>
      <w:r>
        <w:rPr>
          <w:rFonts w:ascii="Courier New" w:cs="Courier New" w:eastAsia="Courier New" w:hAnsi="Courier New"/>
          <w:sz w:val="15"/>
          <w:szCs w:val="15"/>
          <w:color w:val="auto"/>
        </w:rPr>
        <w:t>The income tax adjustment reflects the impact on income taxes of the United States GAAP adjustments described above.</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5"/>
          </w:cols>
          <w:pgMar w:left="235" w:top="650" w:right="1440" w:bottom="1440" w:gutter="0" w:footer="0" w:header="0"/>
        </w:sectPr>
      </w:pPr>
    </w:p>
    <w:bookmarkStart w:id="45" w:name="page46"/>
    <w:bookmarkEnd w:id="45"/>
    <w:p>
      <w:pPr>
        <w:jc w:val="center"/>
        <w:ind w:right="2754"/>
        <w:spacing w:after="0"/>
        <w:rPr>
          <w:sz w:val="20"/>
          <w:szCs w:val="20"/>
          <w:color w:val="auto"/>
        </w:rPr>
      </w:pPr>
      <w:r>
        <w:rPr>
          <w:rFonts w:ascii="Courier New" w:cs="Courier New" w:eastAsia="Courier New" w:hAnsi="Courier New"/>
          <w:sz w:val="15"/>
          <w:szCs w:val="15"/>
          <w:color w:val="auto"/>
        </w:rPr>
        <w:t>PART II</w:t>
      </w:r>
    </w:p>
    <w:p>
      <w:pPr>
        <w:spacing w:after="0" w:line="185"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ITEM 8. INDEMNIFICATION OF DIRECTORS AND OFFICERS.</w:t>
      </w:r>
    </w:p>
    <w:p>
      <w:pPr>
        <w:spacing w:after="0" w:line="185"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76"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76" w:lineRule="exact"/>
        <w:rPr>
          <w:sz w:val="20"/>
          <w:szCs w:val="20"/>
          <w:color w:val="auto"/>
        </w:rPr>
      </w:pPr>
    </w:p>
    <w:p>
      <w:pPr>
        <w:ind w:left="5" w:right="2839" w:firstLine="554"/>
        <w:spacing w:after="0" w:line="251" w:lineRule="auto"/>
        <w:rPr>
          <w:sz w:val="20"/>
          <w:szCs w:val="20"/>
          <w:color w:val="auto"/>
        </w:rPr>
      </w:pPr>
      <w:r>
        <w:rPr>
          <w:rFonts w:ascii="Courier New" w:cs="Courier New" w:eastAsia="Courier New" w:hAnsi="Courier New"/>
          <w:sz w:val="15"/>
          <w:szCs w:val="15"/>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ITEM 9. EXHIBITS</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8"/>
              </w:rPr>
              <w:t>EXHIBIT</w:t>
            </w:r>
          </w:p>
        </w:tc>
        <w:tc>
          <w:tcPr>
            <w:tcW w:w="8260" w:type="dxa"/>
            <w:vAlign w:val="bottom"/>
          </w:tcPr>
          <w:p>
            <w:pPr>
              <w:spacing w:after="0"/>
              <w:rPr>
                <w:sz w:val="14"/>
                <w:szCs w:val="14"/>
                <w:color w:val="auto"/>
              </w:rPr>
            </w:pPr>
          </w:p>
        </w:tc>
      </w:tr>
      <w:tr>
        <w:trPr>
          <w:trHeight w:val="177"/>
        </w:trPr>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NUMBER</w:t>
            </w:r>
          </w:p>
        </w:tc>
        <w:tc>
          <w:tcPr>
            <w:tcW w:w="8260" w:type="dxa"/>
            <w:vAlign w:val="bottom"/>
          </w:tcPr>
          <w:p>
            <w:pPr>
              <w:ind w:left="2540"/>
              <w:spacing w:after="0"/>
              <w:rPr>
                <w:sz w:val="20"/>
                <w:szCs w:val="20"/>
                <w:color w:val="auto"/>
              </w:rPr>
            </w:pPr>
            <w:r>
              <w:rPr>
                <w:rFonts w:ascii="Courier New" w:cs="Courier New" w:eastAsia="Courier New" w:hAnsi="Courier New"/>
                <w:sz w:val="15"/>
                <w:szCs w:val="15"/>
                <w:color w:val="auto"/>
              </w:rPr>
              <w:t>DESCRIPTION</w:t>
            </w:r>
          </w:p>
        </w:tc>
      </w:tr>
      <w:tr>
        <w:trPr>
          <w:trHeight w:val="177"/>
        </w:trPr>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260" w:type="dxa"/>
            <w:vAlign w:val="bottom"/>
          </w:tcPr>
          <w:p>
            <w:pPr>
              <w:ind w:left="2540"/>
              <w:spacing w:after="0"/>
              <w:rPr>
                <w:sz w:val="20"/>
                <w:szCs w:val="20"/>
                <w:color w:val="auto"/>
              </w:rPr>
            </w:pPr>
            <w:r>
              <w:rPr>
                <w:rFonts w:ascii="Courier New" w:cs="Courier New" w:eastAsia="Courier New" w:hAnsi="Courier New"/>
                <w:sz w:val="15"/>
                <w:szCs w:val="15"/>
                <w:color w:val="auto"/>
              </w:rPr>
              <w:t>-----------</w:t>
            </w:r>
          </w:p>
        </w:tc>
      </w:tr>
      <w:tr>
        <w:trPr>
          <w:trHeight w:val="355"/>
        </w:trPr>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4.1</w:t>
            </w: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Memorandum and Articles of Association of Amdocs Limited (incorporated by</w:t>
            </w:r>
          </w:p>
        </w:tc>
      </w:tr>
      <w:tr>
        <w:trPr>
          <w:trHeight w:val="177"/>
        </w:trPr>
        <w:tc>
          <w:tcPr>
            <w:tcW w:w="1060" w:type="dxa"/>
            <w:vAlign w:val="bottom"/>
          </w:tcPr>
          <w:p>
            <w:pPr>
              <w:spacing w:after="0"/>
              <w:rPr>
                <w:sz w:val="15"/>
                <w:szCs w:val="15"/>
                <w:color w:val="auto"/>
              </w:rPr>
            </w:pP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reference to Exhibits 3.1 and 3.2 to Amdocs' Registration Statement on Form F-1</w:t>
            </w:r>
          </w:p>
        </w:tc>
      </w:tr>
      <w:tr>
        <w:trPr>
          <w:trHeight w:val="177"/>
        </w:trPr>
        <w:tc>
          <w:tcPr>
            <w:tcW w:w="1060" w:type="dxa"/>
            <w:vAlign w:val="bottom"/>
          </w:tcPr>
          <w:p>
            <w:pPr>
              <w:spacing w:after="0"/>
              <w:rPr>
                <w:sz w:val="15"/>
                <w:szCs w:val="15"/>
                <w:color w:val="auto"/>
              </w:rPr>
            </w:pP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355"/>
        </w:trPr>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4.2</w:t>
            </w: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Specimen Certificate for the ordinary shares of Amdocs Limited (incorporated by</w:t>
            </w:r>
          </w:p>
        </w:tc>
      </w:tr>
      <w:tr>
        <w:trPr>
          <w:trHeight w:val="177"/>
        </w:trPr>
        <w:tc>
          <w:tcPr>
            <w:tcW w:w="1060" w:type="dxa"/>
            <w:vAlign w:val="bottom"/>
          </w:tcPr>
          <w:p>
            <w:pPr>
              <w:spacing w:after="0"/>
              <w:rPr>
                <w:sz w:val="15"/>
                <w:szCs w:val="15"/>
                <w:color w:val="auto"/>
              </w:rPr>
            </w:pP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reference to Exhibit 4.1 to Amdocs' Registration Statement on Form F-1 dated June 19,</w:t>
            </w:r>
          </w:p>
        </w:tc>
      </w:tr>
      <w:tr>
        <w:trPr>
          <w:trHeight w:val="177"/>
        </w:trPr>
        <w:tc>
          <w:tcPr>
            <w:tcW w:w="1060" w:type="dxa"/>
            <w:vAlign w:val="bottom"/>
          </w:tcPr>
          <w:p>
            <w:pPr>
              <w:spacing w:after="0"/>
              <w:rPr>
                <w:sz w:val="15"/>
                <w:szCs w:val="15"/>
                <w:color w:val="auto"/>
              </w:rPr>
            </w:pP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1998; Registration No. 333-8826).</w:t>
            </w:r>
          </w:p>
        </w:tc>
      </w:tr>
      <w:tr>
        <w:trPr>
          <w:trHeight w:val="355"/>
        </w:trPr>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5.1*</w:t>
            </w: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Opinion of Carey Olsen.</w:t>
            </w:r>
          </w:p>
        </w:tc>
      </w:tr>
      <w:tr>
        <w:trPr>
          <w:trHeight w:val="355"/>
        </w:trPr>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23.1</w:t>
            </w: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355"/>
        </w:trPr>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23.2</w:t>
            </w: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355"/>
        </w:trPr>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23.3*</w:t>
            </w: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Consent of Carey Olsen (included in Exhibit 5.1).</w:t>
            </w:r>
          </w:p>
        </w:tc>
      </w:tr>
      <w:tr>
        <w:trPr>
          <w:trHeight w:val="355"/>
        </w:trPr>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24.1*</w:t>
            </w:r>
          </w:p>
        </w:tc>
        <w:tc>
          <w:tcPr>
            <w:tcW w:w="8260" w:type="dxa"/>
            <w:vAlign w:val="bottom"/>
          </w:tcPr>
          <w:p>
            <w:pPr>
              <w:ind w:left="420"/>
              <w:spacing w:after="0"/>
              <w:rPr>
                <w:sz w:val="20"/>
                <w:szCs w:val="20"/>
                <w:color w:val="auto"/>
              </w:rPr>
            </w:pPr>
            <w:r>
              <w:rPr>
                <w:rFonts w:ascii="Courier New" w:cs="Courier New" w:eastAsia="Courier New" w:hAnsi="Courier New"/>
                <w:sz w:val="15"/>
                <w:szCs w:val="15"/>
                <w:color w:val="auto"/>
              </w:rPr>
              <w:t>Power of Attorney (see page II-4 of this Registration Statement).</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285" w:hanging="285"/>
        <w:spacing w:after="0"/>
        <w:tabs>
          <w:tab w:leader="none" w:pos="28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18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5"/>
          </w:cols>
          <w:pgMar w:left="235" w:top="650"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ITEM 10. UNDERTAKINGS.</w:t>
      </w:r>
    </w:p>
    <w:p>
      <w:pPr>
        <w:spacing w:after="0" w:line="185" w:lineRule="exact"/>
        <w:rPr>
          <w:sz w:val="20"/>
          <w:szCs w:val="20"/>
          <w:color w:val="auto"/>
        </w:rPr>
      </w:pPr>
    </w:p>
    <w:p>
      <w:pPr>
        <w:ind w:right="3759" w:firstLine="554"/>
        <w:spacing w:after="0" w:line="253" w:lineRule="auto"/>
        <w:rPr>
          <w:sz w:val="20"/>
          <w:szCs w:val="20"/>
          <w:color w:val="auto"/>
        </w:rPr>
      </w:pPr>
      <w:r>
        <w:rPr>
          <w:rFonts w:ascii="Courier New" w:cs="Courier New" w:eastAsia="Courier New" w:hAnsi="Courier New"/>
          <w:sz w:val="15"/>
          <w:szCs w:val="15"/>
          <w:color w:val="auto"/>
        </w:rPr>
        <w:t>Item 512(a) of Regulation S-K. The undersigned Registrant hereby undertakes:</w:t>
      </w:r>
    </w:p>
    <w:p>
      <w:pPr>
        <w:spacing w:after="0" w:line="174" w:lineRule="exact"/>
        <w:rPr>
          <w:sz w:val="20"/>
          <w:szCs w:val="20"/>
          <w:color w:val="auto"/>
        </w:rPr>
      </w:pPr>
    </w:p>
    <w:p>
      <w:pPr>
        <w:ind w:left="1100" w:right="2939" w:hanging="552"/>
        <w:spacing w:after="0" w:line="253" w:lineRule="auto"/>
        <w:tabs>
          <w:tab w:leader="none" w:pos="11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4" w:lineRule="exact"/>
        <w:rPr>
          <w:rFonts w:ascii="Courier New" w:cs="Courier New" w:eastAsia="Courier New" w:hAnsi="Courier New"/>
          <w:sz w:val="15"/>
          <w:szCs w:val="15"/>
          <w:color w:val="auto"/>
        </w:rPr>
      </w:pPr>
    </w:p>
    <w:p>
      <w:pPr>
        <w:ind w:left="1280" w:right="2939" w:firstLine="375"/>
        <w:spacing w:after="0" w:line="253" w:lineRule="auto"/>
        <w:tabs>
          <w:tab w:leader="none" w:pos="2203"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 as amended (the "Securities Act");</w:t>
      </w:r>
    </w:p>
    <w:p>
      <w:pPr>
        <w:spacing w:after="0" w:line="174" w:lineRule="exact"/>
        <w:rPr>
          <w:rFonts w:ascii="Courier New" w:cs="Courier New" w:eastAsia="Courier New" w:hAnsi="Courier New"/>
          <w:sz w:val="15"/>
          <w:szCs w:val="15"/>
          <w:color w:val="auto"/>
        </w:rPr>
      </w:pPr>
    </w:p>
    <w:p>
      <w:pPr>
        <w:ind w:left="1280" w:right="2839" w:firstLine="375"/>
        <w:spacing w:after="0" w:line="250" w:lineRule="auto"/>
        <w:tabs>
          <w:tab w:leader="none" w:pos="2203"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4" w:lineRule="exact"/>
        <w:rPr>
          <w:rFonts w:ascii="Courier New" w:cs="Courier New" w:eastAsia="Courier New" w:hAnsi="Courier New"/>
          <w:sz w:val="15"/>
          <w:szCs w:val="15"/>
          <w:color w:val="auto"/>
        </w:rPr>
      </w:pPr>
    </w:p>
    <w:p>
      <w:pPr>
        <w:ind w:left="1280" w:right="2839" w:firstLine="375"/>
        <w:spacing w:after="0" w:line="251" w:lineRule="auto"/>
        <w:tabs>
          <w:tab w:leader="none" w:pos="2203"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this Registration Statement or any material change to such information in this Registration Statement;</w:t>
      </w:r>
    </w:p>
    <w:p>
      <w:pPr>
        <w:spacing w:after="0" w:line="176" w:lineRule="exact"/>
        <w:rPr>
          <w:sz w:val="20"/>
          <w:szCs w:val="20"/>
          <w:color w:val="auto"/>
        </w:rPr>
      </w:pPr>
    </w:p>
    <w:p>
      <w:pPr>
        <w:jc w:val="both"/>
        <w:ind w:right="3299"/>
        <w:spacing w:after="0" w:line="251" w:lineRule="auto"/>
        <w:rPr>
          <w:sz w:val="20"/>
          <w:szCs w:val="20"/>
          <w:color w:val="auto"/>
        </w:rPr>
      </w:pPr>
      <w:r>
        <w:rPr>
          <w:rFonts w:ascii="Courier New" w:cs="Courier New" w:eastAsia="Courier New" w:hAnsi="Courier New"/>
          <w:sz w:val="15"/>
          <w:szCs w:val="15"/>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Section 15(d) of the Securities Exchange Act of 1934, as amended (the "Exchange Act"), that are incorporated by reference in this Registration Statement.</w:t>
      </w:r>
    </w:p>
    <w:p>
      <w:pPr>
        <w:spacing w:after="0" w:line="176" w:lineRule="exact"/>
        <w:rPr>
          <w:sz w:val="20"/>
          <w:szCs w:val="20"/>
          <w:color w:val="auto"/>
        </w:rPr>
      </w:pPr>
    </w:p>
    <w:p>
      <w:pPr>
        <w:ind w:left="1100" w:right="2939" w:hanging="552"/>
        <w:spacing w:after="0" w:line="251" w:lineRule="auto"/>
        <w:tabs>
          <w:tab w:leader="none" w:pos="11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bona fide offering thereof.</w:t>
      </w:r>
    </w:p>
    <w:p>
      <w:pPr>
        <w:spacing w:after="0" w:line="176" w:lineRule="exact"/>
        <w:rPr>
          <w:rFonts w:ascii="Courier New" w:cs="Courier New" w:eastAsia="Courier New" w:hAnsi="Courier New"/>
          <w:sz w:val="15"/>
          <w:szCs w:val="15"/>
          <w:color w:val="auto"/>
        </w:rPr>
      </w:pPr>
    </w:p>
    <w:p>
      <w:pPr>
        <w:ind w:left="1100" w:right="3019" w:hanging="552"/>
        <w:spacing w:after="0" w:line="252" w:lineRule="auto"/>
        <w:tabs>
          <w:tab w:leader="none" w:pos="11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Item 512(b) of Regulation S-K.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7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Item 512(h) of Regulation S-K. 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650" w:right="1440" w:bottom="1440" w:gutter="0" w:footer="0" w:header="0"/>
        </w:sectPr>
      </w:pPr>
    </w:p>
    <w:bookmarkStart w:id="47" w:name="page48"/>
    <w:bookmarkEnd w:id="47"/>
    <w:p>
      <w:pPr>
        <w:ind w:right="2839"/>
        <w:spacing w:after="0" w:line="250" w:lineRule="auto"/>
        <w:rPr>
          <w:sz w:val="20"/>
          <w:szCs w:val="20"/>
          <w:color w:val="auto"/>
        </w:rPr>
      </w:pPr>
      <w:r>
        <w:rPr>
          <w:rFonts w:ascii="Courier New" w:cs="Courier New" w:eastAsia="Courier New" w:hAnsi="Courier New"/>
          <w:sz w:val="15"/>
          <w:szCs w:val="15"/>
          <w:color w:val="auto"/>
        </w:rPr>
        <w:t>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650" w:right="1440" w:bottom="1440" w:gutter="0" w:footer="0" w:header="0"/>
        </w:sectPr>
      </w:pPr>
    </w:p>
    <w:bookmarkStart w:id="48" w:name="page49"/>
    <w:bookmarkEnd w:id="48"/>
    <w:p>
      <w:pPr>
        <w:jc w:val="center"/>
        <w:ind w:right="2839"/>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certifies that it has reasonable grounds to believe that it meets all of the requirements for filing on Form F-3 and has duly caused this Amendment No. 1 to Registration Statement to be signed on its behalf by the undersigned, thereunto duly authorized, in the city of New York, State of New York, on this 10th day of June, 2004.</w:t>
      </w:r>
    </w:p>
    <w:p>
      <w:pPr>
        <w:spacing w:after="0" w:line="17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85" w:lineRule="exact"/>
        <w:rPr>
          <w:sz w:val="20"/>
          <w:szCs w:val="20"/>
          <w:color w:val="auto"/>
        </w:rPr>
      </w:pPr>
    </w:p>
    <w:p>
      <w:pPr>
        <w:ind w:left="2940"/>
        <w:spacing w:after="0"/>
        <w:tabs>
          <w:tab w:leader="none" w:pos="3380" w:val="left"/>
        </w:tabs>
        <w:rPr>
          <w:sz w:val="20"/>
          <w:szCs w:val="20"/>
          <w:color w:val="auto"/>
        </w:rPr>
      </w:pPr>
      <w:r>
        <w:rPr>
          <w:rFonts w:ascii="Courier New" w:cs="Courier New" w:eastAsia="Courier New" w:hAnsi="Courier New"/>
          <w:sz w:val="15"/>
          <w:szCs w:val="15"/>
          <w:color w:val="auto"/>
        </w:rPr>
        <w:t>By:</w:t>
        <w:tab/>
        <w:t>/s/ Bruce K. Anderson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Bruce K. Anderson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President and Chairman of the Board</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POWER OF ATTORNEY</w:t>
      </w:r>
    </w:p>
    <w:p>
      <w:pPr>
        <w:spacing w:after="0" w:line="185" w:lineRule="exact"/>
        <w:rPr>
          <w:sz w:val="20"/>
          <w:szCs w:val="20"/>
          <w:color w:val="auto"/>
        </w:rPr>
      </w:pPr>
    </w:p>
    <w:p>
      <w:pPr>
        <w:ind w:right="3119" w:firstLine="554"/>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Amendment No. 1 to Registration Statement has been signed below by the following persons in the capacities and on the dates indicated.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820"/>
              <w:spacing w:after="0"/>
              <w:rPr>
                <w:sz w:val="20"/>
                <w:szCs w:val="20"/>
                <w:color w:val="auto"/>
              </w:rPr>
            </w:pPr>
            <w:r>
              <w:rPr>
                <w:rFonts w:ascii="Courier New" w:cs="Courier New" w:eastAsia="Courier New" w:hAnsi="Courier New"/>
                <w:sz w:val="15"/>
                <w:szCs w:val="15"/>
                <w:color w:val="auto"/>
              </w:rPr>
              <w:t>Signature</w:t>
            </w:r>
          </w:p>
        </w:tc>
        <w:tc>
          <w:tcPr>
            <w:tcW w:w="4840" w:type="dxa"/>
            <w:vAlign w:val="bottom"/>
          </w:tcPr>
          <w:p>
            <w:pPr>
              <w:ind w:left="2200"/>
              <w:spacing w:after="0"/>
              <w:rPr>
                <w:sz w:val="20"/>
                <w:szCs w:val="20"/>
                <w:color w:val="auto"/>
              </w:rPr>
            </w:pPr>
            <w:r>
              <w:rPr>
                <w:rFonts w:ascii="Courier New" w:cs="Courier New" w:eastAsia="Courier New" w:hAnsi="Courier New"/>
                <w:sz w:val="15"/>
                <w:szCs w:val="15"/>
                <w:color w:val="auto"/>
              </w:rPr>
              <w:t>Title</w:t>
            </w:r>
          </w:p>
        </w:tc>
        <w:tc>
          <w:tcPr>
            <w:tcW w:w="1980" w:type="dxa"/>
            <w:vAlign w:val="bottom"/>
          </w:tcPr>
          <w:p>
            <w:pPr>
              <w:ind w:left="1140"/>
              <w:spacing w:after="0"/>
              <w:rPr>
                <w:sz w:val="20"/>
                <w:szCs w:val="20"/>
                <w:color w:val="auto"/>
              </w:rPr>
            </w:pPr>
            <w:r>
              <w:rPr>
                <w:rFonts w:ascii="Courier New" w:cs="Courier New" w:eastAsia="Courier New" w:hAnsi="Courier New"/>
                <w:sz w:val="15"/>
                <w:szCs w:val="15"/>
                <w:color w:val="auto"/>
              </w:rPr>
              <w:t>Date</w:t>
            </w:r>
          </w:p>
        </w:tc>
      </w:tr>
      <w:tr>
        <w:trPr>
          <w:trHeight w:val="177"/>
        </w:trPr>
        <w:tc>
          <w:tcPr>
            <w:tcW w:w="3140" w:type="dxa"/>
            <w:vAlign w:val="bottom"/>
          </w:tcPr>
          <w:p>
            <w:pPr>
              <w:jc w:val="center"/>
              <w:ind w:right="583"/>
              <w:spacing w:after="0"/>
              <w:rPr>
                <w:sz w:val="20"/>
                <w:szCs w:val="20"/>
                <w:color w:val="auto"/>
              </w:rPr>
            </w:pPr>
            <w:r>
              <w:rPr>
                <w:rFonts w:ascii="Courier New" w:cs="Courier New" w:eastAsia="Courier New" w:hAnsi="Courier New"/>
                <w:sz w:val="15"/>
                <w:szCs w:val="15"/>
                <w:color w:val="auto"/>
              </w:rPr>
              <w:t>---------</w:t>
            </w:r>
          </w:p>
        </w:tc>
        <w:tc>
          <w:tcPr>
            <w:tcW w:w="4840" w:type="dxa"/>
            <w:vAlign w:val="bottom"/>
          </w:tcPr>
          <w:p>
            <w:pPr>
              <w:ind w:left="2200"/>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/s/ Bruce K. Anderson</w:t>
            </w:r>
          </w:p>
        </w:tc>
        <w:tc>
          <w:tcPr>
            <w:tcW w:w="4840" w:type="dxa"/>
            <w:vAlign w:val="bottom"/>
          </w:tcPr>
          <w:p>
            <w:pPr>
              <w:ind w:left="820"/>
              <w:spacing w:after="0"/>
              <w:rPr>
                <w:sz w:val="20"/>
                <w:szCs w:val="20"/>
                <w:color w:val="auto"/>
              </w:rPr>
            </w:pPr>
            <w:r>
              <w:rPr>
                <w:rFonts w:ascii="Courier New" w:cs="Courier New" w:eastAsia="Courier New" w:hAnsi="Courier New"/>
                <w:sz w:val="15"/>
                <w:szCs w:val="15"/>
                <w:color w:val="auto"/>
              </w:rPr>
              <w:t>President and Chairman of the Board</w:t>
            </w:r>
          </w:p>
        </w:tc>
        <w:tc>
          <w:tcPr>
            <w:tcW w:w="1980" w:type="dxa"/>
            <w:vAlign w:val="bottom"/>
          </w:tcPr>
          <w:p>
            <w:pPr>
              <w:ind w:left="780"/>
              <w:spacing w:after="0"/>
              <w:rPr>
                <w:sz w:val="20"/>
                <w:szCs w:val="20"/>
                <w:color w:val="auto"/>
              </w:rPr>
            </w:pPr>
            <w:r>
              <w:rPr>
                <w:rFonts w:ascii="Courier New" w:cs="Courier New" w:eastAsia="Courier New" w:hAnsi="Courier New"/>
                <w:sz w:val="15"/>
                <w:szCs w:val="15"/>
                <w:color w:val="auto"/>
              </w:rPr>
              <w:t>June 10, 2004</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40" w:type="dxa"/>
            <w:vAlign w:val="bottom"/>
          </w:tcPr>
          <w:p>
            <w:pPr>
              <w:ind w:left="1000"/>
              <w:spacing w:after="0"/>
              <w:rPr>
                <w:sz w:val="20"/>
                <w:szCs w:val="20"/>
                <w:color w:val="auto"/>
              </w:rPr>
            </w:pPr>
            <w:r>
              <w:rPr>
                <w:rFonts w:ascii="Courier New" w:cs="Courier New" w:eastAsia="Courier New" w:hAnsi="Courier New"/>
                <w:sz w:val="15"/>
                <w:szCs w:val="15"/>
                <w:color w:val="auto"/>
              </w:rPr>
              <w:t>(Principal Executive Officer)</w:t>
            </w:r>
          </w:p>
        </w:tc>
        <w:tc>
          <w:tcPr>
            <w:tcW w:w="1980" w:type="dxa"/>
            <w:vAlign w:val="bottom"/>
          </w:tcPr>
          <w:p>
            <w:pPr>
              <w:spacing w:after="0"/>
              <w:rPr>
                <w:sz w:val="15"/>
                <w:szCs w:val="15"/>
                <w:color w:val="auto"/>
              </w:rPr>
            </w:pP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Bruce K. Anderson</w:t>
            </w:r>
          </w:p>
        </w:tc>
        <w:tc>
          <w:tcPr>
            <w:tcW w:w="484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/s/ Ron Moskovitz</w:t>
            </w:r>
          </w:p>
        </w:tc>
        <w:tc>
          <w:tcPr>
            <w:tcW w:w="4840" w:type="dxa"/>
            <w:vAlign w:val="bottom"/>
          </w:tcPr>
          <w:p>
            <w:pPr>
              <w:ind w:left="820"/>
              <w:spacing w:after="0"/>
              <w:rPr>
                <w:sz w:val="20"/>
                <w:szCs w:val="20"/>
                <w:color w:val="auto"/>
              </w:rPr>
            </w:pPr>
            <w:r>
              <w:rPr>
                <w:rFonts w:ascii="Courier New" w:cs="Courier New" w:eastAsia="Courier New" w:hAnsi="Courier New"/>
                <w:sz w:val="15"/>
                <w:szCs w:val="15"/>
                <w:color w:val="auto"/>
              </w:rPr>
              <w:t>Principal Accounting Officer</w:t>
            </w:r>
          </w:p>
        </w:tc>
        <w:tc>
          <w:tcPr>
            <w:tcW w:w="1980" w:type="dxa"/>
            <w:vAlign w:val="bottom"/>
          </w:tcPr>
          <w:p>
            <w:pPr>
              <w:ind w:left="780"/>
              <w:spacing w:after="0"/>
              <w:rPr>
                <w:sz w:val="20"/>
                <w:szCs w:val="20"/>
                <w:color w:val="auto"/>
              </w:rPr>
            </w:pPr>
            <w:r>
              <w:rPr>
                <w:rFonts w:ascii="Courier New" w:cs="Courier New" w:eastAsia="Courier New" w:hAnsi="Courier New"/>
                <w:sz w:val="15"/>
                <w:szCs w:val="15"/>
                <w:color w:val="auto"/>
              </w:rPr>
              <w:t>June 10, 2004</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4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Ron Moskovitz</w:t>
            </w:r>
          </w:p>
        </w:tc>
        <w:tc>
          <w:tcPr>
            <w:tcW w:w="484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355"/>
        </w:trPr>
        <w:tc>
          <w:tcPr>
            <w:tcW w:w="3140" w:type="dxa"/>
            <w:vAlign w:val="bottom"/>
          </w:tcPr>
          <w:p>
            <w:pPr>
              <w:jc w:val="center"/>
              <w:ind w:right="583"/>
              <w:spacing w:after="0"/>
              <w:rPr>
                <w:sz w:val="20"/>
                <w:szCs w:val="20"/>
                <w:color w:val="auto"/>
              </w:rPr>
            </w:pPr>
            <w:r>
              <w:rPr>
                <w:rFonts w:ascii="Courier New" w:cs="Courier New" w:eastAsia="Courier New" w:hAnsi="Courier New"/>
                <w:sz w:val="15"/>
                <w:szCs w:val="15"/>
                <w:color w:val="auto"/>
                <w:w w:val="88"/>
              </w:rPr>
              <w:t>*</w:t>
            </w:r>
          </w:p>
        </w:tc>
        <w:tc>
          <w:tcPr>
            <w:tcW w:w="4840" w:type="dxa"/>
            <w:vAlign w:val="bottom"/>
          </w:tcPr>
          <w:p>
            <w:pPr>
              <w:ind w:left="820"/>
              <w:spacing w:after="0"/>
              <w:rPr>
                <w:sz w:val="20"/>
                <w:szCs w:val="20"/>
                <w:color w:val="auto"/>
              </w:rPr>
            </w:pPr>
            <w:r>
              <w:rPr>
                <w:rFonts w:ascii="Courier New" w:cs="Courier New" w:eastAsia="Courier New" w:hAnsi="Courier New"/>
                <w:sz w:val="15"/>
                <w:szCs w:val="15"/>
                <w:color w:val="auto"/>
              </w:rPr>
              <w:t>Vice President and Director</w:t>
            </w:r>
          </w:p>
        </w:tc>
        <w:tc>
          <w:tcPr>
            <w:tcW w:w="1980" w:type="dxa"/>
            <w:vAlign w:val="bottom"/>
          </w:tcPr>
          <w:p>
            <w:pPr>
              <w:ind w:left="780"/>
              <w:spacing w:after="0"/>
              <w:rPr>
                <w:sz w:val="20"/>
                <w:szCs w:val="20"/>
                <w:color w:val="auto"/>
              </w:rPr>
            </w:pPr>
            <w:r>
              <w:rPr>
                <w:rFonts w:ascii="Courier New" w:cs="Courier New" w:eastAsia="Courier New" w:hAnsi="Courier New"/>
                <w:sz w:val="15"/>
                <w:szCs w:val="15"/>
                <w:color w:val="auto"/>
              </w:rPr>
              <w:t>June 10, 2004</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4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Robert A. Minicucci</w:t>
            </w:r>
          </w:p>
        </w:tc>
        <w:tc>
          <w:tcPr>
            <w:tcW w:w="484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355"/>
        </w:trPr>
        <w:tc>
          <w:tcPr>
            <w:tcW w:w="3140" w:type="dxa"/>
            <w:vAlign w:val="bottom"/>
          </w:tcPr>
          <w:p>
            <w:pPr>
              <w:jc w:val="center"/>
              <w:ind w:right="583"/>
              <w:spacing w:after="0"/>
              <w:rPr>
                <w:sz w:val="20"/>
                <w:szCs w:val="20"/>
                <w:color w:val="auto"/>
              </w:rPr>
            </w:pPr>
            <w:r>
              <w:rPr>
                <w:rFonts w:ascii="Courier New" w:cs="Courier New" w:eastAsia="Courier New" w:hAnsi="Courier New"/>
                <w:sz w:val="15"/>
                <w:szCs w:val="15"/>
                <w:color w:val="auto"/>
                <w:w w:val="88"/>
              </w:rPr>
              <w:t>*</w:t>
            </w:r>
          </w:p>
        </w:tc>
        <w:tc>
          <w:tcPr>
            <w:tcW w:w="484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980" w:type="dxa"/>
            <w:vAlign w:val="bottom"/>
          </w:tcPr>
          <w:p>
            <w:pPr>
              <w:ind w:left="780"/>
              <w:spacing w:after="0"/>
              <w:rPr>
                <w:sz w:val="20"/>
                <w:szCs w:val="20"/>
                <w:color w:val="auto"/>
              </w:rPr>
            </w:pPr>
            <w:r>
              <w:rPr>
                <w:rFonts w:ascii="Courier New" w:cs="Courier New" w:eastAsia="Courier New" w:hAnsi="Courier New"/>
                <w:sz w:val="15"/>
                <w:szCs w:val="15"/>
                <w:color w:val="auto"/>
              </w:rPr>
              <w:t>June 10, 2004</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4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Avinoam Naor</w:t>
            </w:r>
          </w:p>
        </w:tc>
        <w:tc>
          <w:tcPr>
            <w:tcW w:w="484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355"/>
        </w:trPr>
        <w:tc>
          <w:tcPr>
            <w:tcW w:w="3140" w:type="dxa"/>
            <w:vAlign w:val="bottom"/>
          </w:tcPr>
          <w:p>
            <w:pPr>
              <w:jc w:val="center"/>
              <w:ind w:right="583"/>
              <w:spacing w:after="0"/>
              <w:rPr>
                <w:sz w:val="20"/>
                <w:szCs w:val="20"/>
                <w:color w:val="auto"/>
              </w:rPr>
            </w:pPr>
            <w:r>
              <w:rPr>
                <w:rFonts w:ascii="Courier New" w:cs="Courier New" w:eastAsia="Courier New" w:hAnsi="Courier New"/>
                <w:sz w:val="15"/>
                <w:szCs w:val="15"/>
                <w:color w:val="auto"/>
                <w:w w:val="88"/>
              </w:rPr>
              <w:t>*</w:t>
            </w:r>
          </w:p>
        </w:tc>
        <w:tc>
          <w:tcPr>
            <w:tcW w:w="484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980" w:type="dxa"/>
            <w:vAlign w:val="bottom"/>
          </w:tcPr>
          <w:p>
            <w:pPr>
              <w:ind w:left="780"/>
              <w:spacing w:after="0"/>
              <w:rPr>
                <w:sz w:val="20"/>
                <w:szCs w:val="20"/>
                <w:color w:val="auto"/>
              </w:rPr>
            </w:pPr>
            <w:r>
              <w:rPr>
                <w:rFonts w:ascii="Courier New" w:cs="Courier New" w:eastAsia="Courier New" w:hAnsi="Courier New"/>
                <w:sz w:val="15"/>
                <w:szCs w:val="15"/>
                <w:color w:val="auto"/>
              </w:rPr>
              <w:t>June 10, 2004</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4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Adrian Gardner</w:t>
            </w:r>
          </w:p>
        </w:tc>
        <w:tc>
          <w:tcPr>
            <w:tcW w:w="484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355"/>
        </w:trPr>
        <w:tc>
          <w:tcPr>
            <w:tcW w:w="3140" w:type="dxa"/>
            <w:vAlign w:val="bottom"/>
          </w:tcPr>
          <w:p>
            <w:pPr>
              <w:jc w:val="center"/>
              <w:ind w:right="583"/>
              <w:spacing w:after="0"/>
              <w:rPr>
                <w:sz w:val="20"/>
                <w:szCs w:val="20"/>
                <w:color w:val="auto"/>
              </w:rPr>
            </w:pPr>
            <w:r>
              <w:rPr>
                <w:rFonts w:ascii="Courier New" w:cs="Courier New" w:eastAsia="Courier New" w:hAnsi="Courier New"/>
                <w:sz w:val="15"/>
                <w:szCs w:val="15"/>
                <w:color w:val="auto"/>
                <w:w w:val="88"/>
              </w:rPr>
              <w:t>*</w:t>
            </w:r>
          </w:p>
        </w:tc>
        <w:tc>
          <w:tcPr>
            <w:tcW w:w="484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980" w:type="dxa"/>
            <w:vAlign w:val="bottom"/>
          </w:tcPr>
          <w:p>
            <w:pPr>
              <w:ind w:left="780"/>
              <w:spacing w:after="0"/>
              <w:rPr>
                <w:sz w:val="20"/>
                <w:szCs w:val="20"/>
                <w:color w:val="auto"/>
              </w:rPr>
            </w:pPr>
            <w:r>
              <w:rPr>
                <w:rFonts w:ascii="Courier New" w:cs="Courier New" w:eastAsia="Courier New" w:hAnsi="Courier New"/>
                <w:sz w:val="15"/>
                <w:szCs w:val="15"/>
                <w:color w:val="auto"/>
              </w:rPr>
              <w:t>June 10, 2004</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4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Dov Baharav</w:t>
            </w:r>
          </w:p>
        </w:tc>
        <w:tc>
          <w:tcPr>
            <w:tcW w:w="484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532"/>
        </w:trPr>
        <w:tc>
          <w:tcPr>
            <w:tcW w:w="3140" w:type="dxa"/>
            <w:vAlign w:val="bottom"/>
          </w:tcPr>
          <w:p>
            <w:pPr>
              <w:spacing w:after="0"/>
              <w:rPr>
                <w:sz w:val="24"/>
                <w:szCs w:val="24"/>
                <w:color w:val="auto"/>
              </w:rPr>
            </w:pPr>
          </w:p>
        </w:tc>
        <w:tc>
          <w:tcPr>
            <w:tcW w:w="4840" w:type="dxa"/>
            <w:vAlign w:val="bottom"/>
          </w:tcPr>
          <w:p>
            <w:pPr>
              <w:ind w:left="360"/>
              <w:spacing w:after="0"/>
              <w:rPr>
                <w:sz w:val="20"/>
                <w:szCs w:val="20"/>
                <w:color w:val="auto"/>
              </w:rPr>
            </w:pPr>
            <w:r>
              <w:rPr>
                <w:rFonts w:ascii="Courier New" w:cs="Courier New" w:eastAsia="Courier New" w:hAnsi="Courier New"/>
                <w:sz w:val="15"/>
                <w:szCs w:val="15"/>
                <w:color w:val="auto"/>
              </w:rPr>
              <w:t>II-4</w:t>
            </w:r>
          </w:p>
        </w:tc>
        <w:tc>
          <w:tcPr>
            <w:tcW w:w="198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49" w:name="page50"/>
    <w:bookmarkEnd w:id="49"/>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Julian A. Brodsky</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E. Foster</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 Gelman</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S. Kahan</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Nehmeia Lemelbaum</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T. McLennan</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Mario Segal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Thomas G. O'Brien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Limited's Authorized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Representative in the United States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June 10, 2004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10, 2004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10, 2004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10, 2004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10, 2004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10, 2004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10, 2004</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10, 2004</w:t>
      </w:r>
    </w:p>
    <w:p>
      <w:pPr>
        <w:spacing w:after="0" w:line="185" w:lineRule="exact"/>
        <w:rPr>
          <w:sz w:val="20"/>
          <w:szCs w:val="20"/>
          <w:color w:val="auto"/>
        </w:rPr>
      </w:pPr>
    </w:p>
    <w:p>
      <w:pPr>
        <w:sectPr>
          <w:pgSz w:w="11900" w:h="16838" w:orient="portrait"/>
          <w:cols w:equalWidth="0" w:num="3">
            <w:col w:w="3240" w:space="720"/>
            <w:col w:w="4080" w:space="720"/>
            <w:col w:w="1459"/>
          </w:cols>
          <w:pgMar w:left="240" w:top="1005"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Thomas G. O'Brien</w:t>
      </w:r>
    </w:p>
    <w:p>
      <w:pPr>
        <w:sectPr>
          <w:pgSz w:w="11900" w:h="16838" w:orient="portrait"/>
          <w:cols w:equalWidth="0" w:num="1">
            <w:col w:w="10219"/>
          </w:cols>
          <w:pgMar w:left="240" w:top="1005" w:right="1440" w:bottom="1440" w:gutter="0" w:footer="0" w:header="0"/>
          <w:type w:val="continuous"/>
        </w:sect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Bruce K. Anderson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K. Anderson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Attorney-in-Fact</w:t>
      </w:r>
    </w:p>
    <w:p>
      <w:pPr>
        <w:spacing w:after="0" w:line="185" w:lineRule="exact"/>
        <w:rPr>
          <w:sz w:val="20"/>
          <w:szCs w:val="20"/>
          <w:color w:val="auto"/>
        </w:rPr>
      </w:pPr>
    </w:p>
    <w:p>
      <w:pPr>
        <w:sectPr>
          <w:pgSz w:w="11900" w:h="16838" w:orient="portrait"/>
          <w:cols w:equalWidth="0" w:num="2">
            <w:col w:w="360" w:space="100"/>
            <w:col w:w="9759"/>
          </w:cols>
          <w:pgMar w:left="240" w:top="1005"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219"/>
          </w:cols>
          <w:pgMar w:left="240" w:top="1005" w:right="1440"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172"/>
        </w:trPr>
        <w:tc>
          <w:tcPr>
            <w:tcW w:w="1100" w:type="dxa"/>
            <w:vAlign w:val="bottom"/>
          </w:tcPr>
          <w:p>
            <w:pPr>
              <w:spacing w:after="0"/>
              <w:rPr>
                <w:sz w:val="14"/>
                <w:szCs w:val="14"/>
                <w:color w:val="auto"/>
              </w:rPr>
            </w:pPr>
          </w:p>
        </w:tc>
        <w:tc>
          <w:tcPr>
            <w:tcW w:w="8220" w:type="dxa"/>
            <w:vAlign w:val="bottom"/>
          </w:tcPr>
          <w:p>
            <w:pPr>
              <w:ind w:left="2040"/>
              <w:spacing w:after="0"/>
              <w:rPr>
                <w:sz w:val="20"/>
                <w:szCs w:val="20"/>
                <w:color w:val="auto"/>
              </w:rPr>
            </w:pPr>
            <w:r>
              <w:rPr>
                <w:rFonts w:ascii="Courier New" w:cs="Courier New" w:eastAsia="Courier New" w:hAnsi="Courier New"/>
                <w:sz w:val="15"/>
                <w:szCs w:val="15"/>
                <w:color w:val="auto"/>
              </w:rPr>
              <w:t>Exhibit Index</w:t>
            </w:r>
          </w:p>
        </w:tc>
      </w:tr>
      <w:tr>
        <w:trPr>
          <w:trHeight w:val="710"/>
        </w:trPr>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EXHIBIT\</w:t>
            </w:r>
          </w:p>
        </w:tc>
        <w:tc>
          <w:tcPr>
            <w:tcW w:w="8220" w:type="dxa"/>
            <w:vAlign w:val="bottom"/>
          </w:tcPr>
          <w:p>
            <w:pPr>
              <w:spacing w:after="0"/>
              <w:rPr>
                <w:sz w:val="24"/>
                <w:szCs w:val="24"/>
                <w:color w:val="auto"/>
              </w:rPr>
            </w:pPr>
          </w:p>
        </w:tc>
      </w:tr>
      <w:tr>
        <w:trPr>
          <w:trHeight w:val="177"/>
        </w:trPr>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NUMBER</w:t>
            </w:r>
          </w:p>
        </w:tc>
        <w:tc>
          <w:tcPr>
            <w:tcW w:w="8220" w:type="dxa"/>
            <w:vAlign w:val="bottom"/>
          </w:tcPr>
          <w:p>
            <w:pPr>
              <w:ind w:left="2300"/>
              <w:spacing w:after="0"/>
              <w:rPr>
                <w:sz w:val="20"/>
                <w:szCs w:val="20"/>
                <w:color w:val="auto"/>
              </w:rPr>
            </w:pPr>
            <w:r>
              <w:rPr>
                <w:rFonts w:ascii="Courier New" w:cs="Courier New" w:eastAsia="Courier New" w:hAnsi="Courier New"/>
                <w:sz w:val="15"/>
                <w:szCs w:val="15"/>
                <w:color w:val="auto"/>
              </w:rPr>
              <w:t>DESCRIPTION</w:t>
            </w:r>
          </w:p>
        </w:tc>
      </w:tr>
      <w:tr>
        <w:trPr>
          <w:trHeight w:val="177"/>
        </w:trPr>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8220" w:type="dxa"/>
            <w:vAlign w:val="bottom"/>
          </w:tcPr>
          <w:p>
            <w:pPr>
              <w:ind w:left="2300"/>
              <w:spacing w:after="0"/>
              <w:rPr>
                <w:sz w:val="20"/>
                <w:szCs w:val="20"/>
                <w:color w:val="auto"/>
              </w:rPr>
            </w:pPr>
            <w:r>
              <w:rPr>
                <w:rFonts w:ascii="Courier New" w:cs="Courier New" w:eastAsia="Courier New" w:hAnsi="Courier New"/>
                <w:sz w:val="15"/>
                <w:szCs w:val="15"/>
                <w:color w:val="auto"/>
              </w:rPr>
              <w:t>-----------</w:t>
            </w:r>
          </w:p>
        </w:tc>
      </w:tr>
      <w:tr>
        <w:trPr>
          <w:trHeight w:val="355"/>
        </w:trPr>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4.1</w:t>
            </w: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Memorandum and Articles of Association of Amdocs Limited (incorporated by</w:t>
            </w:r>
          </w:p>
        </w:tc>
      </w:tr>
      <w:tr>
        <w:trPr>
          <w:trHeight w:val="177"/>
        </w:trPr>
        <w:tc>
          <w:tcPr>
            <w:tcW w:w="1100" w:type="dxa"/>
            <w:vAlign w:val="bottom"/>
          </w:tcPr>
          <w:p>
            <w:pPr>
              <w:spacing w:after="0"/>
              <w:rPr>
                <w:sz w:val="15"/>
                <w:szCs w:val="15"/>
                <w:color w:val="auto"/>
              </w:rPr>
            </w:pP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reference to Exhibits 3.1 and 3.2 to Amdocs' Registration Statement on Form F-1</w:t>
            </w:r>
          </w:p>
        </w:tc>
      </w:tr>
      <w:tr>
        <w:trPr>
          <w:trHeight w:val="177"/>
        </w:trPr>
        <w:tc>
          <w:tcPr>
            <w:tcW w:w="1100" w:type="dxa"/>
            <w:vAlign w:val="bottom"/>
          </w:tcPr>
          <w:p>
            <w:pPr>
              <w:spacing w:after="0"/>
              <w:rPr>
                <w:sz w:val="15"/>
                <w:szCs w:val="15"/>
                <w:color w:val="auto"/>
              </w:rPr>
            </w:pP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355"/>
        </w:trPr>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4.2</w:t>
            </w: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Specimen Certificate for the ordinary shares of Amdocs Limited (incorporated by</w:t>
            </w:r>
          </w:p>
        </w:tc>
      </w:tr>
      <w:tr>
        <w:trPr>
          <w:trHeight w:val="177"/>
        </w:trPr>
        <w:tc>
          <w:tcPr>
            <w:tcW w:w="1100" w:type="dxa"/>
            <w:vAlign w:val="bottom"/>
          </w:tcPr>
          <w:p>
            <w:pPr>
              <w:spacing w:after="0"/>
              <w:rPr>
                <w:sz w:val="15"/>
                <w:szCs w:val="15"/>
                <w:color w:val="auto"/>
              </w:rPr>
            </w:pP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reference to Exhibit 4.1 to Amdocs' Registration Statement on Form F-1 dated June 19,</w:t>
            </w:r>
          </w:p>
        </w:tc>
      </w:tr>
      <w:tr>
        <w:trPr>
          <w:trHeight w:val="177"/>
        </w:trPr>
        <w:tc>
          <w:tcPr>
            <w:tcW w:w="1100" w:type="dxa"/>
            <w:vAlign w:val="bottom"/>
          </w:tcPr>
          <w:p>
            <w:pPr>
              <w:spacing w:after="0"/>
              <w:rPr>
                <w:sz w:val="15"/>
                <w:szCs w:val="15"/>
                <w:color w:val="auto"/>
              </w:rPr>
            </w:pP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1998; Registration No. 333-8826).</w:t>
            </w:r>
          </w:p>
        </w:tc>
      </w:tr>
      <w:tr>
        <w:trPr>
          <w:trHeight w:val="355"/>
        </w:trPr>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5.1*</w:t>
            </w: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Opinion of Carey Olsen.</w:t>
            </w:r>
          </w:p>
        </w:tc>
      </w:tr>
      <w:tr>
        <w:trPr>
          <w:trHeight w:val="355"/>
        </w:trPr>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23.1</w:t>
            </w: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355"/>
        </w:trPr>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23.2</w:t>
            </w: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355"/>
        </w:trPr>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23.3*</w:t>
            </w: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Consent of Carey Olsen (included in Exhibit 5.1).</w:t>
            </w:r>
          </w:p>
        </w:tc>
      </w:tr>
      <w:tr>
        <w:trPr>
          <w:trHeight w:val="355"/>
        </w:trPr>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24.1*</w:t>
            </w:r>
          </w:p>
        </w:tc>
        <w:tc>
          <w:tcPr>
            <w:tcW w:w="8220" w:type="dxa"/>
            <w:vAlign w:val="bottom"/>
          </w:tcPr>
          <w:p>
            <w:pPr>
              <w:ind w:left="380"/>
              <w:spacing w:after="0"/>
              <w:rPr>
                <w:sz w:val="20"/>
                <w:szCs w:val="20"/>
                <w:color w:val="auto"/>
              </w:rPr>
            </w:pPr>
            <w:r>
              <w:rPr>
                <w:rFonts w:ascii="Courier New" w:cs="Courier New" w:eastAsia="Courier New" w:hAnsi="Courier New"/>
                <w:sz w:val="15"/>
                <w:szCs w:val="15"/>
                <w:color w:val="auto"/>
              </w:rPr>
              <w:t>Power of Attorney (see page II-4 of this Registration Statement).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280"/>
        <w:spacing w:after="0"/>
        <w:tabs>
          <w:tab w:leader="none" w:pos="520" w:val="left"/>
        </w:tabs>
        <w:rPr>
          <w:sz w:val="20"/>
          <w:szCs w:val="20"/>
          <w:color w:val="auto"/>
        </w:rPr>
      </w:pPr>
      <w:r>
        <w:rPr>
          <w:rFonts w:ascii="Courier New" w:cs="Courier New" w:eastAsia="Courier New" w:hAnsi="Courier New"/>
          <w:sz w:val="15"/>
          <w:szCs w:val="15"/>
          <w:color w:val="auto"/>
        </w:rPr>
        <w:t>*</w:t>
        <w:tab/>
        <w:t>Previously filed.</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650" w:right="1440" w:bottom="1440" w:gutter="0" w:footer="0" w:header="0"/>
        </w:sectPr>
      </w:pPr>
    </w:p>
    <w:bookmarkStart w:id="51" w:name="page52"/>
    <w:bookmarkEnd w:id="51"/>
    <w:p>
      <w:pPr>
        <w:jc w:val="right"/>
        <w:ind w:right="2839"/>
        <w:spacing w:after="0"/>
        <w:rPr>
          <w:sz w:val="20"/>
          <w:szCs w:val="20"/>
          <w:color w:val="auto"/>
        </w:rPr>
      </w:pPr>
      <w:r>
        <w:rPr>
          <w:rFonts w:ascii="Courier New" w:cs="Courier New" w:eastAsia="Courier New" w:hAnsi="Courier New"/>
          <w:sz w:val="15"/>
          <w:szCs w:val="15"/>
          <w:color w:val="auto"/>
        </w:rPr>
        <w:t>EXHIBIT 23.1</w:t>
      </w:r>
    </w:p>
    <w:p>
      <w:pPr>
        <w:spacing w:after="0" w:line="18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85" w:lineRule="exact"/>
        <w:rPr>
          <w:sz w:val="20"/>
          <w:szCs w:val="20"/>
          <w:color w:val="auto"/>
        </w:rPr>
      </w:pPr>
    </w:p>
    <w:p>
      <w:pPr>
        <w:ind w:right="2839" w:firstLine="554"/>
        <w:spacing w:after="0" w:line="251" w:lineRule="auto"/>
        <w:rPr>
          <w:sz w:val="20"/>
          <w:szCs w:val="20"/>
          <w:color w:val="auto"/>
        </w:rPr>
      </w:pPr>
      <w:r>
        <w:rPr>
          <w:rFonts w:ascii="Courier New" w:cs="Courier New" w:eastAsia="Courier New" w:hAnsi="Courier New"/>
          <w:sz w:val="15"/>
          <w:szCs w:val="15"/>
          <w:color w:val="auto"/>
        </w:rPr>
        <w:t>We consent to the reference to our firm under the caption "Experts" in this Registration Statement on Form F-3 of Amdocs Limited for the registration of 560,777 of its ordinary shares and to the incorporation by reference therein of our report dated October 30, 2003, with respect to the consolidated financial statements and schedule of Amdocs Limited, included in its Annual Report (Form 20-F) for the year ended September 30, 2003, filed with the Securities and Exchange Commission on December 24, 2003.</w:t>
      </w:r>
    </w:p>
    <w:p>
      <w:pPr>
        <w:spacing w:after="0" w:line="17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Ernst &amp; Young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10, 2004</w:t>
      </w:r>
    </w:p>
    <w:p>
      <w:pPr>
        <w:sectPr>
          <w:pgSz w:w="11900" w:h="16838" w:orient="portrait"/>
          <w:cols w:equalWidth="0" w:num="1">
            <w:col w:w="10219"/>
          </w:cols>
          <w:pgMar w:left="240" w:top="496" w:right="1440" w:bottom="1440" w:gutter="0" w:footer="0" w:header="0"/>
        </w:sectPr>
      </w:pPr>
    </w:p>
    <w:bookmarkStart w:id="52" w:name="page53"/>
    <w:bookmarkEnd w:id="52"/>
    <w:p>
      <w:pPr>
        <w:ind w:left="6260"/>
        <w:spacing w:after="0"/>
        <w:rPr>
          <w:sz w:val="20"/>
          <w:szCs w:val="20"/>
          <w:color w:val="auto"/>
        </w:rPr>
      </w:pPr>
      <w:r>
        <w:rPr>
          <w:rFonts w:ascii="Courier New" w:cs="Courier New" w:eastAsia="Courier New" w:hAnsi="Courier New"/>
          <w:sz w:val="15"/>
          <w:szCs w:val="15"/>
          <w:color w:val="auto"/>
        </w:rPr>
        <w:t>EXHIBIT 23.2</w:t>
      </w:r>
    </w:p>
    <w:p>
      <w:pPr>
        <w:spacing w:after="0" w:line="185"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Deloitte &amp; Touche LLP</w:t>
      </w:r>
    </w:p>
    <w:p>
      <w:pPr>
        <w:spacing w:after="0" w:line="8"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1 Place Ville Marie</w:t>
      </w:r>
    </w:p>
    <w:p>
      <w:pPr>
        <w:spacing w:after="0" w:line="8"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Suite 3000</w:t>
      </w:r>
    </w:p>
    <w:p>
      <w:pPr>
        <w:spacing w:after="0" w:line="8" w:lineRule="exact"/>
        <w:rPr>
          <w:sz w:val="20"/>
          <w:szCs w:val="20"/>
          <w:color w:val="auto"/>
        </w:rPr>
      </w:pPr>
    </w:p>
    <w:p>
      <w:pPr>
        <w:ind w:left="4800"/>
        <w:spacing w:after="0"/>
        <w:tabs>
          <w:tab w:leader="none" w:pos="5980" w:val="left"/>
        </w:tabs>
        <w:rPr>
          <w:sz w:val="20"/>
          <w:szCs w:val="20"/>
          <w:color w:val="auto"/>
        </w:rPr>
      </w:pPr>
      <w:r>
        <w:rPr>
          <w:rFonts w:ascii="Courier New" w:cs="Courier New" w:eastAsia="Courier New" w:hAnsi="Courier New"/>
          <w:sz w:val="15"/>
          <w:szCs w:val="15"/>
          <w:color w:val="auto"/>
        </w:rPr>
        <w:t>Montreal QC</w:t>
        <w:tab/>
        <w:t>H3B 4T9</w:t>
      </w:r>
    </w:p>
    <w:p>
      <w:pPr>
        <w:spacing w:after="0" w:line="8"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Canada</w:t>
      </w:r>
    </w:p>
    <w:p>
      <w:pPr>
        <w:spacing w:after="0" w:line="185"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Tel: (514) 393-7115</w:t>
      </w:r>
    </w:p>
    <w:p>
      <w:pPr>
        <w:spacing w:after="0" w:line="8"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Fax: (514) 390-4113</w:t>
      </w:r>
    </w:p>
    <w:p>
      <w:pPr>
        <w:spacing w:after="0" w:line="8"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www.deloitte.ca</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REGISTERED CHARTERED ACCOUNTANTS</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We consent to the incorporation by reference in this Amendment no. 1 to the Registration Statement on Form F-3 of Amdocs Limited (File no. 333-114079) of our report dated March 19, 2003 (except for Note 17, which is as of July 2, 2003), related to the consolidated financial statements of Certen Inc., as of and for the years ended December 31, 2001 and 2002, appearing in the Annual Report of Amdocs Limited on Form 20-F, for the year ended September 30, 2003, filed with the Securities and Exchange Commission on December 24, 2003. We also consent to the reference to us under the heading "Experts" in the prospectus, which is part of this Registration Statement.</w:t>
      </w:r>
    </w:p>
    <w:p>
      <w:pPr>
        <w:spacing w:after="0" w:line="175"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/s/</w:t>
        <w:tab/>
        <w:t>Deloitte &amp; Touche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Montreal, Quebec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10, 2004</w:t>
      </w:r>
    </w:p>
    <w:sectPr>
      <w:pgSz w:w="11900" w:h="16838" w:orient="portrait"/>
      <w:cols w:equalWidth="0" w:num="1">
        <w:col w:w="10219"/>
      </w:cols>
      <w:pgMar w:left="240" w:top="4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
      <w:numFmt w:val="bullet"/>
      <w:start w:val="1"/>
    </w:lvl>
    <w:lvl w:ilvl="1">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0"/>
    </w:lvl>
  </w:abstractNum>
  <w:abstractNum w:abstractNumId="14">
    <w:nsid w:val="75A2A8D4"/>
    <w:multiLevelType w:val="hybridMultilevel"/>
    <w:lvl w:ilvl="0">
      <w:lvlJc w:val="left"/>
      <w:lvlText w:val="(%1)"/>
      <w:numFmt w:val="decimal"/>
      <w:start w:val="20"/>
    </w:lvl>
  </w:abstractNum>
  <w:abstractNum w:abstractNumId="15">
    <w:nsid w:val="8EDBDAB"/>
    <w:multiLevelType w:val="hybridMultilevel"/>
    <w:lvl w:ilvl="0">
      <w:lvlJc w:val="left"/>
      <w:lvlText w:val="(%1)"/>
      <w:numFmt w:val="decimal"/>
      <w:start w:val="2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2"/>
    </w:lvl>
  </w:abstractNum>
  <w:abstractNum w:abstractNumId="21">
    <w:nsid w:val="71F32454"/>
    <w:multiLevelType w:val="hybridMultilevel"/>
    <w:lvl w:ilvl="0">
      <w:lvlJc w:val="left"/>
      <w:lvlText w:val="%1."/>
      <w:numFmt w:val="decimal"/>
      <w:start w:val="1"/>
    </w:lvl>
    <w:lvl w:ilvl="1">
      <w:lvlJc w:val="left"/>
      <w:lvlText w:val="-"/>
      <w:numFmt w:val="bullet"/>
      <w:start w:val="1"/>
    </w:lvl>
  </w:abstractNum>
  <w:abstractNum w:abstractNumId="22">
    <w:nsid w:val="2CA88611"/>
    <w:multiLevelType w:val="hybridMultilevel"/>
    <w:lvl w:ilvl="0">
      <w:lvlJc w:val="left"/>
      <w:lvlText w:val="%1."/>
      <w:numFmt w:val="decimal"/>
      <w:start w:val="1"/>
    </w:lvl>
    <w:lvl w:ilvl="1">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2"/>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2"/>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lvl w:ilvl="1">
      <w:lvlJc w:val="left"/>
      <w:lvlText w:val="(%2)"/>
      <w:numFmt w:val="lowerRoman"/>
      <w:start w:val="1"/>
    </w:lvl>
  </w:abstractNum>
  <w:abstractNum w:abstractNumId="32">
    <w:nsid w:val="4516DDE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2019-12-14T20:09:44Z</dcterms:created>
  <dcterms:modified xsi:type="dcterms:W3CDTF">2019-12-14T20:09:44Z</dcterms:modified>
</cp:coreProperties>
</file>