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month of November, 2014</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right="50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4, 2014, Amdocs Limited (“Amdocs”) issued a press release announcing financial results for the quarter and fiscal year ended September 30, 2014. A copy of the press release is furnished as Exhibit 99.1 to this Report of Foreign Private Issuer on Form 6-K.</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100"/>
          </w:cols>
          <w:pgMar w:left="240" w:top="274" w:right="5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2014</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0" w:type="dxa"/>
            <w:vAlign w:val="bottom"/>
          </w:tcPr>
          <w:p>
            <w:pPr>
              <w:ind w:left="2280"/>
              <w:spacing w:after="0"/>
              <w:rPr>
                <w:sz w:val="20"/>
                <w:szCs w:val="20"/>
                <w:color w:val="auto"/>
              </w:rPr>
            </w:pPr>
            <w:r>
              <w:rPr>
                <w:rFonts w:ascii="Arial" w:cs="Arial" w:eastAsia="Arial" w:hAnsi="Arial"/>
                <w:sz w:val="18"/>
                <w:szCs w:val="18"/>
                <w:color w:val="auto"/>
                <w:w w:val="99"/>
              </w:rPr>
              <w:t>EXHIBIT INDEX</w:t>
            </w:r>
          </w:p>
        </w:tc>
      </w:tr>
      <w:tr>
        <w:trPr>
          <w:trHeight w:val="392"/>
        </w:trPr>
        <w:tc>
          <w:tcPr>
            <w:tcW w:w="88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98"/>
              </w:rPr>
              <w:t>Amdocs Limited Press Release dated November 4, 2014.</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6114415"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$900M, Up 6.5% YoY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Expects Fiscal 2015 Revenue Growth of 2.5-5.5% YoY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Cash Dividend to be Raised From $0.155 to $0.17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Subject to Shareholder Approval at Annual Meeting, January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440" w:right="160" w:hanging="324"/>
        <w:spacing w:after="0" w:line="26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revenue of $900 million, within the $890-$920 million guidance range. Foreign currency movements negatively affected revenue by approximately $6 million relative to the third quarter of fiscal 2014. Excluding foreign currency headwinds, revenue performance was in line with the midpoint of our expectations</w:t>
      </w:r>
    </w:p>
    <w:p>
      <w:pPr>
        <w:spacing w:after="0" w:line="86"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Fourth fiscal quarter non-GAAP operating income of $152 million; non-GAAP operating margin of 16.8%; GAAP operating income of $126 million</w:t>
      </w:r>
    </w:p>
    <w:p>
      <w:pPr>
        <w:spacing w:after="0" w:line="142" w:lineRule="exact"/>
        <w:rPr>
          <w:rFonts w:ascii="Arial" w:cs="Arial" w:eastAsia="Arial" w:hAnsi="Arial"/>
          <w:sz w:val="17"/>
          <w:szCs w:val="17"/>
          <w:color w:val="auto"/>
        </w:rPr>
      </w:pPr>
    </w:p>
    <w:p>
      <w:pPr>
        <w:ind w:left="440" w:right="120" w:hanging="324"/>
        <w:spacing w:after="0" w:line="26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diluted non-GAAP EPS of $0.78, within the $0.75-$0.81 guidance range, excluding amortization of purchased intangible assets and other acquisition-related costs, changes in fair value of certain acquisition-related liabilities and equity-based compensation expense, net of related tax effects</w:t>
      </w:r>
    </w:p>
    <w:p>
      <w:pPr>
        <w:spacing w:after="0" w:line="86"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$0.63 for the fourth fiscal quarter, within the $0.61-$0.69 guidance range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$163 million for the fourth fiscal quarter</w:t>
      </w:r>
    </w:p>
    <w:p>
      <w:pPr>
        <w:spacing w:after="0" w:line="130" w:lineRule="exact"/>
        <w:rPr>
          <w:rFonts w:ascii="Arial" w:cs="Arial" w:eastAsia="Arial" w:hAnsi="Arial"/>
          <w:sz w:val="18"/>
          <w:szCs w:val="18"/>
          <w:color w:val="auto"/>
        </w:rPr>
      </w:pPr>
    </w:p>
    <w:p>
      <w:pPr>
        <w:ind w:left="440" w:right="20" w:hanging="324"/>
        <w:spacing w:after="0" w:line="27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Returned more than 80% of fourth quarter free cash flow generation to shareholders in the form of repurchases and dividends; repurchased $110 million of ordinary shares during the fourth fiscal quarter</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$3.00 billion at the end of the fourth fiscal quarter, up $30 million from the end of the third quarter of fiscal 2014</w:t>
      </w:r>
    </w:p>
    <w:p>
      <w:pPr>
        <w:spacing w:after="0" w:line="130" w:lineRule="exact"/>
        <w:rPr>
          <w:rFonts w:ascii="Arial" w:cs="Arial" w:eastAsia="Arial" w:hAnsi="Arial"/>
          <w:sz w:val="18"/>
          <w:szCs w:val="18"/>
          <w:color w:val="auto"/>
        </w:rPr>
      </w:pPr>
    </w:p>
    <w:p>
      <w:pPr>
        <w:jc w:val="both"/>
        <w:ind w:left="440" w:right="40" w:hanging="324"/>
        <w:spacing w:after="0" w:line="342"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board of directors approved a $0.155 per share quarterly cash dividend to be paid on January 16, 2015, and, subject to shareholders’ approval at the January 2015 annual general meeting of shareholders, an increase in the quarterly cash dividend to $0.17 per share, anticipated to be paid in April 2015</w:t>
      </w:r>
    </w:p>
    <w:p>
      <w:pPr>
        <w:sectPr>
          <w:pgSz w:w="11900" w:h="16838" w:orient="portrait"/>
          <w:cols w:equalWidth="0" w:num="1">
            <w:col w:w="11420"/>
          </w:cols>
          <w:pgMar w:left="240" w:top="121" w:right="239" w:bottom="1440" w:gutter="0" w:footer="0" w:header="0"/>
        </w:sectPr>
      </w:pPr>
    </w:p>
    <w:bookmarkStart w:id="5" w:name="page6"/>
    <w:bookmarkEnd w:id="5"/>
    <w:p>
      <w:pPr>
        <w:ind w:left="440" w:hanging="324"/>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fiscal 2015 guidance: Expected revenue of approximately $895-$925 million. Expected diluted non-GAAP EPS of approximately</w:t>
      </w:r>
    </w:p>
    <w:p>
      <w:pPr>
        <w:spacing w:after="0" w:line="34" w:lineRule="exact"/>
        <w:rPr>
          <w:rFonts w:ascii="Arial" w:cs="Arial" w:eastAsia="Arial" w:hAnsi="Arial"/>
          <w:sz w:val="17"/>
          <w:szCs w:val="17"/>
          <w:color w:val="auto"/>
        </w:rPr>
      </w:pPr>
    </w:p>
    <w:p>
      <w:pPr>
        <w:ind w:left="440" w:right="180"/>
        <w:spacing w:after="0" w:line="255" w:lineRule="auto"/>
        <w:rPr>
          <w:rFonts w:ascii="Arial" w:cs="Arial" w:eastAsia="Arial" w:hAnsi="Arial"/>
          <w:sz w:val="17"/>
          <w:szCs w:val="17"/>
          <w:color w:val="auto"/>
        </w:rPr>
      </w:pPr>
      <w:r>
        <w:rPr>
          <w:rFonts w:ascii="Arial" w:cs="Arial" w:eastAsia="Arial" w:hAnsi="Arial"/>
          <w:sz w:val="18"/>
          <w:szCs w:val="18"/>
          <w:color w:val="auto"/>
        </w:rPr>
        <w:t>$0.77-$0.83, excluding amortization of purchased intangible assets and other acquisition-related costs, changes in fair value of certain acquisition-related liabilities and approximately $0.08-$0.09 per share of equity-based compensation expense, net of related tax effects. Expected diluted GAAP EPS of approximately $0.60-$0.68</w:t>
      </w:r>
    </w:p>
    <w:p>
      <w:pPr>
        <w:spacing w:after="0" w:line="95" w:lineRule="exact"/>
        <w:rPr>
          <w:rFonts w:ascii="Arial" w:cs="Arial" w:eastAsia="Arial" w:hAnsi="Arial"/>
          <w:sz w:val="17"/>
          <w:szCs w:val="17"/>
          <w:color w:val="auto"/>
        </w:rPr>
      </w:pPr>
    </w:p>
    <w:p>
      <w:pPr>
        <w:ind w:left="440" w:right="36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Fiscal 2015 guidance: Expected revenue growth of 2.5-5.5% and non-GAAP diluted earnings per share growth of roughly 4.5-7.5%, including the impact of anticipated share repurchase activity over the course of the fiscal year</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ST. LOUIS – November 4, 2014 </w:t>
      </w:r>
      <w:r>
        <w:rPr>
          <w:rFonts w:ascii="Arial" w:cs="Arial" w:eastAsia="Arial" w:hAnsi="Arial"/>
          <w:sz w:val="16"/>
          <w:szCs w:val="16"/>
          <w:color w:val="auto"/>
        </w:rPr>
        <w:t>– Amdocs Limited (NASDAQ: DOX) today reported that for its fiscal quarter ended September 30, 2014, revenue was</w:t>
      </w:r>
      <w:r>
        <w:rPr>
          <w:rFonts w:ascii="Arial" w:cs="Arial" w:eastAsia="Arial" w:hAnsi="Arial"/>
          <w:sz w:val="16"/>
          <w:szCs w:val="16"/>
          <w:b w:val="1"/>
          <w:bCs w:val="1"/>
          <w:color w:val="auto"/>
        </w:rPr>
        <w:t xml:space="preserve"> </w:t>
      </w:r>
      <w:r>
        <w:rPr>
          <w:rFonts w:ascii="Arial" w:cs="Arial" w:eastAsia="Arial" w:hAnsi="Arial"/>
          <w:sz w:val="16"/>
          <w:szCs w:val="16"/>
          <w:color w:val="auto"/>
        </w:rPr>
        <w:t>$900.3 million, down 0.2% sequentially from the third fiscal quarter of 2014 and up 6.5% as compared to last year’s fourth fiscal quarter. Net income on a non-GAAP basis was $124.3 million, or $0.78 per diluted share, compared to non-GAAP net income of $103.4 million, or $0.63 per diluted share, in the fourth quarter of fiscal 2013. Non-GAAP net income excludes amortization of purchased intangible assets and other acquisition-related costs, changes in fair value of certain acquisition-related liabilities and equity-based compensation expenses of $23.8 million, net of related tax effects, in the fourth quarter of fiscal 2014 and excludes such amortization and other acquisition-related costs and equity-based compensation expenses of $14.4 million, net of related tax effects, in the fourth quarter of fiscal 2013. The Company’s GAAP net income for the fourth quarter of fiscal 2014 was $100.5 million, or $0.63 per diluted share, compared to GAAP net income of $89.0 million, or $0.54 per diluted share, in the prior fiscal year’s fourth quarter.</w:t>
      </w:r>
    </w:p>
    <w:p>
      <w:pPr>
        <w:spacing w:after="0" w:line="1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fourth quarter, we continued to expand our business across multiple geographies. Following previously announced wireline and wireless transformation awards with Telefónica Argentina, this strategic customer has further expanded our relationship with a new multi-year services agreement in which Amdocs will manage a range of its business support system applications. In Europe, Beeline, the Russia brand of OJSC VimpelCom, has selected an Amdocs Customer Management solution to improve the service provider’s call center agent efficiency and boost customer satisfaction and retention rates. Additionally, we successfully delivered complex transformation projects into production for some of the world’s most influential service providers. These include Vodafone Germany, where we completed the</w:t>
      </w:r>
    </w:p>
    <w:p>
      <w:pPr>
        <w:sectPr>
          <w:pgSz w:w="11900" w:h="16838" w:orient="portrait"/>
          <w:cols w:equalWidth="0" w:num="1">
            <w:col w:w="11320"/>
          </w:cols>
          <w:pgMar w:left="240" w:top="274" w:right="339" w:bottom="1440" w:gutter="0" w:footer="0" w:header="0"/>
        </w:sectPr>
      </w:pPr>
    </w:p>
    <w:bookmarkStart w:id="6" w:name="page7"/>
    <w:bookmarkEnd w:id="6"/>
    <w:p>
      <w:pPr>
        <w:ind w:right="5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consolidation of five legacy systems into one Amdocs Operational Support System. According to Vodafone, this is believed to be one of the industry’s largest-ever data migrations within the OSS field”, said Eli Gelman, chief executive officer of Amdocs Management Limited.</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Gelman continued, “We are also demonstrating momentum in the network software domain, bringing to market new offerings such as those recently announced to help service provider’s transition to network functions virtualization. Additionally, we are showing progress with new projects. During the fourth quarter, a leading carrier in developed Southeast Asia deployed the Amdocs Self-Optimizing Networks solution, including our Customer Experience Analytics, to improve its 4G coverage.”</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Gelman concluded, “Overall, we concluded a strong fiscal year 2014 with another solid quarter. Looking into fiscal 2015, we expect to deliver non-GAAP earnings per share growth of 4.5% to 7.5%. This outlook reflects an expectation for revenue growth of 2.5% to 5.5% and takes into consideration macro and industry specific risks and unknowns. These include various uncertainties resulting from current and potential customer consolidation activity in North America, although we cannot predict all possible outcomes. Underscoring our commitment to enhance long-term shareholder value, our board has also approved an increase in our quarterly cash dividend to $0.17 per share, anticipated to be paid in April 2015, subject to shareholder approval at our January 2015 annual general meeting. This increased dividend, if approved by shareholders, would represent an improvement of nearly 10% over the current dividend rate and further demonstrates our confidence in the future success of Amdocs.”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Fourth Fiscal Quarter Results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Free cash flow was $163 million for the quarter, comprised of cash flow from operations of $193 million less $30 million in net capital expenditures and other.</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$3.00 billion at the end of the fourth quarter of fiscal 2014.</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Year 2014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 ended September 30, 2014, revenue increased by 6.5% to $3.6 billion. Fiscal 2014 net income on a non-GAAP basis was $509.6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$3.16 per diluted share (excluding amortization of purchased intangible assets and other acquisition-related costs, changes in fair value of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acquisition-related liabilities and equity-based compensation expenses of $87.5 million, net of related tax effects), compared to non-GAAP net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$476.5 million, or $2.92 per diluted share, in fiscal 2013 (excluding amortization of purchased intangible assets and other acquisition-related costs and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expenses of $64.1 million, net of related tax effects). The Company’s GAAP net income in fiscal 2014 was $422.1 million, or $2.62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share, compared to GAAP net income of $412.4 million, or $2.53 per diluted share, in fiscal 2013.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Amdocs expects that revenue for the first quarter of fiscal 2015 will be approximately $895-$925 million. Diluted earnings per share on a non-GAAP basis for the first fiscal quarter are expected to be $0.77-$0.83, excluding amortization of purchased intangible assets and other acquisition-related costs, changes in fair value of certain acquisition-related liabilities and approximately $0.08-$0.09 per share of equity-based compensation expense, net of related tax effects. Amdocs estimates GAAP diluted earnings per share for the first fiscal quarter will be $0.60-$0.68.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4, 2014, the Board approved the Company’s next quarterly cash dividend payment of $0.155 per share and set December 31, 2014 as the record date for determining the shareholders entitled to receive the dividend, which is payable on January 16, 2015. The Board also approved an increase in the Company’s quarterly cash dividend payment to $0.17 per share, which is anticipated to be paid in April 2015, provided that the increase is approved by shareholders at the January 2015 annual general meeting of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Amdocs will host a conference call on November 4, 2014 at 5:00 p.m. Eastern Time to discuss the Company’s fourth fiscal quarter and fiscal year-end results. To participate, please dial +1 (888) 771-4371 [+1 (847) 585-4405 outside the United States] approximately 15 minutes before the call and enter passcode 38224310. The call will also be carried live on the Internet via the Amdocs website, www.amdocs.com.</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Analyst &amp; Investor Briefing</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Amdocs will host an Analyst and Investor briefing on Tuesday, December 16 at the NASDAQ market site headquarters in New York City’s midtown. Please contact investor relations for further details and check our investor relations website several days in advance for details on how to access the live webcast.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expense, net, non-GAAP income taxes, non-GAAP net income and non-GAAP diluted earnings per share growth. These non-GAAP measures exclude the following items:</w:t>
      </w:r>
    </w:p>
    <w:p>
      <w:pPr>
        <w:spacing w:after="0" w:line="92"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interest and other expense, net, non-GAAP</w:t>
      </w:r>
    </w:p>
    <w:p>
      <w:pPr>
        <w:sectPr>
          <w:pgSz w:w="11900" w:h="16838" w:orient="portrait"/>
          <w:cols w:equalWidth="0" w:num="1">
            <w:col w:w="11380"/>
          </w:cols>
          <w:pgMar w:left="240" w:top="270" w:right="279" w:bottom="1440" w:gutter="0" w:footer="0" w:header="0"/>
        </w:sectPr>
      </w:pPr>
    </w:p>
    <w:bookmarkStart w:id="9" w:name="page10"/>
    <w:bookmarkEnd w:id="9"/>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taxes,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and optimization product portfolio with value-driven professional services and managed services operations. With revenue of $3.6 billion in fiscal 2014, Amdocs and its over 22,000 employees serve customers in more than 80 countries.</w:t>
      </w:r>
    </w:p>
    <w:p>
      <w:pPr>
        <w:sectPr>
          <w:pgSz w:w="11900" w:h="16838" w:orient="portrait"/>
          <w:cols w:equalWidth="0" w:num="1">
            <w:col w:w="11360"/>
          </w:cols>
          <w:pgMar w:left="240" w:top="27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Embrace Challenge, Experience Success.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2013 filed on December 9, 2013 and our Forms 6-K furnished for the first quarter of fiscal 2014 on February 11, 2014, for the second quarter of fiscal 2014 on May 15, 2014 and for the third quarter of fiscal 2014 on August 18, 2014.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dox_info@amdocs.com</w:t>
      </w:r>
    </w:p>
    <w:p>
      <w:pPr>
        <w:sectPr>
          <w:pgSz w:w="11900" w:h="16838" w:orient="portrait"/>
          <w:cols w:equalWidth="0" w:num="1">
            <w:col w:w="11360"/>
          </w:cols>
          <w:pgMar w:left="240" w:top="274"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License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26,551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22,180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91,798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873,710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823,045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3,471,839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3,264,241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900,261</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845,225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3,563,637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3,345,854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581,068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545,235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2,304,124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2,164,450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67,604</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257,896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110,056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105,035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774,154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722,349</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3,067,989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2,864,302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126,107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122,876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495,648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124,069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121,392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489,550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32,438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63,038</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100,503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88,954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157,346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161,268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159,667</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163,326</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900,261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845,225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3,563,637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3,345,854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151,558</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141,367</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598,293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560,302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124,269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103,385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509,602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159,667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163,326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Three months ended</w:t>
      </w:r>
    </w:p>
    <w:p>
      <w:pPr>
        <w:ind w:left="7320"/>
        <w:spacing w:after="0" w:line="236" w:lineRule="auto"/>
        <w:rPr>
          <w:sz w:val="20"/>
          <w:szCs w:val="20"/>
          <w:color w:val="auto"/>
        </w:rPr>
      </w:pPr>
      <w:r>
        <w:rPr>
          <w:rFonts w:ascii="Arial" w:cs="Arial" w:eastAsia="Arial" w:hAnsi="Arial"/>
          <w:sz w:val="14"/>
          <w:szCs w:val="14"/>
          <w:b w:val="1"/>
          <w:bCs w:val="1"/>
          <w:color w:val="auto"/>
        </w:rPr>
        <w:t>September 30,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440" w:type="dxa"/>
            <w:vAlign w:val="bottom"/>
            <w:tcBorders>
              <w:top w:val="single" w:sz="8" w:color="auto"/>
              <w:bottom w:val="single" w:sz="8" w:color="auto"/>
            </w:tcBorders>
            <w:gridSpan w:val="6"/>
          </w:tcPr>
          <w:p>
            <w:pPr>
              <w:ind w:left="160"/>
              <w:spacing w:after="0" w:line="142" w:lineRule="exact"/>
              <w:rPr>
                <w:sz w:val="20"/>
                <w:szCs w:val="20"/>
                <w:color w:val="auto"/>
              </w:rPr>
            </w:pPr>
            <w:r>
              <w:rPr>
                <w:rFonts w:ascii="Arial" w:cs="Arial" w:eastAsia="Arial" w:hAnsi="Arial"/>
                <w:sz w:val="14"/>
                <w:szCs w:val="14"/>
                <w:b w:val="1"/>
                <w:bCs w:val="1"/>
                <w:color w:val="auto"/>
              </w:rPr>
              <w:t>Reconciliation items</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w w:val="91"/>
              </w:rPr>
              <w:t>Equity based</w:t>
            </w:r>
          </w:p>
        </w:tc>
        <w:tc>
          <w:tcPr>
            <w:tcW w:w="13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Changes in fair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purchased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value of certain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GAAP</w:t>
            </w:r>
          </w:p>
        </w:tc>
        <w:tc>
          <w:tcPr>
            <w:tcW w:w="220" w:type="dxa"/>
            <w:vAlign w:val="bottom"/>
          </w:tcPr>
          <w:p>
            <w:pPr>
              <w:spacing w:after="0"/>
              <w:rPr>
                <w:sz w:val="12"/>
                <w:szCs w:val="12"/>
                <w:color w:val="auto"/>
              </w:rPr>
            </w:pPr>
          </w:p>
        </w:tc>
        <w:tc>
          <w:tcPr>
            <w:tcW w:w="10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3"/>
              </w:rPr>
              <w:t>intangible assets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2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0" w:type="dxa"/>
            <w:vAlign w:val="bottom"/>
          </w:tcPr>
          <w:p>
            <w:pPr>
              <w:spacing w:after="0"/>
              <w:rPr>
                <w:sz w:val="12"/>
                <w:szCs w:val="12"/>
                <w:color w:val="auto"/>
              </w:rPr>
            </w:pPr>
          </w:p>
        </w:tc>
        <w:tc>
          <w:tcPr>
            <w:tcW w:w="10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88"/>
              </w:rPr>
              <w:t>Tax effect</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ind w:left="100"/>
              <w:spacing w:after="0"/>
              <w:rPr>
                <w:sz w:val="20"/>
                <w:szCs w:val="20"/>
                <w:color w:val="auto"/>
              </w:rPr>
            </w:pPr>
            <w:r>
              <w:rPr>
                <w:rFonts w:ascii="Arial" w:cs="Arial" w:eastAsia="Arial" w:hAnsi="Arial"/>
                <w:sz w:val="14"/>
                <w:szCs w:val="14"/>
                <w:b w:val="1"/>
                <w:bCs w:val="1"/>
                <w:color w:val="auto"/>
              </w:rPr>
              <w:t>and other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related liabilities</w:t>
            </w:r>
          </w:p>
        </w:tc>
        <w:tc>
          <w:tcPr>
            <w:tcW w:w="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4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581,068</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(4,276)</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576,792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67,604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122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110,056</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(5,368)</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104,688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 purchased intangible assets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14,893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(14,893)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Borders>
              <w:left w:val="single" w:sz="8" w:color="auto"/>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774,154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(14,893)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(10,558)</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748,703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126,107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2"/>
              </w:rPr>
              <w:t>10,558</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(3,921)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5,606</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100,503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14,893</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10,558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3,921</w:t>
            </w:r>
          </w:p>
        </w:tc>
        <w:tc>
          <w:tcPr>
            <w:tcW w:w="1060" w:type="dxa"/>
            <w:vAlign w:val="bottom"/>
            <w:tcBorders>
              <w:right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 (5,606)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$ 124,269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Borders>
              <w:left w:val="single" w:sz="8" w:color="auto"/>
              <w:righ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6"/>
              </w:rPr>
              <w:t>September 30, 2013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w w:val="93"/>
              </w:rPr>
              <w:t>Reconciliation items</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32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4"/>
              </w:rPr>
              <w:t>Equity based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4"/>
          </w:tcPr>
          <w:p>
            <w:pPr>
              <w:jc w:val="right"/>
              <w:ind w:right="588"/>
              <w:spacing w:after="0" w:line="149" w:lineRule="exact"/>
              <w:rPr>
                <w:sz w:val="20"/>
                <w:szCs w:val="20"/>
                <w:color w:val="auto"/>
              </w:rPr>
            </w:pPr>
            <w:r>
              <w:rPr>
                <w:rFonts w:ascii="Arial" w:cs="Arial" w:eastAsia="Arial" w:hAnsi="Arial"/>
                <w:sz w:val="14"/>
                <w:szCs w:val="14"/>
                <w:b w:val="1"/>
                <w:bCs w:val="1"/>
                <w:color w:val="auto"/>
              </w:rPr>
              <w:t>purchased</w:t>
            </w:r>
          </w:p>
        </w:tc>
        <w:tc>
          <w:tcPr>
            <w:tcW w:w="13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GAAP</w:t>
            </w:r>
          </w:p>
        </w:tc>
        <w:tc>
          <w:tcPr>
            <w:tcW w:w="60" w:type="dxa"/>
            <w:vAlign w:val="bottom"/>
          </w:tcPr>
          <w:p>
            <w:pPr>
              <w:spacing w:after="0"/>
              <w:rPr>
                <w:sz w:val="12"/>
                <w:szCs w:val="12"/>
                <w:color w:val="auto"/>
              </w:rPr>
            </w:pPr>
          </w:p>
        </w:tc>
        <w:tc>
          <w:tcPr>
            <w:tcW w:w="14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effect</w:t>
            </w: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545,235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(3,844)</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541,391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61,264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105,035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(3,850)</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101,185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w w:val="96"/>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10,052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8"/>
                <w:szCs w:val="18"/>
                <w:color w:val="auto"/>
              </w:rPr>
              <w:t>(10,052)</w:t>
            </w:r>
          </w:p>
        </w:tc>
        <w:tc>
          <w:tcPr>
            <w:tcW w:w="100" w:type="dxa"/>
            <w:vAlign w:val="bottom"/>
          </w:tcPr>
          <w:p>
            <w:pPr>
              <w:spacing w:after="0"/>
              <w:rPr>
                <w:sz w:val="18"/>
                <w:szCs w:val="18"/>
                <w:color w:val="auto"/>
              </w:rPr>
            </w:pPr>
          </w:p>
        </w:tc>
        <w:tc>
          <w:tcPr>
            <w:tcW w:w="12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722,349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(10,052)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(8,439)</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703,858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122,876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4,060</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36,498</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88,954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(4,060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$ 103,385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-3175</wp:posOffset>
            </wp:positionV>
            <wp:extent cx="44596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ind w:left="720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4"/>
              </w:rPr>
              <w:t>Equity based</w:t>
            </w:r>
          </w:p>
        </w:tc>
        <w:tc>
          <w:tcPr>
            <w:tcW w:w="124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Changes in fair</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purchased</w:t>
            </w: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value of certain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GAAP</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4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60" w:type="dxa"/>
            <w:vAlign w:val="bottom"/>
          </w:tcPr>
          <w:p>
            <w:pPr>
              <w:spacing w:after="0"/>
              <w:rPr>
                <w:sz w:val="12"/>
                <w:szCs w:val="12"/>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Tax effect</w:t>
            </w:r>
          </w:p>
        </w:tc>
        <w:tc>
          <w:tcPr>
            <w:tcW w:w="16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expense</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related liabilities</w:t>
            </w: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2,768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2,304,124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2,286,628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257,896</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445,134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(23,483)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 purchased intangible assets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5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58,067</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(58,067)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3,067,989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(44,578)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2,965,344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495,648</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44,578</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67,428</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422,122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58,067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(19,086)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Fiscal year ended</w:t>
      </w:r>
    </w:p>
    <w:p>
      <w:pPr>
        <w:jc w:val="center"/>
        <w:ind w:left="5180"/>
        <w:spacing w:after="0" w:line="236" w:lineRule="auto"/>
        <w:rPr>
          <w:sz w:val="20"/>
          <w:szCs w:val="20"/>
          <w:color w:val="auto"/>
        </w:rPr>
      </w:pPr>
      <w:r>
        <w:rPr>
          <w:rFonts w:ascii="Arial" w:cs="Arial" w:eastAsia="Arial" w:hAnsi="Arial"/>
          <w:sz w:val="14"/>
          <w:szCs w:val="14"/>
          <w:b w:val="1"/>
          <w:bCs w:val="1"/>
          <w:color w:val="auto"/>
        </w:rPr>
        <w:t>September 30, 2013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380" w:type="dxa"/>
            <w:vAlign w:val="bottom"/>
          </w:tcPr>
          <w:p>
            <w:pPr>
              <w:spacing w:after="0"/>
              <w:rPr>
                <w:sz w:val="10"/>
                <w:szCs w:val="10"/>
                <w:color w:val="auto"/>
              </w:rPr>
            </w:pPr>
          </w:p>
        </w:tc>
        <w:tc>
          <w:tcPr>
            <w:tcW w:w="13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4"/>
              </w:rPr>
              <w:t>Equity based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purchased</w:t>
            </w:r>
          </w:p>
        </w:tc>
        <w:tc>
          <w:tcPr>
            <w:tcW w:w="3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4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intangible assets</w:t>
            </w:r>
          </w:p>
        </w:tc>
        <w:tc>
          <w:tcPr>
            <w:tcW w:w="3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Tax effect</w:t>
            </w:r>
          </w:p>
        </w:tc>
        <w:tc>
          <w:tcPr>
            <w:tcW w:w="2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and other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expense</w:t>
            </w:r>
          </w:p>
        </w:tc>
        <w:tc>
          <w:tcPr>
            <w:tcW w:w="9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 of license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2,602</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2,164,450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2,146,166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240,266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418,574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(38,410)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2,864,302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(40,340)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2,785,552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481,552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560,302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14,650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77,688</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412,439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5"/>
              </w:rPr>
              <w:t>(14,650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2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1,424,465</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1,326,380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Accounts receivable, net, including unbilled of $134,523 and $110,626, respectively</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715,837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135,326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2,423,974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2,282,074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288,956</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275,544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2,106,452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1,975,060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365,895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5,185,277</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4,925,813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785,548</w:t>
            </w:r>
          </w:p>
        </w:tc>
        <w:tc>
          <w:tcPr>
            <w:tcW w:w="20" w:type="dxa"/>
            <w:vAlign w:val="bottom"/>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683,768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156,743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1,200,747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1,074,256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588,694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3,395,836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3,274,783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5,185,277</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4,925,813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Fiscal 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422,122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162,772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140,776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44,578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(6,510)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73,949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709,258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670,547</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(111,569)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379,484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(389,800)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(180,540)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(298,553)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(297,129)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(200,000)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(372,014)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128,125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(90,939)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under capital lease and other</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(321,628)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(238,384)</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89,077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1,014,192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879,158</w:t>
            </w: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1,103,269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1,014,192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$ 647.2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4"/>
              </w:rPr>
              <w:t>628.0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105.3</w:t>
            </w:r>
          </w:p>
        </w:tc>
        <w:tc>
          <w:tcPr>
            <w:tcW w:w="4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902.5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4"/>
              </w:rPr>
              <w:t>864.0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Emerging Markets Revenue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$ 116.9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4"/>
              </w:rPr>
              <w:t>100.7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438.0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4"/>
              </w:rPr>
              <w:t>429.3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September</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December</w:t>
            </w:r>
          </w:p>
        </w:tc>
        <w:tc>
          <w:tcPr>
            <w:tcW w:w="100" w:type="dxa"/>
            <w:vAlign w:val="bottom"/>
          </w:tcPr>
          <w:p>
            <w:pPr>
              <w:spacing w:after="0"/>
              <w:rPr>
                <w:sz w:val="10"/>
                <w:szCs w:val="10"/>
                <w:color w:val="auto"/>
              </w:rPr>
            </w:pPr>
          </w:p>
        </w:tc>
        <w:tc>
          <w:tcPr>
            <w:tcW w:w="78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w w:val="98"/>
              </w:rPr>
              <w:t>September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4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Customer Experience Solutions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$ 870.8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4"/>
              </w:rPr>
              <w:t>829.6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Directory</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28.8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902.5</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4"/>
              </w:rPr>
              <w:t>864.0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2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2,970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4"/>
              </w:rPr>
              <w:t>2,890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2019-12-06T19:23:47Z</dcterms:created>
  <dcterms:modified xsi:type="dcterms:W3CDTF">2019-12-06T19:23:47Z</dcterms:modified>
</cp:coreProperties>
</file>