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w:t>
      </w:r>
      <w:r>
        <w:rPr>
          <w:rFonts w:ascii="Times New Roman" w:cs="Times New Roman" w:eastAsia="Times New Roman" w:hAnsi="Times New Roman"/>
          <w:sz w:val="10"/>
          <w:szCs w:val="10"/>
          <w:color w:val="auto"/>
        </w:rPr>
        <w:t>,</w:t>
      </w:r>
      <w:r>
        <w:rPr>
          <w:rFonts w:ascii="Times New Roman" w:cs="Times New Roman" w:eastAsia="Times New Roman" w:hAnsi="Times New Roman"/>
          <w:sz w:val="22"/>
          <w:szCs w:val="22"/>
          <w:b w:val="1"/>
          <w:bCs w:val="1"/>
          <w:color w:val="auto"/>
        </w:rPr>
        <w:t xml:space="preserve">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 13a-16 OR 15d-16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December 31,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Hirzel House, Smith Street,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 Peter Port, Island of Guernsey, GY1 2NG</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Amdocs,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625 Maryville Centre Drive, Suite 200 Saint Louis, Missouri 63141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39"/>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66" w:lineRule="exact"/>
        <w:rPr>
          <w:sz w:val="24"/>
          <w:szCs w:val="24"/>
          <w:color w:val="auto"/>
        </w:rPr>
      </w:pPr>
    </w:p>
    <w:p>
      <w:pPr>
        <w:jc w:val="center"/>
        <w:ind w:right="-19"/>
        <w:spacing w:after="0" w:line="207" w:lineRule="exact"/>
        <w:tabs>
          <w:tab w:leader="none" w:pos="4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00" w:type="dxa"/>
            <w:vAlign w:val="bottom"/>
            <w:gridSpan w:val="2"/>
          </w:tcPr>
          <w:p>
            <w:pPr>
              <w:jc w:val="center"/>
              <w:ind w:right="2420"/>
              <w:spacing w:after="0"/>
              <w:rPr>
                <w:sz w:val="20"/>
                <w:szCs w:val="20"/>
                <w:color w:val="auto"/>
              </w:rPr>
            </w:pPr>
            <w:r>
              <w:rPr>
                <w:rFonts w:ascii="Times New Roman" w:cs="Times New Roman" w:eastAsia="Times New Roman" w:hAnsi="Times New Roman"/>
                <w:sz w:val="18"/>
                <w:szCs w:val="18"/>
                <w:color w:val="auto"/>
              </w:rPr>
              <w:t>AMDOCS LIMITED</w:t>
            </w:r>
          </w:p>
        </w:tc>
        <w:tc>
          <w:tcPr>
            <w:tcW w:w="182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00" w:type="dxa"/>
            <w:vAlign w:val="bottom"/>
            <w:gridSpan w:val="2"/>
          </w:tcPr>
          <w:p>
            <w:pPr>
              <w:jc w:val="center"/>
              <w:ind w:right="2420"/>
              <w:spacing w:after="0"/>
              <w:rPr>
                <w:sz w:val="20"/>
                <w:szCs w:val="20"/>
                <w:color w:val="auto"/>
              </w:rPr>
            </w:pPr>
            <w:r>
              <w:rPr>
                <w:rFonts w:ascii="Times New Roman" w:cs="Times New Roman" w:eastAsia="Times New Roman" w:hAnsi="Times New Roman"/>
                <w:sz w:val="18"/>
                <w:szCs w:val="18"/>
                <w:color w:val="auto"/>
              </w:rPr>
              <w:t>FORM 6-K</w:t>
            </w:r>
          </w:p>
        </w:tc>
        <w:tc>
          <w:tcPr>
            <w:tcW w:w="182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80" w:type="dxa"/>
            <w:vAlign w:val="bottom"/>
            <w:gridSpan w:val="5"/>
          </w:tcPr>
          <w:p>
            <w:pPr>
              <w:jc w:val="center"/>
              <w:ind w:right="1820"/>
              <w:spacing w:after="0"/>
              <w:rPr>
                <w:sz w:val="20"/>
                <w:szCs w:val="20"/>
                <w:color w:val="auto"/>
              </w:rPr>
            </w:pPr>
            <w:r>
              <w:rPr>
                <w:rFonts w:ascii="Times New Roman" w:cs="Times New Roman" w:eastAsia="Times New Roman" w:hAnsi="Times New Roman"/>
                <w:sz w:val="18"/>
                <w:szCs w:val="18"/>
                <w:color w:val="auto"/>
                <w:w w:val="99"/>
              </w:rPr>
              <w:t>REPORT OF FOREIGN PRIVATE ISSUER</w:t>
            </w:r>
          </w:p>
        </w:tc>
        <w:tc>
          <w:tcPr>
            <w:tcW w:w="182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gridSpan w:val="6"/>
          </w:tcPr>
          <w:p>
            <w:pPr>
              <w:jc w:val="center"/>
              <w:ind w:right="1340"/>
              <w:spacing w:after="0"/>
              <w:rPr>
                <w:sz w:val="20"/>
                <w:szCs w:val="20"/>
                <w:color w:val="auto"/>
              </w:rPr>
            </w:pPr>
            <w:r>
              <w:rPr>
                <w:rFonts w:ascii="Times New Roman" w:cs="Times New Roman" w:eastAsia="Times New Roman" w:hAnsi="Times New Roman"/>
                <w:sz w:val="18"/>
                <w:szCs w:val="18"/>
                <w:color w:val="auto"/>
              </w:rPr>
              <w:t>FOR THE QUARTER ENDED DECEMBER 31,</w:t>
            </w:r>
          </w:p>
        </w:tc>
        <w:tc>
          <w:tcPr>
            <w:tcW w:w="1820" w:type="dxa"/>
            <w:vAlign w:val="bottom"/>
          </w:tcPr>
          <w:p>
            <w:pPr>
              <w:spacing w:after="0"/>
              <w:rPr>
                <w:sz w:val="24"/>
                <w:szCs w:val="24"/>
                <w:color w:val="auto"/>
              </w:rPr>
            </w:pPr>
          </w:p>
        </w:tc>
      </w:tr>
      <w:tr>
        <w:trPr>
          <w:trHeight w:val="216"/>
        </w:trPr>
        <w:tc>
          <w:tcPr>
            <w:tcW w:w="6580" w:type="dxa"/>
            <w:vAlign w:val="bottom"/>
            <w:gridSpan w:val="15"/>
          </w:tcPr>
          <w:p>
            <w:pPr>
              <w:jc w:val="center"/>
              <w:ind w:left="4450"/>
              <w:spacing w:after="0"/>
              <w:rPr>
                <w:sz w:val="20"/>
                <w:szCs w:val="20"/>
                <w:color w:val="auto"/>
              </w:rPr>
            </w:pPr>
            <w:r>
              <w:rPr>
                <w:rFonts w:ascii="Times New Roman" w:cs="Times New Roman" w:eastAsia="Times New Roman" w:hAnsi="Times New Roman"/>
                <w:sz w:val="18"/>
                <w:szCs w:val="18"/>
                <w:color w:val="auto"/>
                <w:w w:val="99"/>
              </w:rPr>
              <w:t>2024</w:t>
            </w:r>
          </w:p>
        </w:tc>
        <w:tc>
          <w:tcPr>
            <w:tcW w:w="24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00" w:type="dxa"/>
            <w:vAlign w:val="bottom"/>
            <w:gridSpan w:val="2"/>
          </w:tcPr>
          <w:p>
            <w:pPr>
              <w:jc w:val="center"/>
              <w:ind w:right="2420"/>
              <w:spacing w:after="0"/>
              <w:rPr>
                <w:sz w:val="20"/>
                <w:szCs w:val="20"/>
                <w:color w:val="auto"/>
              </w:rPr>
            </w:pPr>
            <w:r>
              <w:rPr>
                <w:rFonts w:ascii="Times New Roman" w:cs="Times New Roman" w:eastAsia="Times New Roman" w:hAnsi="Times New Roman"/>
                <w:sz w:val="18"/>
                <w:szCs w:val="18"/>
                <w:color w:val="auto"/>
                <w:w w:val="99"/>
              </w:rPr>
              <w:t>INDEX</w:t>
            </w:r>
          </w:p>
        </w:tc>
        <w:tc>
          <w:tcPr>
            <w:tcW w:w="1820" w:type="dxa"/>
            <w:vAlign w:val="bottom"/>
          </w:tcPr>
          <w:p>
            <w:pPr>
              <w:spacing w:after="0"/>
              <w:rPr>
                <w:sz w:val="20"/>
                <w:szCs w:val="20"/>
                <w:color w:val="auto"/>
              </w:rPr>
            </w:pPr>
          </w:p>
        </w:tc>
      </w:tr>
      <w:tr>
        <w:trPr>
          <w:trHeight w:val="392"/>
        </w:trPr>
        <w:tc>
          <w:tcPr>
            <w:tcW w:w="2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6140" w:type="dxa"/>
            <w:vAlign w:val="bottom"/>
            <w:gridSpan w:val="8"/>
          </w:tcPr>
          <w:p>
            <w:pPr>
              <w:spacing w:after="0"/>
              <w:rPr>
                <w:sz w:val="24"/>
                <w:szCs w:val="24"/>
                <w:color w:val="auto"/>
              </w:rPr>
            </w:pPr>
          </w:p>
        </w:tc>
        <w:tc>
          <w:tcPr>
            <w:tcW w:w="18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180" w:type="dxa"/>
            <w:vAlign w:val="bottom"/>
          </w:tcPr>
          <w:p>
            <w:pPr>
              <w:spacing w:after="0"/>
              <w:rPr>
                <w:sz w:val="17"/>
                <w:szCs w:val="17"/>
                <w:color w:val="auto"/>
              </w:rPr>
            </w:pPr>
          </w:p>
        </w:tc>
        <w:tc>
          <w:tcPr>
            <w:tcW w:w="20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 Financial Statements</w:t>
            </w:r>
          </w:p>
        </w:tc>
        <w:tc>
          <w:tcPr>
            <w:tcW w:w="6780" w:type="dxa"/>
            <w:vAlign w:val="bottom"/>
            <w:gridSpan w:val="12"/>
          </w:tcPr>
          <w:p>
            <w:pPr>
              <w:spacing w:after="0"/>
              <w:rPr>
                <w:sz w:val="17"/>
                <w:szCs w:val="17"/>
                <w:color w:val="auto"/>
              </w:rPr>
            </w:pPr>
          </w:p>
        </w:tc>
        <w:tc>
          <w:tcPr>
            <w:tcW w:w="182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8"/>
        </w:trPr>
        <w:tc>
          <w:tcPr>
            <w:tcW w:w="180" w:type="dxa"/>
            <w:vAlign w:val="bottom"/>
          </w:tcPr>
          <w:p>
            <w:pPr>
              <w:spacing w:after="0"/>
              <w:rPr>
                <w:sz w:val="18"/>
                <w:szCs w:val="18"/>
                <w:color w:val="auto"/>
              </w:rPr>
            </w:pPr>
          </w:p>
        </w:tc>
        <w:tc>
          <w:tcPr>
            <w:tcW w:w="8840" w:type="dxa"/>
            <w:vAlign w:val="bottom"/>
            <w:gridSpan w:val="15"/>
          </w:tcPr>
          <w:p>
            <w:pPr>
              <w:ind w:left="200"/>
              <w:spacing w:after="0"/>
              <w:rPr>
                <w:sz w:val="20"/>
                <w:szCs w:val="20"/>
                <w:color w:val="auto"/>
              </w:rPr>
            </w:pPr>
            <w:r>
              <w:rPr>
                <w:rFonts w:ascii="Times New Roman" w:cs="Times New Roman" w:eastAsia="Times New Roman" w:hAnsi="Times New Roman"/>
                <w:sz w:val="18"/>
                <w:szCs w:val="18"/>
                <w:color w:val="auto"/>
              </w:rPr>
              <w:t>Unaudited Consolidated Financial Statements</w:t>
            </w:r>
          </w:p>
        </w:tc>
        <w:tc>
          <w:tcPr>
            <w:tcW w:w="1820" w:type="dxa"/>
            <w:vAlign w:val="bottom"/>
          </w:tcPr>
          <w:p>
            <w:pPr>
              <w:spacing w:after="0"/>
              <w:rPr>
                <w:sz w:val="18"/>
                <w:szCs w:val="18"/>
                <w:color w:val="auto"/>
              </w:rPr>
            </w:pPr>
          </w:p>
        </w:tc>
      </w:tr>
      <w:tr>
        <w:trPr>
          <w:trHeight w:val="194"/>
        </w:trPr>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4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820" w:type="dxa"/>
            <w:vAlign w:val="bottom"/>
          </w:tcPr>
          <w:p>
            <w:pPr>
              <w:ind w:left="1640"/>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Income</w:t>
            </w:r>
          </w:p>
        </w:tc>
        <w:tc>
          <w:tcPr>
            <w:tcW w:w="182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4660" w:type="dxa"/>
            <w:vAlign w:val="bottom"/>
            <w:gridSpan w:val="3"/>
          </w:tcPr>
          <w:p>
            <w:pPr>
              <w:spacing w:after="0"/>
              <w:rPr>
                <w:sz w:val="17"/>
                <w:szCs w:val="17"/>
                <w:color w:val="auto"/>
              </w:rPr>
            </w:pPr>
          </w:p>
        </w:tc>
        <w:tc>
          <w:tcPr>
            <w:tcW w:w="182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5080" w:type="dxa"/>
            <w:vAlign w:val="bottom"/>
            <w:gridSpan w:val="5"/>
          </w:tcPr>
          <w:p>
            <w:pPr>
              <w:spacing w:after="0"/>
              <w:rPr>
                <w:sz w:val="17"/>
                <w:szCs w:val="17"/>
                <w:color w:val="auto"/>
              </w:rPr>
            </w:pPr>
          </w:p>
        </w:tc>
        <w:tc>
          <w:tcPr>
            <w:tcW w:w="182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182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182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8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Item 2. Operating and Financial Review and Prospects</w:t>
            </w:r>
          </w:p>
        </w:tc>
        <w:tc>
          <w:tcPr>
            <w:tcW w:w="182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88"/>
              </w:rPr>
              <w:t>20</w:t>
            </w:r>
          </w:p>
        </w:tc>
      </w:tr>
      <w:tr>
        <w:trPr>
          <w:trHeight w:val="20"/>
        </w:trPr>
        <w:tc>
          <w:tcPr>
            <w:tcW w:w="1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0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PART II OTHER INFORMATION</w:t>
            </w:r>
          </w:p>
        </w:tc>
        <w:tc>
          <w:tcPr>
            <w:tcW w:w="182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88"/>
              </w:rPr>
              <w:t>27</w:t>
            </w:r>
          </w:p>
        </w:tc>
      </w:tr>
      <w:tr>
        <w:trPr>
          <w:trHeight w:val="20"/>
        </w:trPr>
        <w:tc>
          <w:tcPr>
            <w:tcW w:w="1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 Changes in Securities, Use of Proceeds and Issuer Purchases of Equity Securities</w:t>
            </w:r>
          </w:p>
        </w:tc>
        <w:tc>
          <w:tcPr>
            <w:tcW w:w="2440" w:type="dxa"/>
            <w:vAlign w:val="bottom"/>
          </w:tcPr>
          <w:p>
            <w:pPr>
              <w:spacing w:after="0"/>
              <w:rPr>
                <w:sz w:val="17"/>
                <w:szCs w:val="17"/>
                <w:color w:val="auto"/>
              </w:rPr>
            </w:pPr>
          </w:p>
        </w:tc>
        <w:tc>
          <w:tcPr>
            <w:tcW w:w="182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88"/>
              </w:rPr>
              <w:t>27</w:t>
            </w:r>
          </w:p>
        </w:tc>
      </w:tr>
      <w:tr>
        <w:trPr>
          <w:trHeight w:val="196"/>
        </w:trPr>
        <w:tc>
          <w:tcPr>
            <w:tcW w:w="180" w:type="dxa"/>
            <w:vAlign w:val="bottom"/>
          </w:tcPr>
          <w:p>
            <w:pPr>
              <w:spacing w:after="0"/>
              <w:rPr>
                <w:sz w:val="17"/>
                <w:szCs w:val="17"/>
                <w:color w:val="auto"/>
              </w:rPr>
            </w:pPr>
          </w:p>
        </w:tc>
        <w:tc>
          <w:tcPr>
            <w:tcW w:w="21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Item 2. Reports on Form 6-K</w:t>
            </w:r>
          </w:p>
        </w:tc>
        <w:tc>
          <w:tcPr>
            <w:tcW w:w="6740" w:type="dxa"/>
            <w:vAlign w:val="bottom"/>
            <w:gridSpan w:val="11"/>
          </w:tcPr>
          <w:p>
            <w:pPr>
              <w:spacing w:after="0"/>
              <w:rPr>
                <w:sz w:val="17"/>
                <w:szCs w:val="17"/>
                <w:color w:val="auto"/>
              </w:rPr>
            </w:pPr>
          </w:p>
        </w:tc>
        <w:tc>
          <w:tcPr>
            <w:tcW w:w="182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88"/>
              </w:rPr>
              <w:t>27</w:t>
            </w:r>
          </w:p>
        </w:tc>
      </w:tr>
      <w:tr>
        <w:trPr>
          <w:trHeight w:val="196"/>
        </w:trPr>
        <w:tc>
          <w:tcPr>
            <w:tcW w:w="11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SIGNATURES</w:t>
            </w:r>
          </w:p>
        </w:tc>
        <w:tc>
          <w:tcPr>
            <w:tcW w:w="7900" w:type="dxa"/>
            <w:vAlign w:val="bottom"/>
            <w:gridSpan w:val="13"/>
          </w:tcPr>
          <w:p>
            <w:pPr>
              <w:spacing w:after="0"/>
              <w:rPr>
                <w:sz w:val="17"/>
                <w:szCs w:val="17"/>
                <w:color w:val="auto"/>
              </w:rPr>
            </w:pPr>
          </w:p>
        </w:tc>
        <w:tc>
          <w:tcPr>
            <w:tcW w:w="182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88"/>
              </w:rPr>
              <w:t>28</w:t>
            </w: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7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gridSpan w:val="3"/>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1360" w:type="dxa"/>
            <w:vAlign w:val="bottom"/>
          </w:tcPr>
          <w:p>
            <w:pPr>
              <w:jc w:val="right"/>
              <w:ind w:right="271"/>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57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213,833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346,085</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interest-bearing investments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135,175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168,242</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990,859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1,028,357</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266,861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228,498</w:t>
            </w:r>
          </w:p>
        </w:tc>
        <w:tc>
          <w:tcPr>
            <w:tcW w:w="100" w:type="dxa"/>
            <w:vAlign w:val="bottom"/>
          </w:tcPr>
          <w:p>
            <w:pPr>
              <w:spacing w:after="0"/>
              <w:rPr>
                <w:sz w:val="18"/>
                <w:szCs w:val="18"/>
                <w:color w:val="auto"/>
              </w:rPr>
            </w:pPr>
          </w:p>
        </w:tc>
      </w:tr>
      <w:tr>
        <w:trPr>
          <w:trHeight w:val="210"/>
        </w:trPr>
        <w:tc>
          <w:tcPr>
            <w:tcW w:w="5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1,606,728</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1,771,182</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755,601</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Lease assets</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155,485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149,254</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2,879,758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2,844,908</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187,153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160,729</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730,217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704,468</w:t>
            </w:r>
          </w:p>
        </w:tc>
        <w:tc>
          <w:tcPr>
            <w:tcW w:w="100" w:type="dxa"/>
            <w:vAlign w:val="bottom"/>
          </w:tcPr>
          <w:p>
            <w:pPr>
              <w:spacing w:after="0"/>
              <w:rPr>
                <w:sz w:val="18"/>
                <w:szCs w:val="18"/>
                <w:color w:val="auto"/>
              </w:rPr>
            </w:pPr>
          </w:p>
        </w:tc>
      </w:tr>
      <w:tr>
        <w:trPr>
          <w:trHeight w:val="210"/>
        </w:trPr>
        <w:tc>
          <w:tcPr>
            <w:tcW w:w="5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1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6,293,741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6,386,142</w:t>
            </w:r>
          </w:p>
        </w:tc>
        <w:tc>
          <w:tcPr>
            <w:tcW w:w="100" w:type="dxa"/>
            <w:vAlign w:val="bottom"/>
            <w:shd w:val="clear" w:color="auto" w:fill="CFF0FC"/>
          </w:tcPr>
          <w:p>
            <w:pPr>
              <w:spacing w:after="0"/>
              <w:rPr>
                <w:sz w:val="18"/>
                <w:szCs w:val="18"/>
                <w:color w:val="auto"/>
              </w:rPr>
            </w:pPr>
          </w:p>
        </w:tc>
      </w:tr>
      <w:tr>
        <w:trPr>
          <w:trHeight w:val="209"/>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9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320,786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305,928</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674,887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778,939</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personnel costs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230,812</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39,983</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115,247</w:t>
            </w:r>
          </w:p>
        </w:tc>
        <w:tc>
          <w:tcPr>
            <w:tcW w:w="100" w:type="dxa"/>
            <w:vAlign w:val="bottom"/>
          </w:tcPr>
          <w:p>
            <w:pPr>
              <w:spacing w:after="0"/>
              <w:rPr>
                <w:sz w:val="18"/>
                <w:szCs w:val="18"/>
                <w:color w:val="auto"/>
              </w:rPr>
            </w:pPr>
          </w:p>
        </w:tc>
      </w:tr>
      <w:tr>
        <w:trPr>
          <w:trHeight w:val="209"/>
        </w:trPr>
        <w:tc>
          <w:tcPr>
            <w:tcW w:w="5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1,384,832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1,470,909</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 and taxes payable</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206,816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197,923</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108,722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103,462</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 net of unamortized debt issuance costs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646,444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646,291</w:t>
            </w:r>
          </w:p>
        </w:tc>
        <w:tc>
          <w:tcPr>
            <w:tcW w:w="100" w:type="dxa"/>
            <w:vAlign w:val="bottom"/>
          </w:tcPr>
          <w:p>
            <w:pPr>
              <w:spacing w:after="0"/>
              <w:rPr>
                <w:sz w:val="18"/>
                <w:szCs w:val="18"/>
                <w:color w:val="auto"/>
              </w:rPr>
            </w:pPr>
          </w:p>
        </w:tc>
      </w:tr>
      <w:tr>
        <w:trPr>
          <w:trHeight w:val="216"/>
        </w:trPr>
        <w:tc>
          <w:tcPr>
            <w:tcW w:w="5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9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441,067</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2,787,881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2,886,965</w:t>
            </w:r>
          </w:p>
        </w:tc>
        <w:tc>
          <w:tcPr>
            <w:tcW w:w="100" w:type="dxa"/>
            <w:vAlign w:val="bottom"/>
          </w:tcPr>
          <w:p>
            <w:pPr>
              <w:spacing w:after="0"/>
              <w:rPr>
                <w:sz w:val="18"/>
                <w:szCs w:val="18"/>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Amdocs Limited Shareholders' equity:</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940" w:type="dxa"/>
            <w:vAlign w:val="bottom"/>
            <w:gridSpan w:val="3"/>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Shares — Authorized 25,000 shares; £0.01 par value; 0 shares issued</w:t>
            </w: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7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and outstanding</w:t>
            </w:r>
          </w:p>
        </w:tc>
        <w:tc>
          <w:tcPr>
            <w:tcW w:w="1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7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Ordinary Shares — Authorized 700,000 shares; £0.01 par value; 289,418 and</w:t>
            </w:r>
          </w:p>
        </w:tc>
        <w:tc>
          <w:tcPr>
            <w:tcW w:w="2160" w:type="dxa"/>
            <w:vAlign w:val="bottom"/>
            <w:gridSpan w:val="2"/>
          </w:tcPr>
          <w:p>
            <w:pPr>
              <w:jc w:val="right"/>
              <w:ind w:right="650"/>
              <w:spacing w:after="0" w:line="198" w:lineRule="exact"/>
              <w:rPr>
                <w:sz w:val="20"/>
                <w:szCs w:val="20"/>
                <w:color w:val="auto"/>
              </w:rPr>
            </w:pPr>
            <w:r>
              <w:rPr>
                <w:rFonts w:ascii="Times New Roman" w:cs="Times New Roman" w:eastAsia="Times New Roman" w:hAnsi="Times New Roman"/>
                <w:sz w:val="18"/>
                <w:szCs w:val="18"/>
                <w:color w:val="auto"/>
              </w:rPr>
              <w:t>288,485 issued and</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112,163 and 112,891 outstanding, respectively</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00" w:type="dxa"/>
            <w:vAlign w:val="bottom"/>
          </w:tcPr>
          <w:p>
            <w:pPr>
              <w:spacing w:after="0"/>
              <w:rPr>
                <w:sz w:val="20"/>
                <w:szCs w:val="20"/>
                <w:color w:val="auto"/>
              </w:rPr>
            </w:pPr>
          </w:p>
        </w:tc>
      </w:tr>
      <w:tr>
        <w:trPr>
          <w:trHeight w:val="216"/>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4,464,706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4,413,503</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177,255 and 175,594 ordinary shares, respectively</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(7,928,917 )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(7,784,434 )</w:t>
            </w:r>
          </w:p>
        </w:tc>
      </w:tr>
      <w:tr>
        <w:trPr>
          <w:trHeight w:val="216"/>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(1,259 )</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(4,410 )</w:t>
            </w: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6,925,123</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6,827,719</w:t>
            </w:r>
          </w:p>
        </w:tc>
        <w:tc>
          <w:tcPr>
            <w:tcW w:w="100" w:type="dxa"/>
            <w:vAlign w:val="bottom"/>
          </w:tcPr>
          <w:p>
            <w:pPr>
              <w:spacing w:after="0"/>
              <w:rPr>
                <w:sz w:val="18"/>
                <w:szCs w:val="18"/>
                <w:color w:val="auto"/>
              </w:rPr>
            </w:pPr>
          </w:p>
        </w:tc>
      </w:tr>
      <w:tr>
        <w:trPr>
          <w:trHeight w:val="209"/>
        </w:trPr>
        <w:tc>
          <w:tcPr>
            <w:tcW w:w="5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b w:val="1"/>
                <w:bCs w:val="1"/>
                <w:color w:val="auto"/>
              </w:rPr>
              <w:t>Total Amdocs Limited Shareholders' equity</w:t>
            </w:r>
          </w:p>
        </w:tc>
        <w:tc>
          <w:tcPr>
            <w:tcW w:w="1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3,464,263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3,456,976</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42,201</w:t>
            </w:r>
          </w:p>
        </w:tc>
        <w:tc>
          <w:tcPr>
            <w:tcW w:w="100" w:type="dxa"/>
            <w:vAlign w:val="bottom"/>
          </w:tcPr>
          <w:p>
            <w:pPr>
              <w:spacing w:after="0"/>
              <w:rPr>
                <w:sz w:val="18"/>
                <w:szCs w:val="18"/>
                <w:color w:val="auto"/>
              </w:rPr>
            </w:pPr>
          </w:p>
        </w:tc>
      </w:tr>
      <w:tr>
        <w:trPr>
          <w:trHeight w:val="210"/>
        </w:trPr>
        <w:tc>
          <w:tcPr>
            <w:tcW w:w="578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9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3,505,860</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3,499,177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9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6,293,741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6,386,142</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-3771265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-2108200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6"/>
        </w:trPr>
        <w:tc>
          <w:tcPr>
            <w:tcW w:w="7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gridSpan w:val="3"/>
          </w:tcPr>
          <w:p>
            <w:pPr>
              <w:jc w:val="right"/>
              <w:ind w:right="19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9"/>
        </w:trPr>
        <w:tc>
          <w:tcPr>
            <w:tcW w:w="7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line="189"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9"/>
                <w:szCs w:val="19"/>
                <w:b w:val="1"/>
                <w:bCs w:val="1"/>
                <w:color w:val="auto"/>
                <w:vertAlign w:val="superscript"/>
              </w:rPr>
              <w:t>(1)</w:t>
            </w:r>
          </w:p>
        </w:tc>
        <w:tc>
          <w:tcPr>
            <w:tcW w:w="2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1,110,055</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1,245,199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682,259</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812,744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84,333</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122,087</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142,504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911,221</w:t>
            </w:r>
          </w:p>
        </w:tc>
        <w:tc>
          <w:tcPr>
            <w:tcW w:w="280" w:type="dxa"/>
            <w:vAlign w:val="bottom"/>
            <w:tcBorders>
              <w:top w:val="single" w:sz="8" w:color="CFF0FC"/>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1,060,865</w:t>
            </w:r>
          </w:p>
        </w:tc>
        <w:tc>
          <w:tcPr>
            <w:tcW w:w="100" w:type="dxa"/>
            <w:vAlign w:val="bottom"/>
            <w:tcBorders>
              <w:top w:val="single" w:sz="8" w:color="CFF0FC"/>
            </w:tcBorders>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198,834</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184,334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(6,409 )</w:t>
            </w:r>
          </w:p>
        </w:tc>
        <w:tc>
          <w:tcPr>
            <w:tcW w:w="5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(9,778 )</w:t>
            </w: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192,425</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40,573</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151,852</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719</w:t>
            </w: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7"/>
                <w:szCs w:val="17"/>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Amdocs Limited</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151,133</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 attributable to Amdocs Limited</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7"/>
                <w:szCs w:val="17"/>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Amdocs Limited</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per ordinary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28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-2708275</wp:posOffset>
            </wp:positionV>
            <wp:extent cx="2168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-1637030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-1637030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-1062355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-770890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-753745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-462280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-445135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1020" w:right="380" w:hanging="503"/>
        <w:spacing w:after="0" w:line="282" w:lineRule="auto"/>
        <w:tabs>
          <w:tab w:leader="none" w:pos="10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During the three months ended December 31, 2024, we phased out several low-margin, non-core business activities, which were included in the three months ended December 31, 2023, for more details see ‘Item 2. Operating and Financial Review and Prospects’</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200"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150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151,852</w:t>
            </w:r>
          </w:p>
        </w:tc>
        <w:tc>
          <w:tcPr>
            <w:tcW w:w="6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148,722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change in fair value of cash flow hedges(1)</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change in fair value of available-for-sale securities(2)</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155,003</w:t>
            </w: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195,542</w:t>
            </w:r>
          </w:p>
        </w:tc>
        <w:tc>
          <w:tcPr>
            <w:tcW w:w="100" w:type="dxa"/>
            <w:vAlign w:val="bottom"/>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72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719</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7720" w:type="dxa"/>
            <w:vAlign w:val="bottom"/>
            <w:tcBorders>
              <w:top w:val="single" w:sz="8" w:color="CFF0FC"/>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income attributable to Amdocs Limited</w:t>
            </w:r>
          </w:p>
        </w:tc>
        <w:tc>
          <w:tcPr>
            <w:tcW w:w="940" w:type="dxa"/>
            <w:vAlign w:val="bottom"/>
            <w:tcBorders>
              <w:top w:val="single" w:sz="8" w:color="auto"/>
              <w:bottom w:val="single" w:sz="8" w:color="auto"/>
            </w:tcBorders>
          </w:tcPr>
          <w:p>
            <w:pPr>
              <w:jc w:val="right"/>
              <w:ind w:right="75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154,284</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194,785</w:t>
            </w:r>
          </w:p>
        </w:tc>
        <w:tc>
          <w:tcPr>
            <w:tcW w:w="100" w:type="dxa"/>
            <w:vAlign w:val="bottom"/>
            <w:tcBorders>
              <w:top w:val="single" w:sz="8" w:color="CFF0FC"/>
            </w:tcBorders>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6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-591185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-282575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-264795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of $519 and $2,825 for the three months ended December 31, 2024 and 2023, respectively.</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impact for the three months ended December 31, 2024 and 2023.</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160" w:type="dxa"/>
            <w:vAlign w:val="bottom"/>
          </w:tcPr>
          <w:p>
            <w:pPr>
              <w:spacing w:after="0"/>
              <w:rPr>
                <w:sz w:val="11"/>
                <w:szCs w:val="11"/>
                <w:color w:val="auto"/>
              </w:rPr>
            </w:pPr>
          </w:p>
        </w:tc>
        <w:tc>
          <w:tcPr>
            <w:tcW w:w="1420" w:type="dxa"/>
            <w:vAlign w:val="bottom"/>
            <w:tcBorders>
              <w:bottom w:val="single" w:sz="8" w:color="auto"/>
            </w:tcBorders>
            <w:gridSpan w:val="5"/>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Amdocs</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Limited</w:t>
            </w:r>
          </w:p>
        </w:tc>
        <w:tc>
          <w:tcPr>
            <w:tcW w:w="140" w:type="dxa"/>
            <w:vAlign w:val="bottom"/>
          </w:tcPr>
          <w:p>
            <w:pPr>
              <w:spacing w:after="0"/>
              <w:rPr>
                <w:sz w:val="10"/>
                <w:szCs w:val="10"/>
                <w:color w:val="auto"/>
              </w:rPr>
            </w:pPr>
          </w:p>
        </w:tc>
        <w:tc>
          <w:tcPr>
            <w:tcW w:w="72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06"/>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80" w:type="dxa"/>
            <w:vAlign w:val="bottom"/>
          </w:tcPr>
          <w:p>
            <w:pPr>
              <w:spacing w:after="0"/>
              <w:rPr>
                <w:sz w:val="10"/>
                <w:szCs w:val="10"/>
                <w:color w:val="auto"/>
              </w:rPr>
            </w:pPr>
          </w:p>
        </w:tc>
        <w:tc>
          <w:tcPr>
            <w:tcW w:w="1020" w:type="dxa"/>
            <w:vAlign w:val="bottom"/>
            <w:gridSpan w:val="2"/>
          </w:tcPr>
          <w:p>
            <w:pPr>
              <w:jc w:val="center"/>
              <w:ind w:right="2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78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94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Shareholders’</w:t>
            </w:r>
          </w:p>
        </w:tc>
        <w:tc>
          <w:tcPr>
            <w:tcW w:w="86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20" w:type="dxa"/>
            <w:vAlign w:val="bottom"/>
          </w:tcPr>
          <w:p>
            <w:pPr>
              <w:spacing w:after="0"/>
              <w:rPr>
                <w:sz w:val="10"/>
                <w:szCs w:val="10"/>
                <w:color w:val="auto"/>
              </w:rPr>
            </w:pPr>
          </w:p>
        </w:tc>
        <w:tc>
          <w:tcPr>
            <w:tcW w:w="6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3160" w:type="dxa"/>
            <w:vAlign w:val="bottom"/>
          </w:tcPr>
          <w:p>
            <w:pPr>
              <w:spacing w:after="0"/>
              <w:rPr>
                <w:sz w:val="11"/>
                <w:szCs w:val="11"/>
                <w:color w:val="auto"/>
              </w:rPr>
            </w:pP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Loss (1)</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200" w:type="dxa"/>
            <w:vAlign w:val="bottom"/>
          </w:tcPr>
          <w:p>
            <w:pPr>
              <w:spacing w:after="0"/>
              <w:rPr>
                <w:sz w:val="11"/>
                <w:szCs w:val="11"/>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Interests (2)</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6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September 30, 2024</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112,891</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4,598</w:t>
            </w:r>
          </w:p>
        </w:tc>
        <w:tc>
          <w:tcPr>
            <w:tcW w:w="3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4,413,503</w:t>
            </w:r>
          </w:p>
        </w:tc>
        <w:tc>
          <w:tcPr>
            <w:tcW w:w="36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(7,784,434 )</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(4,410 )</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6,827,719</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3,456,976</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42,201</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3,499,177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840" w:type="dxa"/>
            <w:vAlign w:val="bottom"/>
            <w:gridSpan w:val="3"/>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151,133</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151,133</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719</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151,852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840" w:type="dxa"/>
            <w:vAlign w:val="bottom"/>
            <w:gridSpan w:val="3"/>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3,151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3,151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3,151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60" w:type="dxa"/>
            <w:vAlign w:val="bottom"/>
            <w:shd w:val="clear" w:color="auto" w:fill="CFF0FC"/>
          </w:tcPr>
          <w:p>
            <w:pPr>
              <w:ind w:left="120"/>
              <w:spacing w:after="0" w:line="115" w:lineRule="exact"/>
              <w:rPr>
                <w:sz w:val="20"/>
                <w:szCs w:val="20"/>
                <w:color w:val="auto"/>
              </w:rPr>
            </w:pPr>
            <w:r>
              <w:rPr>
                <w:rFonts w:ascii="Times New Roman" w:cs="Times New Roman" w:eastAsia="Times New Roman" w:hAnsi="Times New Roman"/>
                <w:sz w:val="11"/>
                <w:szCs w:val="11"/>
                <w:color w:val="auto"/>
              </w:rPr>
              <w:t>Comprehensive income</w:t>
            </w:r>
          </w:p>
        </w:tc>
        <w:tc>
          <w:tcPr>
            <w:tcW w:w="840" w:type="dxa"/>
            <w:vAlign w:val="bottom"/>
            <w:gridSpan w:val="3"/>
            <w:shd w:val="clear" w:color="auto" w:fill="CFF0FC"/>
          </w:tcPr>
          <w:p>
            <w:pPr>
              <w:jc w:val="right"/>
              <w:ind w:right="2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154,284</w:t>
            </w:r>
          </w:p>
        </w:tc>
        <w:tc>
          <w:tcPr>
            <w:tcW w:w="2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719</w:t>
            </w: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155,003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Employee stock options exercised</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8,167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20" w:type="dxa"/>
            <w:vAlign w:val="bottom"/>
            <w:gridSpan w:val="2"/>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8,169</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8,169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7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(1,661 )</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(144,483 )</w:t>
            </w: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(144,483 )</w:t>
            </w: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(144,483 )</w:t>
            </w: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dividends declared ($0.479 per ordinary share)</w:t>
            </w:r>
          </w:p>
        </w:tc>
        <w:tc>
          <w:tcPr>
            <w:tcW w:w="840" w:type="dxa"/>
            <w:vAlign w:val="bottom"/>
            <w:gridSpan w:val="3"/>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20" w:type="dxa"/>
            <w:vAlign w:val="bottom"/>
            <w:gridSpan w:val="2"/>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(53,729 )</w:t>
            </w:r>
          </w:p>
        </w:tc>
        <w:tc>
          <w:tcPr>
            <w:tcW w:w="12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(53,729 )</w:t>
            </w:r>
          </w:p>
        </w:tc>
        <w:tc>
          <w:tcPr>
            <w:tcW w:w="14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(53,729 )</w:t>
            </w: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549</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Employee share purchase plan</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16,516</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20" w:type="dxa"/>
            <w:vAlign w:val="bottom"/>
            <w:gridSpan w:val="2"/>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16,519</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16,519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840" w:type="dxa"/>
            <w:vAlign w:val="bottom"/>
            <w:gridSpan w:val="3"/>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26,520</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26,520</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26,520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Distribution to noncontrolling interests (2)</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(1,323 )</w:t>
            </w:r>
          </w:p>
        </w:tc>
        <w:tc>
          <w:tcPr>
            <w:tcW w:w="120" w:type="dxa"/>
            <w:vAlign w:val="bottom"/>
          </w:tcPr>
          <w:p>
            <w:pPr>
              <w:spacing w:after="0"/>
              <w:rPr>
                <w:sz w:val="10"/>
                <w:szCs w:val="10"/>
                <w:color w:val="auto"/>
              </w:rPr>
            </w:pPr>
          </w:p>
        </w:tc>
        <w:tc>
          <w:tcPr>
            <w:tcW w:w="6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(1,323 )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16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112,163</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4,610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4,464,706</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(7,928,917 )</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(1,259 )</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6,925,123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3,464,263</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41,597</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3,505,860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tcPr>
          <w:p>
            <w:pPr>
              <w:spacing w:after="0"/>
              <w:rPr>
                <w:sz w:val="19"/>
                <w:szCs w:val="19"/>
                <w:color w:val="auto"/>
              </w:rPr>
            </w:pPr>
          </w:p>
        </w:tc>
        <w:tc>
          <w:tcPr>
            <w:tcW w:w="1420" w:type="dxa"/>
            <w:vAlign w:val="bottom"/>
            <w:tcBorders>
              <w:bottom w:val="single" w:sz="8" w:color="auto"/>
            </w:tcBorders>
            <w:gridSpan w:val="5"/>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3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Amdocs</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Limited</w:t>
            </w:r>
          </w:p>
        </w:tc>
        <w:tc>
          <w:tcPr>
            <w:tcW w:w="140" w:type="dxa"/>
            <w:vAlign w:val="bottom"/>
          </w:tcPr>
          <w:p>
            <w:pPr>
              <w:spacing w:after="0"/>
              <w:rPr>
                <w:sz w:val="10"/>
                <w:szCs w:val="10"/>
                <w:color w:val="auto"/>
              </w:rPr>
            </w:pPr>
          </w:p>
        </w:tc>
        <w:tc>
          <w:tcPr>
            <w:tcW w:w="72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06"/>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80" w:type="dxa"/>
            <w:vAlign w:val="bottom"/>
          </w:tcPr>
          <w:p>
            <w:pPr>
              <w:spacing w:after="0"/>
              <w:rPr>
                <w:sz w:val="10"/>
                <w:szCs w:val="10"/>
                <w:color w:val="auto"/>
              </w:rPr>
            </w:pPr>
          </w:p>
        </w:tc>
        <w:tc>
          <w:tcPr>
            <w:tcW w:w="1020" w:type="dxa"/>
            <w:vAlign w:val="bottom"/>
            <w:gridSpan w:val="2"/>
          </w:tcPr>
          <w:p>
            <w:pPr>
              <w:jc w:val="center"/>
              <w:ind w:right="2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78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94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Shareholders’</w:t>
            </w:r>
          </w:p>
        </w:tc>
        <w:tc>
          <w:tcPr>
            <w:tcW w:w="86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20" w:type="dxa"/>
            <w:vAlign w:val="bottom"/>
          </w:tcPr>
          <w:p>
            <w:pPr>
              <w:spacing w:after="0"/>
              <w:rPr>
                <w:sz w:val="10"/>
                <w:szCs w:val="10"/>
                <w:color w:val="auto"/>
              </w:rPr>
            </w:pPr>
          </w:p>
        </w:tc>
        <w:tc>
          <w:tcPr>
            <w:tcW w:w="6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3160" w:type="dxa"/>
            <w:vAlign w:val="bottom"/>
          </w:tcPr>
          <w:p>
            <w:pPr>
              <w:spacing w:after="0"/>
              <w:rPr>
                <w:sz w:val="11"/>
                <w:szCs w:val="11"/>
                <w:color w:val="auto"/>
              </w:rPr>
            </w:pP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(Loss) (1)</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200" w:type="dxa"/>
            <w:vAlign w:val="bottom"/>
          </w:tcPr>
          <w:p>
            <w:pPr>
              <w:spacing w:after="0"/>
              <w:rPr>
                <w:sz w:val="11"/>
                <w:szCs w:val="11"/>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Interests (2)</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16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September 30, 2023</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117,348</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4,571</w:t>
            </w:r>
          </w:p>
        </w:tc>
        <w:tc>
          <w:tcPr>
            <w:tcW w:w="3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4,244,256</w:t>
            </w:r>
          </w:p>
        </w:tc>
        <w:tc>
          <w:tcPr>
            <w:tcW w:w="36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(7,221,313 )</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FF0FC"/>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(53,272 )</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6,549,517</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3,523,759</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43,173</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3,566,932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12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840" w:type="dxa"/>
            <w:vAlign w:val="bottom"/>
            <w:gridSpan w:val="3"/>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147,965</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147,965</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757</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148,722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840" w:type="dxa"/>
            <w:vAlign w:val="bottom"/>
            <w:gridSpan w:val="3"/>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46,820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46,820</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46,820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60" w:type="dxa"/>
            <w:vAlign w:val="bottom"/>
            <w:shd w:val="clear" w:color="auto" w:fill="CFF0FC"/>
          </w:tcPr>
          <w:p>
            <w:pPr>
              <w:ind w:left="120"/>
              <w:spacing w:after="0" w:line="115" w:lineRule="exact"/>
              <w:rPr>
                <w:sz w:val="20"/>
                <w:szCs w:val="20"/>
                <w:color w:val="auto"/>
              </w:rPr>
            </w:pPr>
            <w:r>
              <w:rPr>
                <w:rFonts w:ascii="Times New Roman" w:cs="Times New Roman" w:eastAsia="Times New Roman" w:hAnsi="Times New Roman"/>
                <w:sz w:val="11"/>
                <w:szCs w:val="11"/>
                <w:color w:val="auto"/>
              </w:rPr>
              <w:t>Comprehensive income</w:t>
            </w: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194,785</w:t>
            </w:r>
          </w:p>
        </w:tc>
        <w:tc>
          <w:tcPr>
            <w:tcW w:w="2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757</w:t>
            </w: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195,542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Employee stock options exercised</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4,349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20" w:type="dxa"/>
            <w:vAlign w:val="bottom"/>
            <w:gridSpan w:val="2"/>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4,350</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7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(1,895 )</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(158,525 )</w:t>
            </w: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(158,525 )</w:t>
            </w: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(158,525 )</w:t>
            </w:r>
          </w:p>
        </w:tc>
        <w:tc>
          <w:tcPr>
            <w:tcW w:w="0" w:type="dxa"/>
            <w:vAlign w:val="bottom"/>
          </w:tcPr>
          <w:p>
            <w:pPr>
              <w:spacing w:after="0"/>
              <w:rPr>
                <w:sz w:val="1"/>
                <w:szCs w:val="1"/>
                <w:color w:val="auto"/>
              </w:rPr>
            </w:pPr>
          </w:p>
        </w:tc>
      </w:tr>
      <w:tr>
        <w:trPr>
          <w:trHeight w:val="122"/>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Cash dividends declared ($0.435 per ordinary share)</w:t>
            </w:r>
          </w:p>
        </w:tc>
        <w:tc>
          <w:tcPr>
            <w:tcW w:w="840" w:type="dxa"/>
            <w:vAlign w:val="bottom"/>
            <w:gridSpan w:val="3"/>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20" w:type="dxa"/>
            <w:vAlign w:val="bottom"/>
            <w:gridSpan w:val="2"/>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(50,683 )</w:t>
            </w:r>
          </w:p>
        </w:tc>
        <w:tc>
          <w:tcPr>
            <w:tcW w:w="12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(50,683 )</w:t>
            </w:r>
          </w:p>
        </w:tc>
        <w:tc>
          <w:tcPr>
            <w:tcW w:w="14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(50,683 )</w:t>
            </w: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Employee share purchase plan</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19,967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20" w:type="dxa"/>
            <w:vAlign w:val="bottom"/>
            <w:gridSpan w:val="2"/>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19,970</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19,970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840" w:type="dxa"/>
            <w:vAlign w:val="bottom"/>
            <w:gridSpan w:val="3"/>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26,080</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26,080</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26,080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Distribution to noncontrolling interests (2)</w:t>
            </w:r>
          </w:p>
        </w:tc>
        <w:tc>
          <w:tcPr>
            <w:tcW w:w="840" w:type="dxa"/>
            <w:vAlign w:val="bottom"/>
            <w:gridSpan w:val="3"/>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1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20" w:type="dxa"/>
            <w:vAlign w:val="bottom"/>
            <w:gridSpan w:val="2"/>
          </w:tcPr>
          <w:p>
            <w:pPr>
              <w:jc w:val="right"/>
              <w:ind w:right="1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(1,322 )</w:t>
            </w:r>
          </w:p>
        </w:tc>
        <w:tc>
          <w:tcPr>
            <w:tcW w:w="120" w:type="dxa"/>
            <w:vAlign w:val="bottom"/>
          </w:tcPr>
          <w:p>
            <w:pPr>
              <w:spacing w:after="0"/>
              <w:rPr>
                <w:sz w:val="10"/>
                <w:szCs w:val="10"/>
                <w:color w:val="auto"/>
              </w:rPr>
            </w:pPr>
          </w:p>
        </w:tc>
        <w:tc>
          <w:tcPr>
            <w:tcW w:w="6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(1,322 )</w:t>
            </w:r>
          </w:p>
        </w:tc>
        <w:tc>
          <w:tcPr>
            <w:tcW w:w="0" w:type="dxa"/>
            <w:vAlign w:val="bottom"/>
          </w:tcPr>
          <w:p>
            <w:pPr>
              <w:spacing w:after="0"/>
              <w:rPr>
                <w:sz w:val="1"/>
                <w:szCs w:val="1"/>
                <w:color w:val="auto"/>
              </w:rPr>
            </w:pPr>
          </w:p>
        </w:tc>
      </w:tr>
      <w:tr>
        <w:trPr>
          <w:trHeight w:val="115"/>
        </w:trPr>
        <w:tc>
          <w:tcPr>
            <w:tcW w:w="316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   116,502</w:t>
            </w:r>
          </w:p>
        </w:tc>
        <w:tc>
          <w:tcPr>
            <w:tcW w:w="1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4,584</w:t>
            </w:r>
          </w:p>
        </w:tc>
        <w:tc>
          <w:tcPr>
            <w:tcW w:w="2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4,294,652</w:t>
            </w:r>
          </w:p>
        </w:tc>
        <w:tc>
          <w:tcPr>
            <w:tcW w:w="2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(7,379,838</w:t>
            </w:r>
          </w:p>
        </w:tc>
        <w:tc>
          <w:tcPr>
            <w:tcW w:w="220" w:type="dxa"/>
            <w:vAlign w:val="bottom"/>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(6,452</w:t>
            </w:r>
          </w:p>
        </w:tc>
        <w:tc>
          <w:tcPr>
            <w:tcW w:w="220" w:type="dxa"/>
            <w:vAlign w:val="bottom"/>
          </w:tcPr>
          <w:p>
            <w:pPr>
              <w:jc w:val="right"/>
              <w:ind w:right="10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6,646,799</w:t>
            </w:r>
          </w:p>
        </w:tc>
        <w:tc>
          <w:tcPr>
            <w:tcW w:w="2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3,559,745</w:t>
            </w:r>
          </w:p>
        </w:tc>
        <w:tc>
          <w:tcPr>
            <w:tcW w:w="20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42,608</w:t>
            </w:r>
          </w:p>
        </w:tc>
        <w:tc>
          <w:tcPr>
            <w:tcW w:w="2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3,602,353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-1610995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-1593850</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-1610995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-1593850</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-1610995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-1593850</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-1610995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-1593850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-1610995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-1593850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-1610995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-1593850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-1610995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-1593850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-1610995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-1593850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33" w:lineRule="exact"/>
        <w:rPr>
          <w:sz w:val="20"/>
          <w:szCs w:val="20"/>
          <w:color w:val="auto"/>
        </w:rPr>
      </w:pPr>
    </w:p>
    <w:p>
      <w:pPr>
        <w:ind w:left="380" w:hanging="372"/>
        <w:spacing w:after="0" w:line="253" w:lineRule="auto"/>
        <w:tabs>
          <w:tab w:leader="none" w:pos="380" w:val="left"/>
        </w:tabs>
        <w:numPr>
          <w:ilvl w:val="0"/>
          <w:numId w:val="3"/>
        </w:numPr>
        <w:rPr>
          <w:rFonts w:ascii="Times New Roman" w:cs="Times New Roman" w:eastAsia="Times New Roman" w:hAnsi="Times New Roman"/>
          <w:sz w:val="15"/>
          <w:szCs w:val="15"/>
          <w:color w:val="404040"/>
        </w:rPr>
      </w:pPr>
      <w:r>
        <w:rPr>
          <w:rFonts w:ascii="Times New Roman" w:cs="Times New Roman" w:eastAsia="Times New Roman" w:hAnsi="Times New Roman"/>
          <w:sz w:val="15"/>
          <w:szCs w:val="15"/>
          <w:color w:val="404040"/>
        </w:rPr>
        <w:t xml:space="preserve">As of December 31, 2024 and 2023, accumulated other comprehensive loss </w:t>
      </w:r>
      <w:r>
        <w:rPr>
          <w:rFonts w:ascii="Times New Roman" w:cs="Times New Roman" w:eastAsia="Times New Roman" w:hAnsi="Times New Roman"/>
          <w:sz w:val="15"/>
          <w:szCs w:val="15"/>
          <w:color w:val="000000"/>
        </w:rPr>
        <w:t>is comprised of unrealized gain on derivatives, net of tax, of $5,231 and $7,469 unrealized loss on</w:t>
      </w:r>
      <w:r>
        <w:rPr>
          <w:rFonts w:ascii="Times New Roman" w:cs="Times New Roman" w:eastAsia="Times New Roman" w:hAnsi="Times New Roman"/>
          <w:sz w:val="15"/>
          <w:szCs w:val="15"/>
          <w:color w:val="404040"/>
        </w:rPr>
        <w:t xml:space="preserve"> </w:t>
      </w:r>
      <w:r>
        <w:rPr>
          <w:rFonts w:ascii="Times New Roman" w:cs="Times New Roman" w:eastAsia="Times New Roman" w:hAnsi="Times New Roman"/>
          <w:sz w:val="15"/>
          <w:szCs w:val="15"/>
          <w:color w:val="000000"/>
        </w:rPr>
        <w:t>short-term interest-bearing investments, net of tax, of $(4,281) and $(11,529), and unrealized loss on defined benefit plan, net of tax, of $(2,209) and $(2,392), respectively.</w:t>
      </w:r>
    </w:p>
    <w:p>
      <w:pPr>
        <w:ind w:left="380" w:hanging="372"/>
        <w:spacing w:after="0" w:line="261" w:lineRule="auto"/>
        <w:tabs>
          <w:tab w:leader="none" w:pos="3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Starting fiscal year 2023, the Company distributes earnings to the noncontrolling interests, for further details please refer to Note 2, “A summary of Significant Accounting Policies, ” in the Company’s Annual Report on Form 20-F for the fiscal year 2024.</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200"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151,852</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148,722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(6,683 )</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short-term interest-bearing investments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amounts acquired: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(66,657 )</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(14,787 )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(7,925 )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(10,538 )</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Lease assets and liabilities, net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(2,329 )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(5,340 )</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accrued expenses and accrued personnel</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(50,837 )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95,787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(25,930 )</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 net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(5,129 )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(18,066 )</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(43,973 )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(5,998 )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105,555</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182,387</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net (a)</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(27,355 )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(43,743 )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 of short-term interest-bearing investments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paid for business acquisitions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(57,083 )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(77,329 )</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equity investments and other</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(34,729 )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(111,610 )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(144,483 )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(158,525 )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option exercises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dividends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(54,081 )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(51,053 )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(1,323 )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(1,322 )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 and deferred payment of business acquisitions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(7,599 )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(1,500 )</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(203,078 )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(207,972 )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(132,252 )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(137,195 )</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346,085</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213,833</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382,885</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taxes, net of refunds (b)</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51,255</w:t>
            </w:r>
          </w:p>
        </w:tc>
        <w:tc>
          <w:tcPr>
            <w:tcW w:w="100" w:type="dxa"/>
            <w:vAlign w:val="bottom"/>
            <w:shd w:val="clear" w:color="auto" w:fill="CFF0FC"/>
          </w:tcPr>
          <w:p>
            <w:pPr>
              <w:spacing w:after="0"/>
              <w:rPr>
                <w:sz w:val="18"/>
                <w:szCs w:val="18"/>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-3011170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-3011170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-2153920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-2153920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-1014095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-1014095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-730885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9512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37" w:lineRule="exact"/>
        <w:rPr>
          <w:sz w:val="20"/>
          <w:szCs w:val="20"/>
          <w:color w:val="auto"/>
        </w:rPr>
      </w:pPr>
    </w:p>
    <w:p>
      <w:pPr>
        <w:ind w:left="1020" w:right="20" w:hanging="503"/>
        <w:spacing w:after="0" w:line="269"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under "Purchase of property and equipment, net”, include immaterial proceeds from sale of property and equipment for the three months ended December 31, 2024, and 2023, respectively.</w:t>
      </w: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Further details, </w:t>
      </w:r>
      <w:r>
        <w:rPr>
          <w:rFonts w:ascii="Times New Roman" w:cs="Times New Roman" w:eastAsia="Times New Roman" w:hAnsi="Times New Roman"/>
          <w:sz w:val="17"/>
          <w:szCs w:val="17"/>
          <w:color w:val="auto"/>
        </w:rPr>
        <w:t>see also Note 10.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378"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Entity and Basis of Presentation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Amdocs Limited (the “Company”) is a leading provider of software and services to communications, entertainment and media service providers of all sizes throughout the world. The Company and its consolidated subsidiaries operate in one segment and design, develop, market, support, implement and operate its open and modular cloud portfolio.</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of the Company have been prepared in accordance with U.S. generally accepted accounting principles, or GAAP and are denominated in U.S. dollars.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2024, set forth in the Company’s Annual Report on Form 20-F filed on December 17, 2024 with the U.S. Securities and Exchange Commission, or the SEC. There have been no material changes to the Company’s significant accounting policies from its Annual Report on Form 20-F for the fiscal year ended September 30,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certain immaterial amounts in prior year financial statements may be reclassified to conform to the current year presentation.</w:t>
      </w:r>
    </w:p>
    <w:p>
      <w:pPr>
        <w:spacing w:after="0" w:line="181"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Standards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No. 2024-03,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Statement-Reporting Comprehensive Income-Expense Disaggregation Disclosures", </w:t>
      </w:r>
      <w:r>
        <w:rPr>
          <w:rFonts w:ascii="Times New Roman" w:cs="Times New Roman" w:eastAsia="Times New Roman" w:hAnsi="Times New Roman"/>
          <w:sz w:val="18"/>
          <w:szCs w:val="18"/>
          <w:color w:val="auto"/>
        </w:rPr>
        <w:t>to disclose in the notes of the financial statements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specific expense categories. This ASU will be effective for the Company's annual report for fiscal year 2028 and for interim period reporting beginning in fiscal year 2029, with early adoption permitted and should be applied either prospectively or retroactively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is currently evaluating the impact of the adoption on its consolidated financial statements.</w:t>
      </w:r>
    </w:p>
    <w:p>
      <w:pPr>
        <w:spacing w:after="0" w:line="1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requires disclosure of disaggregated income taxes paid, prescribes standard categories for the components of the effective tax rate reconciliation, and modifies other income tax-related disclosures. This ASU will be effective for the Company's annual report for fiscal year 2026 and allows adoption on a prospective basis, with a retrospective option. This ASU will only have an impact on the Company's income tax disclosures. The Company is currently evaluating the impact of the adoption on its consolidated financial statements.</w:t>
      </w:r>
    </w:p>
    <w:p>
      <w:pPr>
        <w:spacing w:after="0" w:line="14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which enhances the disclosures required for operating segments in the annual and interim consolidated financial statements. This ASU will be effective for the Company's annual report for fiscal year 2025 and for interim period reporting beginning in fiscal year 2026 on a retrospective basis with early adoption permitted. The Company is currently evaluating the impact of the adoption on its consolidated financial statements.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378"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December 31, 2024, the Company completed three business acquisitions for an aggregate net consideration of approximately $59,000 in cash, and a potential for additional consideration which may be paid later based on achievement of certain performance metrics. The majority of this amount was paid for the acquisition of Profinit, a data science and engineering company. These acquisitions, individually and in the aggregate, were not material in the period presented. In allocating the total consideration based on the preliminary estimated fair values for Profinit, the Company recorded $24,559 of goodwill, and $18,439 of customer relationships to be amortized over approximately five years.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2023, the Company completed the acquisition of Astadia, which specializes in mainframe-to-cloud migration and modernization, for an aggregate net consideration of approximately $75,000 in cash, and a potential for additional consideration which may be paid later based on achievement of certain performance metrics. This acquisition was not material in the period presented. In allocating the total consideration based on the preliminary estimated fair values for Astadia, the Company recorded $88,845 of goodwill, $27,677 of customer relationships to be amortized over approximately six years, $8,001 of core technology to be amortized over approximately four years, and $1,784 of trademark to be amortized over approximately three years.</w:t>
      </w:r>
    </w:p>
    <w:p>
      <w:pPr>
        <w:spacing w:after="0" w:line="200" w:lineRule="exact"/>
        <w:rPr>
          <w:sz w:val="20"/>
          <w:szCs w:val="20"/>
          <w:color w:val="auto"/>
        </w:rPr>
      </w:pPr>
    </w:p>
    <w:p>
      <w:pPr>
        <w:spacing w:after="0" w:line="388"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both billed and unbilled and deferred revenue:</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0"/>
                <w:szCs w:val="10"/>
                <w:color w:val="auto"/>
              </w:rPr>
            </w:pPr>
          </w:p>
        </w:tc>
        <w:tc>
          <w:tcPr>
            <w:tcW w:w="124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6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1"/>
        </w:trPr>
        <w:tc>
          <w:tcPr>
            <w:tcW w:w="69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 billed net of allowance for credit losses of $42,367 and $32,638 as of</w:t>
            </w: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2024 and September 30, 2024, respectively)</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628,970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665,740</w:t>
            </w:r>
          </w:p>
        </w:tc>
        <w:tc>
          <w:tcPr>
            <w:tcW w:w="100" w:type="dxa"/>
            <w:vAlign w:val="bottom"/>
            <w:shd w:val="clear" w:color="auto" w:fill="CFF0FC"/>
          </w:tcPr>
          <w:p>
            <w:pPr>
              <w:spacing w:after="0"/>
              <w:rPr>
                <w:sz w:val="20"/>
                <w:szCs w:val="20"/>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unbilled (current)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361,889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362,617</w:t>
            </w:r>
          </w:p>
        </w:tc>
        <w:tc>
          <w:tcPr>
            <w:tcW w:w="10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unbilled (non-current)</w:t>
            </w: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110,131</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 unbilled</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437,667</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(116,114 )</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(115,247 )</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(836 )</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(836 )</w:t>
            </w: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(116,950 )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(116,083 )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-565150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-565150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Revenue recognized during the three months ended December 31, 2024, which was included in deferred revenue (current) as of September 30, 2024 was $69,044. Revenue recognized during the three months ended December 31, 2023, which was included in deferred revenue (current) as of September 30, 2023 was $116,112.</w:t>
      </w:r>
    </w:p>
    <w:p>
      <w:pPr>
        <w:spacing w:after="0" w:line="14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aggregate amount of the transaction price allocated to remaining performance obligations that are unsatisfied or partially unsatisfied was approximately $5.8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information that is regularly reviewed by its chief operating decision makers in evaluating financial performance to disaggregate revenue.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provide details of revenue by nature of activities and by geography:</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by nature of activities</w:t>
      </w:r>
    </w:p>
    <w:p>
      <w:pPr>
        <w:spacing w:after="0" w:line="223"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-3175</wp:posOffset>
            </wp:positionV>
            <wp:extent cx="21685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Managed services arrangements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728,855</w:t>
            </w:r>
          </w:p>
        </w:tc>
        <w:tc>
          <w:tcPr>
            <w:tcW w:w="8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722,459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381,200</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522,740</w:t>
            </w:r>
          </w:p>
        </w:tc>
        <w:tc>
          <w:tcPr>
            <w:tcW w:w="100" w:type="dxa"/>
            <w:vAlign w:val="bottom"/>
          </w:tcPr>
          <w:p>
            <w:pPr>
              <w:spacing w:after="0"/>
              <w:rPr>
                <w:sz w:val="18"/>
                <w:szCs w:val="18"/>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1,110,055</w:t>
            </w:r>
          </w:p>
        </w:tc>
        <w:tc>
          <w:tcPr>
            <w:tcW w:w="8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1,245,199</w:t>
            </w:r>
          </w:p>
        </w:tc>
        <w:tc>
          <w:tcPr>
            <w:tcW w:w="100" w:type="dxa"/>
            <w:vAlign w:val="bottom"/>
            <w:shd w:val="clear" w:color="auto" w:fill="CFF0FC"/>
          </w:tcPr>
          <w:p>
            <w:pPr>
              <w:spacing w:after="0"/>
              <w:rPr>
                <w:sz w:val="21"/>
                <w:szCs w:val="21"/>
                <w:color w:val="auto"/>
              </w:rPr>
            </w:pPr>
          </w:p>
        </w:tc>
      </w:tr>
      <w:tr>
        <w:trPr>
          <w:trHeight w:val="413"/>
        </w:trPr>
        <w:tc>
          <w:tcPr>
            <w:tcW w:w="772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40"/>
        </w:trPr>
        <w:tc>
          <w:tcPr>
            <w:tcW w:w="7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737,396</w:t>
            </w:r>
          </w:p>
        </w:tc>
        <w:tc>
          <w:tcPr>
            <w:tcW w:w="8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838,135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155,232</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181,420</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217,427</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1,110,055</w:t>
            </w: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1,245,199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-1319530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-1302385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3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63" w:lineRule="exact"/>
        <w:rPr>
          <w:sz w:val="20"/>
          <w:szCs w:val="20"/>
          <w:color w:val="auto"/>
        </w:rPr>
      </w:pPr>
    </w:p>
    <w:p>
      <w:pPr>
        <w:jc w:val="both"/>
        <w:ind w:left="2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inputs other than quoted prices included in Level 1, such as quoted prices for similar assets or liabilities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that is significant to the fair value of the assets or liabilities.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assets and liabilities measured at fair value on a recurring basis as of December 31, 2024 and September 30, 2024:</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 December 31,2024</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106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82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68,779</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77,361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77,361</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35,718</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Pr>
          <w:p>
            <w:pPr>
              <w:spacing w:after="0"/>
              <w:rPr>
                <w:sz w:val="18"/>
                <w:szCs w:val="18"/>
                <w:color w:val="auto"/>
              </w:rPr>
            </w:pPr>
          </w:p>
        </w:tc>
      </w:tr>
      <w:tr>
        <w:trPr>
          <w:trHeight w:val="216"/>
        </w:trPr>
        <w:tc>
          <w:tcPr>
            <w:tcW w:w="52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Asset backed obligations</w:t>
            </w: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104,497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99,457</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203,954</w:t>
            </w:r>
          </w:p>
        </w:tc>
        <w:tc>
          <w:tcPr>
            <w:tcW w:w="100" w:type="dxa"/>
            <w:vAlign w:val="bottom"/>
          </w:tcPr>
          <w:p>
            <w:pPr>
              <w:spacing w:after="0"/>
              <w:rPr>
                <w:sz w:val="18"/>
                <w:szCs w:val="18"/>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32,718</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Acquisition-related liabilities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(48,358 )</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(48,358 )</w:t>
            </w:r>
          </w:p>
        </w:tc>
      </w:tr>
      <w:tr>
        <w:trPr>
          <w:trHeight w:val="20"/>
        </w:trPr>
        <w:tc>
          <w:tcPr>
            <w:tcW w:w="5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104,497</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113,845</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(15,640 )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202,702</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106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82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108,420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108,420</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35,533</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Pr>
          <w:p>
            <w:pPr>
              <w:spacing w:after="0"/>
              <w:rPr>
                <w:sz w:val="18"/>
                <w:szCs w:val="18"/>
                <w:color w:val="auto"/>
              </w:rPr>
            </w:pPr>
          </w:p>
        </w:tc>
      </w:tr>
      <w:tr>
        <w:trPr>
          <w:trHeight w:val="216"/>
        </w:trPr>
        <w:tc>
          <w:tcPr>
            <w:tcW w:w="52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Asset backed obligations</w:t>
            </w: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178,453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132,709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311,162</w:t>
            </w:r>
          </w:p>
        </w:tc>
        <w:tc>
          <w:tcPr>
            <w:tcW w:w="100" w:type="dxa"/>
            <w:vAlign w:val="bottom"/>
          </w:tcPr>
          <w:p>
            <w:pPr>
              <w:spacing w:after="0"/>
              <w:rPr>
                <w:sz w:val="18"/>
                <w:szCs w:val="18"/>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42,190</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(6,380 )</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(6,380 )</w:t>
            </w: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Acquisition-related liabilities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(52,139 )</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(52,139 )</w:t>
            </w:r>
          </w:p>
        </w:tc>
      </w:tr>
      <w:tr>
        <w:trPr>
          <w:trHeight w:val="20"/>
        </w:trPr>
        <w:tc>
          <w:tcPr>
            <w:tcW w:w="5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178,453</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126,329</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(9,949 )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294,833</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-2776855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-2776855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-2776855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-2776855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-2211070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-2211070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-2211070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-2211070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-736600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-736600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-736600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-736600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months ended December 31, 2024. Level 3 liabilities relate to certain acquisition-related liabilities, which were generally valued using a Monte-Carlo simulation model and based on estimates of potential pay-out scenarios, valued every quarter. These liabilities were included in both accrued expenses and other current liabilities and other noncurrent liabilities as of December 31, 2024 and September 30, 2024. The decrease in Level 3 liabilities was primarily attributable to changes in the fair value recorded in the consolidated statement of income during the three months ended December 31, 2024, payments of certain acquisition-related liabilities, which were partially offset by new acquisition-related liabilities recorded against goodwill in connection with recent acquisitions. The decrease in Level 3 assets is primarily due to the sale of an equity investment and, to a lesser extent, changes in fair value recorded in the consolidated statement of income for the three months ended December 31, 2024.</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expenses and other current liabilities, accrued personnel costs approximate their fair value because of the relatively short maturity of these items, for the fair value of the Senior Notes, see Note 13.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Securities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Available-for-sale securities consist of the following interest-bearing investments: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As of December 31,2024</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920" w:type="dxa"/>
            <w:vAlign w:val="bottom"/>
          </w:tcPr>
          <w:p>
            <w:pPr>
              <w:jc w:val="center"/>
              <w:ind w:left="16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left="14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68,779</w:t>
            </w:r>
          </w:p>
        </w:tc>
        <w:tc>
          <w:tcPr>
            <w:tcW w:w="1140" w:type="dxa"/>
            <w:vAlign w:val="bottom"/>
            <w:gridSpan w:val="2"/>
            <w:shd w:val="clear" w:color="auto" w:fill="CFF0FC"/>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79,524</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36,943</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17,436</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backed obligations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208,235</w:t>
            </w:r>
          </w:p>
        </w:tc>
        <w:tc>
          <w:tcPr>
            <w:tcW w:w="1140" w:type="dxa"/>
            <w:vAlign w:val="bottom"/>
            <w:gridSpan w:val="2"/>
            <w:shd w:val="clear" w:color="auto" w:fill="CFF0FC"/>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920" w:type="dxa"/>
            <w:vAlign w:val="bottom"/>
            <w:tcBorders>
              <w:top w:val="single" w:sz="8" w:color="CFF0FC"/>
              <w:bottom w:val="single" w:sz="8" w:color="auto"/>
            </w:tcBorders>
          </w:tcPr>
          <w:p>
            <w:pPr>
              <w:spacing w:after="0"/>
              <w:rPr>
                <w:sz w:val="8"/>
                <w:szCs w:val="8"/>
                <w:color w:val="auto"/>
              </w:rPr>
            </w:pPr>
          </w:p>
        </w:tc>
        <w:tc>
          <w:tcPr>
            <w:tcW w:w="390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-111125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-93980</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-111125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-93980</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-111125</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-93980</wp:posOffset>
            </wp:positionV>
            <wp:extent cx="59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-111125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-93980</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 w:lineRule="exact"/>
        <w:rPr>
          <w:sz w:val="20"/>
          <w:szCs w:val="20"/>
          <w:color w:val="auto"/>
        </w:rPr>
      </w:pPr>
    </w:p>
    <w:p>
      <w:pPr>
        <w:jc w:val="both"/>
        <w:ind w:left="380" w:hanging="372"/>
        <w:spacing w:after="0" w:line="261"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December 31, 2024, $135,175 of securities were classified as short-term interest-bearing investments and $68,779 of securities were classified as cash and cash equivalents.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5"/>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0"/>
                <w:szCs w:val="10"/>
                <w:color w:val="auto"/>
              </w:rPr>
            </w:pPr>
          </w:p>
        </w:tc>
        <w:tc>
          <w:tcPr>
            <w:tcW w:w="1000" w:type="dxa"/>
            <w:vAlign w:val="bottom"/>
          </w:tcPr>
          <w:p>
            <w:pPr>
              <w:jc w:val="center"/>
              <w:ind w:left="16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left="16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000" w:type="dxa"/>
            <w:vAlign w:val="bottom"/>
            <w:tcBorders>
              <w:bottom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1240" w:type="dxa"/>
            <w:vAlign w:val="bottom"/>
            <w:gridSpan w:val="2"/>
            <w:shd w:val="clear" w:color="auto" w:fill="CFF0FC"/>
          </w:tcPr>
          <w:p>
            <w:pPr>
              <w:jc w:val="right"/>
              <w:ind w:right="82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111,351</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36,904</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backed obligations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316,400</w:t>
            </w:r>
          </w:p>
        </w:tc>
        <w:tc>
          <w:tcPr>
            <w:tcW w:w="1240" w:type="dxa"/>
            <w:vAlign w:val="bottom"/>
            <w:gridSpan w:val="2"/>
            <w:shd w:val="clear" w:color="auto" w:fill="CFF0FC"/>
          </w:tcPr>
          <w:p>
            <w:pPr>
              <w:jc w:val="right"/>
              <w:ind w:right="82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311,162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1500" w:type="dxa"/>
            <w:vAlign w:val="bottom"/>
            <w:tcBorders>
              <w:top w:val="single" w:sz="8" w:color="CFF0FC"/>
              <w:bottom w:val="single" w:sz="8" w:color="auto"/>
            </w:tcBorders>
          </w:tcPr>
          <w:p>
            <w:pPr>
              <w:spacing w:after="0"/>
              <w:rPr>
                <w:sz w:val="8"/>
                <w:szCs w:val="8"/>
                <w:color w:val="auto"/>
              </w:rPr>
            </w:pPr>
          </w:p>
        </w:tc>
        <w:tc>
          <w:tcPr>
            <w:tcW w:w="390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-110490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-93345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-110490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-93345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-110490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-93345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 w:lineRule="exact"/>
        <w:rPr>
          <w:sz w:val="20"/>
          <w:szCs w:val="20"/>
          <w:color w:val="auto"/>
        </w:rPr>
      </w:pPr>
    </w:p>
    <w:p>
      <w:pPr>
        <w:jc w:val="both"/>
        <w:ind w:left="380" w:hanging="372"/>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 bearing investments and available-for-sale securities with maturities of 90 days or less from the date of acquisition were included in cash and cash equivalents on the Company’s consolidated balance sheets. As of September 30, 2024, $168,242 of securities were classified as short-term interest-bearing investments and $142,920 of securities were classified as cash and cash equivalents.</w:t>
      </w:r>
    </w:p>
    <w:p>
      <w:pPr>
        <w:spacing w:after="0" w:line="13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2024, the immaterial unrealized losses attributable to the Company’s available-for-sale securities were primarily due to credit spreads and interest rate movements. The securities that have unrealized losses as of December 31, 2024 also had unrealized losses as of December 31, 2023. The Company assessed whether such unrealized losses for the investments in its portfolio were caused by expected credit losses. Based on this assessment, the Company did not recognize any credit losses in the three months ended December 31, 2024 and 2023. Realized gains and losses on short-term interest-bearing investments are included in earnings and are determined based on specific identification method. The Company does not intend to sell these investments. In addition, it is more likely than not that the Company will not be required to sell them before recovery of the amortized cost basis, which may be at maturity.</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the Company’s available-for-sale securities had the following maturity dates: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10"/>
        </w:trPr>
        <w:tc>
          <w:tcPr>
            <w:tcW w:w="2260" w:type="dxa"/>
            <w:vAlign w:val="bottom"/>
          </w:tcPr>
          <w:p>
            <w:pPr>
              <w:spacing w:after="0"/>
              <w:rPr>
                <w:sz w:val="18"/>
                <w:szCs w:val="18"/>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149,759</w:t>
            </w:r>
          </w:p>
        </w:tc>
        <w:tc>
          <w:tcPr>
            <w:tcW w:w="80" w:type="dxa"/>
            <w:vAlign w:val="bottom"/>
            <w:shd w:val="clear" w:color="auto" w:fill="CFF0FC"/>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1 to 2 years</w:t>
            </w:r>
          </w:p>
        </w:tc>
        <w:tc>
          <w:tcPr>
            <w:tcW w:w="29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54,195</w:t>
            </w:r>
          </w:p>
        </w:tc>
        <w:tc>
          <w:tcPr>
            <w:tcW w:w="80" w:type="dxa"/>
            <w:vAlign w:val="bottom"/>
            <w:tcBorders>
              <w:bottom w:val="single" w:sz="8" w:color="CFF0FC"/>
            </w:tcBorders>
          </w:tcPr>
          <w:p>
            <w:pPr>
              <w:spacing w:after="0"/>
              <w:rPr>
                <w:sz w:val="18"/>
                <w:szCs w:val="18"/>
                <w:color w:val="auto"/>
              </w:rPr>
            </w:pPr>
          </w:p>
        </w:tc>
        <w:tc>
          <w:tcPr>
            <w:tcW w:w="2240" w:type="dxa"/>
            <w:vAlign w:val="bottom"/>
          </w:tcPr>
          <w:p>
            <w:pPr>
              <w:spacing w:after="0"/>
              <w:rPr>
                <w:sz w:val="18"/>
                <w:szCs w:val="18"/>
                <w:color w:val="auto"/>
              </w:rPr>
            </w:pPr>
          </w:p>
        </w:tc>
      </w:tr>
      <w:tr>
        <w:trPr>
          <w:trHeight w:val="250"/>
        </w:trPr>
        <w:tc>
          <w:tcPr>
            <w:tcW w:w="2260" w:type="dxa"/>
            <w:vAlign w:val="bottom"/>
          </w:tcPr>
          <w:p>
            <w:pPr>
              <w:spacing w:after="0"/>
              <w:rPr>
                <w:sz w:val="21"/>
                <w:szCs w:val="21"/>
                <w:color w:val="auto"/>
              </w:rPr>
            </w:pPr>
          </w:p>
        </w:tc>
        <w:tc>
          <w:tcPr>
            <w:tcW w:w="2380" w:type="dxa"/>
            <w:vAlign w:val="bottom"/>
            <w:tcBorders>
              <w:bottom w:val="single" w:sz="8" w:color="CFF0FC"/>
            </w:tcBorders>
            <w:shd w:val="clear" w:color="auto" w:fill="CFF0FC"/>
          </w:tcPr>
          <w:p>
            <w:pPr>
              <w:spacing w:after="0"/>
              <w:rPr>
                <w:sz w:val="21"/>
                <w:szCs w:val="21"/>
                <w:color w:val="auto"/>
              </w:rPr>
            </w:pPr>
          </w:p>
        </w:tc>
        <w:tc>
          <w:tcPr>
            <w:tcW w:w="29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203,954</w:t>
            </w:r>
          </w:p>
        </w:tc>
        <w:tc>
          <w:tcPr>
            <w:tcW w:w="80" w:type="dxa"/>
            <w:vAlign w:val="bottom"/>
            <w:tcBorders>
              <w:bottom w:val="single" w:sz="8" w:color="CFF0FC"/>
            </w:tcBorders>
            <w:shd w:val="clear" w:color="auto" w:fill="CFF0FC"/>
          </w:tcPr>
          <w:p>
            <w:pPr>
              <w:spacing w:after="0"/>
              <w:rPr>
                <w:sz w:val="21"/>
                <w:szCs w:val="21"/>
                <w:color w:val="auto"/>
              </w:rPr>
            </w:pPr>
          </w:p>
        </w:tc>
        <w:tc>
          <w:tcPr>
            <w:tcW w:w="2240" w:type="dxa"/>
            <w:vAlign w:val="bottom"/>
          </w:tcPr>
          <w:p>
            <w:pPr>
              <w:spacing w:after="0"/>
              <w:rPr>
                <w:sz w:val="21"/>
                <w:szCs w:val="21"/>
                <w:color w:val="auto"/>
              </w:rPr>
            </w:pPr>
          </w:p>
        </w:tc>
      </w:tr>
      <w:tr>
        <w:trPr>
          <w:trHeight w:val="844"/>
        </w:trPr>
        <w:tc>
          <w:tcPr>
            <w:tcW w:w="2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94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-1070610</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-1053465</wp:posOffset>
            </wp:positionV>
            <wp:extent cx="51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-1216660</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20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$17,741 as of December 31, 2024. The Company has limited its credit risk by entering into derivative transactions exclusively with investment-grade rated financial institutions and monitors the creditworthiness of these financial institutions on an ongoing basis.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classifies cash flows from its derivative transactions as cash flows from operating activities in the consolidated statements of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table below presents the total volume or notional amounts of the Company’s derivative instruments as of December 31, 2024. Notional values are in U.S. dollars and are translated and calculated based on forward rates as of December 31, 2024 for forward contracts.</w:t>
      </w:r>
    </w:p>
    <w:p>
      <w:pPr>
        <w:spacing w:after="0" w:line="155"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4"/>
          <w:szCs w:val="14"/>
          <w:b w:val="1"/>
          <w:bCs w:val="1"/>
          <w:color w:val="auto"/>
        </w:rPr>
        <w:t>Notional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7620</wp:posOffset>
            </wp:positionV>
            <wp:extent cx="1200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220" w:val="left"/>
          <w:tab w:leader="none" w:pos="10360" w:val="left"/>
        </w:tabs>
        <w:rPr>
          <w:sz w:val="20"/>
          <w:szCs w:val="20"/>
          <w:color w:val="auto"/>
        </w:rPr>
      </w:pPr>
      <w:r>
        <w:rPr>
          <w:rFonts w:ascii="Times New Roman" w:cs="Times New Roman" w:eastAsia="Times New Roman" w:hAnsi="Times New Roman"/>
          <w:sz w:val="18"/>
          <w:szCs w:val="18"/>
          <w:color w:val="auto"/>
        </w:rPr>
        <w:t>Foreign exchange contracts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1,517,633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9512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8" w:lineRule="exact"/>
        <w:rPr>
          <w:sz w:val="20"/>
          <w:szCs w:val="20"/>
          <w:color w:val="auto"/>
        </w:rPr>
      </w:pPr>
    </w:p>
    <w:p>
      <w:pPr>
        <w:ind w:left="340" w:right="20" w:hanging="332"/>
        <w:spacing w:after="0" w:line="282" w:lineRule="auto"/>
        <w:tabs>
          <w:tab w:leader="none" w:pos="1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notional amounts do not quantify risk or represent assets or liabilities of the Company but are used in the calculation of settlements under the contracts.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all derivative instruments on the consolidated balance sheets at fair value. For further information, please see Note 5 to the consolidated financial statements. The fair value of the open foreign exchange contracts recorded as an asset or a liability by the Company on its consolidated balance sheets as of December 31, 2024 and September 30, 2024, is as follows: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0"/>
                <w:szCs w:val="10"/>
                <w:color w:val="auto"/>
              </w:rPr>
            </w:pPr>
          </w:p>
        </w:tc>
        <w:tc>
          <w:tcPr>
            <w:tcW w:w="1240" w:type="dxa"/>
            <w:vAlign w:val="bottom"/>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6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(2,386 )</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(4,093 )</w:t>
            </w: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(1,637 )</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(236 )</w:t>
            </w:r>
          </w:p>
        </w:tc>
      </w:tr>
      <w:tr>
        <w:trPr>
          <w:trHeight w:val="209"/>
        </w:trPr>
        <w:tc>
          <w:tcPr>
            <w:tcW w:w="69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Borders>
              <w:top w:val="single" w:sz="8" w:color="CFF0FC"/>
            </w:tcBorders>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(4,791 )</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(12,212 )</w:t>
            </w: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(110 )</w:t>
            </w: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(8,302 )</w:t>
            </w:r>
          </w:p>
        </w:tc>
      </w:tr>
      <w:tr>
        <w:trPr>
          <w:trHeight w:val="20"/>
        </w:trPr>
        <w:tc>
          <w:tcPr>
            <w:tcW w:w="6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fair value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(6,380 )</w:t>
            </w: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-1148080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-1148080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-316865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contracts outstanding as of December 31, 2024 is scheduled to mature within the next 12 months.</w:t>
      </w:r>
    </w:p>
    <w:p>
      <w:pPr>
        <w:sectPr>
          <w:pgSz w:w="11900" w:h="16838" w:orient="portrait"/>
          <w:cols w:equalWidth="0" w:num="1">
            <w:col w:w="11240"/>
          </w:cols>
          <w:pgMar w:left="320" w:top="765"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effective portion of the gain or loss on the derivative instruments is initially recorded as a component of other comprehensive income, net,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is recognized immediately in interest and other expense, net.</w:t>
      </w:r>
    </w:p>
    <w:p>
      <w:pPr>
        <w:spacing w:after="0" w:line="16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effect of the Company's cash flow hedging instruments in the consolidated statements of income for the three months ended December 31, 2024 and 2023, respectively, which partially offsets the foreign currency impact from the underlying exposures, is summarized as follows:</w:t>
      </w:r>
    </w:p>
    <w:p>
      <w:pPr>
        <w:spacing w:after="0" w:line="155"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(Losses) gains Reclassified from</w:t>
      </w:r>
    </w:p>
    <w:p>
      <w:pPr>
        <w:jc w:val="center"/>
        <w:ind w:left="7540"/>
        <w:spacing w:after="0" w:line="229" w:lineRule="auto"/>
        <w:rPr>
          <w:sz w:val="20"/>
          <w:szCs w:val="20"/>
          <w:color w:val="auto"/>
        </w:rPr>
      </w:pPr>
      <w:r>
        <w:rPr>
          <w:rFonts w:ascii="Times New Roman" w:cs="Times New Roman" w:eastAsia="Times New Roman" w:hAnsi="Times New Roman"/>
          <w:sz w:val="14"/>
          <w:szCs w:val="14"/>
          <w:b w:val="1"/>
          <w:bCs w:val="1"/>
          <w:color w:val="auto"/>
        </w:rPr>
        <w:t>Accumulated Other Comprehensive Loss (Effective</w:t>
      </w:r>
    </w:p>
    <w:p>
      <w:pPr>
        <w:jc w:val="center"/>
        <w:ind w:left="7580"/>
        <w:spacing w:after="0" w:line="221" w:lineRule="auto"/>
        <w:rPr>
          <w:sz w:val="20"/>
          <w:szCs w:val="20"/>
          <w:color w:val="auto"/>
        </w:rPr>
      </w:pPr>
      <w:r>
        <w:rPr>
          <w:rFonts w:ascii="Times New Roman" w:cs="Times New Roman" w:eastAsia="Times New Roman" w:hAnsi="Times New Roman"/>
          <w:sz w:val="14"/>
          <w:szCs w:val="14"/>
          <w:b w:val="1"/>
          <w:bCs w:val="1"/>
          <w:color w:val="auto"/>
        </w:rPr>
        <w:t>Portion)</w:t>
      </w:r>
    </w:p>
    <w:p>
      <w:pPr>
        <w:jc w:val="center"/>
        <w:ind w:left="7580"/>
        <w:spacing w:after="0" w:line="232" w:lineRule="auto"/>
        <w:rPr>
          <w:sz w:val="20"/>
          <w:szCs w:val="20"/>
          <w:color w:val="auto"/>
        </w:rPr>
      </w:pPr>
      <w:r>
        <w:rPr>
          <w:rFonts w:ascii="Times New Roman" w:cs="Times New Roman" w:eastAsia="Times New Roman" w:hAnsi="Times New Roman"/>
          <w:sz w:val="14"/>
          <w:szCs w:val="14"/>
          <w:b w:val="1"/>
          <w:bCs w:val="1"/>
          <w:color w:val="auto"/>
        </w:rPr>
        <w:t>Three months ended December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(6,130 )</w:t>
            </w: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(2,040 )</w:t>
            </w: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(2,096 )</w:t>
            </w:r>
          </w:p>
        </w:tc>
      </w:tr>
      <w:tr>
        <w:trPr>
          <w:trHeight w:val="20"/>
        </w:trPr>
        <w:tc>
          <w:tcPr>
            <w:tcW w:w="77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(1,031 )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(9,911 )</w:t>
            </w:r>
          </w:p>
        </w:tc>
      </w:tr>
      <w:tr>
        <w:trPr>
          <w:trHeight w:val="20"/>
        </w:trPr>
        <w:tc>
          <w:tcPr>
            <w:tcW w:w="7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activity related to the changes in net unrealized gain on cash flow hedges recorded in accumulated other comprehensive loss, net of tax,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04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2"/>
                <w:szCs w:val="12"/>
                <w:color w:val="auto"/>
              </w:rPr>
            </w:pPr>
          </w:p>
        </w:tc>
        <w:tc>
          <w:tcPr>
            <w:tcW w:w="12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cash flow hedges, net of tax, beginning of period</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24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(34,677 )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cash flow hedges, net of tax</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32,854</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Reclassification of net losses into earnings, net of tax</w:t>
            </w: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on cash flow hedges, net of tax, end of period</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2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Net gains from cash flow hedges recognized in other comprehensive income were $1,682 and $35,060, or $1,163 and $32,854 net of taxes, during the three months ended December 31, 2024 and 2023, respectively.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Of the net unrealized gain related to derivatives designated as cash flow hedges and recorded in accumulated other comprehensive loss as of December 31, 2024, a net gain of $3,457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ineffective portion of the change in fair value of a cash flow hedge, including the time value portion excluded from effectiveness testing for the three months ended December 31, 2024 and 2023, was not material.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 Management Derivatives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These instruments are generally short-term in nature, with typical maturities of less than 12 months, and are subject to fluctuations in foreign exchange rates.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The effect of the Company's derivative instruments not designated as hedging instruments in the consolidated statements of income for the three months ended December 31, 2024 and 2023, respectively, which partially offsets the foreign currency impact from the underlying exposure, is summarized as follows:</w:t>
      </w:r>
    </w:p>
    <w:p>
      <w:pPr>
        <w:spacing w:after="0" w:line="16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Gains (Losses) Recognized in Income</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bl>
      <w:tblPr>
        <w:tblLayout w:type="fixed"/>
        <w:tblInd w:w="0" w:type="dxa"/>
        <w:tblCellMar>
          <w:top w:w="0" w:type="dxa"/>
          <w:left w:w="0" w:type="dxa"/>
          <w:bottom w:w="0" w:type="dxa"/>
          <w:right w:w="0" w:type="dxa"/>
        </w:tblCellMar>
      </w:tblPr>
      <w:tr>
        <w:trPr>
          <w:trHeight w:val="142"/>
        </w:trPr>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(1,422 )</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8"/>
                <w:szCs w:val="18"/>
                <w:color w:val="auto"/>
              </w:rPr>
            </w:pPr>
          </w:p>
        </w:tc>
      </w:tr>
      <w:tr>
        <w:trPr>
          <w:trHeight w:val="216"/>
        </w:trPr>
        <w:tc>
          <w:tcPr>
            <w:tcW w:w="160" w:type="dxa"/>
            <w:vAlign w:val="bottom"/>
            <w:shd w:val="clear" w:color="auto" w:fill="CFF0FC"/>
          </w:tcPr>
          <w:p>
            <w:pPr>
              <w:spacing w:after="0"/>
              <w:rPr>
                <w:sz w:val="18"/>
                <w:szCs w:val="18"/>
                <w:color w:val="auto"/>
              </w:rPr>
            </w:pPr>
          </w:p>
        </w:tc>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16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(34 )</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FF0FC"/>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(261 )</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8"/>
                <w:szCs w:val="18"/>
                <w:color w:val="auto"/>
              </w:rPr>
            </w:pPr>
          </w:p>
        </w:tc>
      </w:tr>
      <w:tr>
        <w:trPr>
          <w:trHeight w:val="216"/>
        </w:trPr>
        <w:tc>
          <w:tcPr>
            <w:tcW w:w="160" w:type="dxa"/>
            <w:vAlign w:val="bottom"/>
            <w:shd w:val="clear" w:color="auto" w:fill="CFF0FC"/>
          </w:tcPr>
          <w:p>
            <w:pPr>
              <w:spacing w:after="0"/>
              <w:rPr>
                <w:sz w:val="18"/>
                <w:szCs w:val="18"/>
                <w:color w:val="auto"/>
              </w:rPr>
            </w:pPr>
          </w:p>
        </w:tc>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15,301</w:t>
            </w:r>
          </w:p>
        </w:tc>
        <w:tc>
          <w:tcPr>
            <w:tcW w:w="3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(6,134 )</w:t>
            </w:r>
          </w:p>
        </w:tc>
      </w:tr>
      <w:tr>
        <w:trPr>
          <w:trHeight w:val="216"/>
        </w:trPr>
        <w:tc>
          <w:tcPr>
            <w:tcW w:w="16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(617 )</w:t>
            </w:r>
          </w:p>
        </w:tc>
      </w:tr>
      <w:tr>
        <w:trPr>
          <w:trHeight w:val="20"/>
        </w:trPr>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14,441</w:t>
            </w:r>
          </w:p>
        </w:tc>
        <w:tc>
          <w:tcPr>
            <w:tcW w:w="30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(2,022 )</w:t>
            </w:r>
          </w:p>
        </w:tc>
      </w:tr>
      <w:tr>
        <w:trPr>
          <w:trHeight w:val="413"/>
        </w:trPr>
        <w:tc>
          <w:tcPr>
            <w:tcW w:w="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560" w:type="dxa"/>
            <w:vAlign w:val="bottom"/>
            <w:tcBorders>
              <w:top w:val="single" w:sz="8" w:color="CFF0FC"/>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05"/>
        </w:trPr>
        <w:tc>
          <w:tcPr>
            <w:tcW w:w="160" w:type="dxa"/>
            <w:vAlign w:val="bottom"/>
          </w:tcPr>
          <w:p>
            <w:pPr>
              <w:spacing w:after="0"/>
              <w:rPr>
                <w:sz w:val="24"/>
                <w:szCs w:val="24"/>
                <w:color w:val="auto"/>
              </w:rPr>
            </w:pPr>
          </w:p>
        </w:tc>
        <w:tc>
          <w:tcPr>
            <w:tcW w:w="7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1360" w:type="dxa"/>
            <w:vAlign w:val="bottom"/>
          </w:tcPr>
          <w:p>
            <w:pPr>
              <w:jc w:val="right"/>
              <w:ind w:right="274"/>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Ongoing accrued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368,797</w:t>
            </w:r>
          </w:p>
        </w:tc>
        <w:tc>
          <w:tcPr>
            <w:tcW w:w="3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445,253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Project-related provisions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42,719</w:t>
            </w:r>
          </w:p>
        </w:tc>
        <w:tc>
          <w:tcPr>
            <w:tcW w:w="10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53,729</w:t>
            </w:r>
          </w:p>
        </w:tc>
        <w:tc>
          <w:tcPr>
            <w:tcW w:w="3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54,081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Taxes payable (1)</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47,697</w:t>
            </w:r>
          </w:p>
        </w:tc>
        <w:tc>
          <w:tcPr>
            <w:tcW w:w="100" w:type="dxa"/>
            <w:vAlign w:val="bottom"/>
          </w:tcPr>
          <w:p>
            <w:pPr>
              <w:spacing w:after="0"/>
              <w:rPr>
                <w:sz w:val="18"/>
                <w:szCs w:val="18"/>
                <w:color w:val="auto"/>
              </w:rPr>
            </w:pPr>
          </w:p>
        </w:tc>
      </w:tr>
      <w:tr>
        <w:trPr>
          <w:trHeight w:val="216"/>
        </w:trPr>
        <w:tc>
          <w:tcPr>
            <w:tcW w:w="7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30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159,886</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172,884</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674,887</w:t>
            </w:r>
          </w:p>
        </w:tc>
        <w:tc>
          <w:tcPr>
            <w:tcW w:w="300" w:type="dxa"/>
            <w:vAlign w:val="bottom"/>
            <w:tcBorders>
              <w:bottom w:val="single" w:sz="8" w:color="CFF0FC"/>
              <w:right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778,939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02"/>
        </w:trPr>
        <w:tc>
          <w:tcPr>
            <w:tcW w:w="1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-2073910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-2056765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-110490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-93980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-93980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For further details, please see Note 10 to the consolidated financial statements.</w:t>
      </w:r>
    </w:p>
    <w:p>
      <w:pPr>
        <w:spacing w:after="0" w:line="181"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22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color w:val="auto"/>
        </w:rPr>
        <w:t>During fiscal year 2023, the Company conducted certain restructuring actions (the “2023 Restructuring Plan”), primarily associated with alignment of the Company’s workforce around its global site strategy, the optimization of the Company’s hybrid work model, as well as appropriate measures to optimize expenditures and resource allocation, as a result of which, the Company incurred restructuring charges of $70,901. The majority of the remaining liability under the 2023 Restructuring Plan, as of December 31, 2024, is expected to be paid during the fiscal year 2025.</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restructuring activities for the 2023 Restructuring Plan, as of December 31, 2024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Premises and other</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2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as of October 1, 2024</w:t>
            </w:r>
          </w:p>
        </w:tc>
        <w:tc>
          <w:tcPr>
            <w:tcW w:w="1460" w:type="dxa"/>
            <w:vAlign w:val="bottom"/>
            <w:tcBorders>
              <w:top w:val="single" w:sz="8" w:color="auto"/>
            </w:tcBorders>
            <w:shd w:val="clear" w:color="auto" w:fill="CFF0FC"/>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60" w:type="dxa"/>
            <w:vAlign w:val="bottom"/>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jc w:val="right"/>
              <w:ind w:right="16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0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4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(86 )</w:t>
            </w:r>
          </w:p>
        </w:tc>
        <w:tc>
          <w:tcPr>
            <w:tcW w:w="18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14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(12 )</w:t>
            </w:r>
          </w:p>
        </w:tc>
        <w:tc>
          <w:tcPr>
            <w:tcW w:w="5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50"/>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as of December 31, 2024</w:t>
            </w:r>
          </w:p>
        </w:tc>
        <w:tc>
          <w:tcPr>
            <w:tcW w:w="1460" w:type="dxa"/>
            <w:vAlign w:val="bottom"/>
            <w:tcBorders>
              <w:top w:val="single" w:sz="8" w:color="auto"/>
              <w:bottom w:val="single" w:sz="8" w:color="auto"/>
            </w:tcBorders>
            <w:shd w:val="clear" w:color="auto" w:fill="CFF0FC"/>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60" w:type="dxa"/>
            <w:vAlign w:val="bottom"/>
            <w:tcBorders>
              <w:bottom w:val="single" w:sz="8" w:color="CFF0FC"/>
            </w:tcBorders>
            <w:shd w:val="clear" w:color="auto" w:fill="CFF0FC"/>
          </w:tcPr>
          <w:p>
            <w:pPr>
              <w:spacing w:after="0"/>
              <w:rPr>
                <w:sz w:val="21"/>
                <w:szCs w:val="21"/>
                <w:color w:val="auto"/>
              </w:rPr>
            </w:pPr>
          </w:p>
        </w:tc>
        <w:tc>
          <w:tcPr>
            <w:tcW w:w="1800" w:type="dxa"/>
            <w:vAlign w:val="bottom"/>
            <w:tcBorders>
              <w:top w:val="single" w:sz="8" w:color="auto"/>
              <w:bottom w:val="single" w:sz="8" w:color="auto"/>
            </w:tcBorders>
            <w:shd w:val="clear" w:color="auto" w:fill="CFF0FC"/>
          </w:tcPr>
          <w:p>
            <w:pPr>
              <w:jc w:val="right"/>
              <w:ind w:right="16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3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year 2024, the Company initiated a new restructuring plan (the “2024 Restructuring Plan”), which was mainly comprised of employee severance expenses and benefits arrangements. The majority of the remaining liability under the 2024 Restructuring Plan, as of December 31, 2024, is expected to be paid during the coming several quarters. The Company expects to execute the remainder of the 2024 Restructuring plan over the next several quarters.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restructuring activities for the 2024 Restructuring Plan as of December 31, 2024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Premises and other</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2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as of October 1, 2024</w:t>
            </w:r>
          </w:p>
        </w:tc>
        <w:tc>
          <w:tcPr>
            <w:tcW w:w="1400" w:type="dxa"/>
            <w:vAlign w:val="bottom"/>
            <w:tcBorders>
              <w:top w:val="single" w:sz="8" w:color="auto"/>
            </w:tcBorders>
            <w:shd w:val="clear" w:color="auto" w:fill="CFF0FC"/>
          </w:tcPr>
          <w:p>
            <w:pPr>
              <w:jc w:val="right"/>
              <w:ind w:right="12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73,309</w:t>
            </w:r>
          </w:p>
        </w:tc>
        <w:tc>
          <w:tcPr>
            <w:tcW w:w="26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right"/>
              <w:ind w:right="15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30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75,529</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(20,571 )</w:t>
            </w:r>
          </w:p>
        </w:tc>
        <w:tc>
          <w:tcPr>
            <w:tcW w:w="17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(242 )</w:t>
            </w:r>
          </w:p>
        </w:tc>
        <w:tc>
          <w:tcPr>
            <w:tcW w:w="5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(20,813 )</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14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(697 )</w:t>
            </w:r>
          </w:p>
        </w:tc>
        <w:tc>
          <w:tcPr>
            <w:tcW w:w="1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(405 )</w:t>
            </w:r>
          </w:p>
        </w:tc>
      </w:tr>
      <w:tr>
        <w:trPr>
          <w:trHeight w:val="249"/>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as of December 31, 2024</w:t>
            </w:r>
          </w:p>
        </w:tc>
        <w:tc>
          <w:tcPr>
            <w:tcW w:w="1400" w:type="dxa"/>
            <w:vAlign w:val="bottom"/>
            <w:tcBorders>
              <w:top w:val="single" w:sz="8" w:color="auto"/>
              <w:bottom w:val="single" w:sz="8" w:color="auto"/>
            </w:tcBorders>
            <w:shd w:val="clear" w:color="auto" w:fill="CFF0FC"/>
          </w:tcPr>
          <w:p>
            <w:pPr>
              <w:jc w:val="right"/>
              <w:ind w:right="12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57,680</w:t>
            </w:r>
          </w:p>
        </w:tc>
        <w:tc>
          <w:tcPr>
            <w:tcW w:w="26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top w:val="single" w:sz="8" w:color="auto"/>
              <w:bottom w:val="single" w:sz="8" w:color="auto"/>
            </w:tcBorders>
            <w:shd w:val="clear" w:color="auto" w:fill="CFF0FC"/>
          </w:tcPr>
          <w:p>
            <w:pPr>
              <w:jc w:val="right"/>
              <w:ind w:right="15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3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-25400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80" w:hanging="263"/>
        <w:spacing w:after="0"/>
        <w:tabs>
          <w:tab w:leader="none" w:pos="7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tables above do not include amounts related to employees' benefit incurred in prior periods.</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provision for income taxes for the following periods consisted of:</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38,922</w:t>
            </w:r>
          </w:p>
        </w:tc>
        <w:tc>
          <w:tcPr>
            <w:tcW w:w="128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(6,683 )</w:t>
            </w: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40,573</w:t>
            </w: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effective income tax rate varied from the statutory Guernsey tax rate as follows for the following periods:</w:t>
      </w:r>
    </w:p>
    <w:p>
      <w:pPr>
        <w:spacing w:after="0" w:line="219"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5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10"/>
        </w:trPr>
        <w:tc>
          <w:tcPr>
            <w:tcW w:w="8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Statutory Guernsey tax rate</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taxes (1)</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18"/>
                <w:szCs w:val="18"/>
                <w:color w:val="auto"/>
              </w:rPr>
            </w:pPr>
          </w:p>
        </w:tc>
      </w:tr>
      <w:tr>
        <w:trPr>
          <w:trHeight w:val="23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21.1 %</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14.8 %</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-24765</wp:posOffset>
            </wp:positionV>
            <wp:extent cx="1200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1200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Guernsey company subject to a corporate tax rate of zero percent, the Company's overall effective tax rate is attributable to foreign taxes. 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9512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27"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Foreign taxes for the three months ended December 31, 2024:</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Foreign taxes in the three months ended December 31, 2024 included a benefit of $4,487 relating primarily to release of gross unrecognized tax benefits due to expiration of the periods set forth in statutes of limitations in certain jurisdictions, and settlements of tax audits.</w:t>
      </w:r>
    </w:p>
    <w:p>
      <w:pPr>
        <w:spacing w:after="0" w:line="374"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Foreign taxes for the three months ended December 31, 2023:</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Foreign taxes in the three months ended December 31, 2023 included a benefit of $54,667 relating primarily to release of gross unrecognized tax benefits due to settlements of tax audits, and expiration of the periods set forth in statutes of limitations in certain jurisdictions. The majority of the release was offset by an increase in taxes payable and tax payments, and, as a result, a net benefit of $20,880 was included within income tax expense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9512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deferred tax assets of $59,105, derived primarily from tax credits, net capital and operating loss carry forwards related to some of the Company's subsidiaries, were offset by valuation allowances due to the uncertainty of realizing tax benefit for such credits and losses.</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total amount of gross unrecognized tax benefits as of December 31, 2024, was $156,145, all of which would affect the effective tax rate if realized. This amount includes an accrual of $31,534 in income taxes payable for interest and penalties relating to unrecognized tax benefits.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currently under tax audit in several jurisdictions for the tax years 2007 and onwards. Timing of the resolution of audits is highly uncertain and therefore, as of December 31, 2024, the Company cannot estimate the change in unrecognized tax benefits resulting from these audits within the next 12 months.</w:t>
      </w:r>
    </w:p>
    <w:p>
      <w:pPr>
        <w:spacing w:after="0" w:line="145"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1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151,133</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147,965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income and dividends attributable to participating restricted stock</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(2,785 )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(2,679 )</w:t>
            </w:r>
          </w:p>
        </w:tc>
      </w:tr>
      <w:tr>
        <w:trPr>
          <w:trHeight w:val="210"/>
        </w:trPr>
        <w:tc>
          <w:tcPr>
            <w:tcW w:w="772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Numerator for basic earnings per common share</w:t>
            </w:r>
          </w:p>
        </w:tc>
        <w:tc>
          <w:tcPr>
            <w:tcW w:w="94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148,348</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145,286</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Undistributed income allocated to participating restricted stock</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1,790</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1,759</w:t>
            </w: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Undistributed income reallocated to participating restricted stock</w:t>
            </w: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(1,779 )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(1,748 )</w:t>
            </w:r>
          </w:p>
        </w:tc>
      </w:tr>
      <w:tr>
        <w:trPr>
          <w:trHeight w:val="249"/>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Numerator for diluted earnings per common share</w:t>
            </w:r>
          </w:p>
        </w:tc>
        <w:tc>
          <w:tcPr>
            <w:tcW w:w="940" w:type="dxa"/>
            <w:vAlign w:val="bottom"/>
            <w:tcBorders>
              <w:top w:val="single" w:sz="8" w:color="auto"/>
              <w:bottom w:val="single" w:sz="8" w:color="auto"/>
            </w:tcBorders>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148,359</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112,745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116,841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number of participating restricted stock</w:t>
            </w:r>
          </w:p>
        </w:tc>
        <w:tc>
          <w:tcPr>
            <w:tcW w:w="9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(2,078 )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(2,115 )</w:t>
            </w:r>
          </w:p>
        </w:tc>
      </w:tr>
      <w:tr>
        <w:trPr>
          <w:trHeight w:val="249"/>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940" w:type="dxa"/>
            <w:vAlign w:val="bottom"/>
            <w:tcBorders>
              <w:top w:val="single" w:sz="8" w:color="auto"/>
              <w:bottom w:val="single" w:sz="8" w:color="auto"/>
            </w:tcBorders>
            <w:shd w:val="clear" w:color="auto" w:fill="CFF0FC"/>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110,667</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Effect of dilutive equity-based compensation awards</w:t>
            </w: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694</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7"/>
                <w:szCs w:val="17"/>
                <w:color w:val="auto"/>
              </w:rPr>
            </w:pPr>
          </w:p>
        </w:tc>
      </w:tr>
      <w:tr>
        <w:trPr>
          <w:trHeight w:val="250"/>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111,361</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Basic earnings per common share attributable to Amdocs Limited</w:t>
            </w:r>
          </w:p>
        </w:tc>
        <w:tc>
          <w:tcPr>
            <w:tcW w:w="940" w:type="dxa"/>
            <w:vAlign w:val="bottom"/>
            <w:tcBorders>
              <w:bottom w:val="single" w:sz="8" w:color="auto"/>
            </w:tcBorders>
          </w:tcPr>
          <w:p>
            <w:pPr>
              <w:jc w:val="right"/>
              <w:ind w:right="7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 attributable to Amdocs Limited</w:t>
            </w:r>
          </w:p>
        </w:tc>
        <w:tc>
          <w:tcPr>
            <w:tcW w:w="940" w:type="dxa"/>
            <w:vAlign w:val="bottom"/>
            <w:tcBorders>
              <w:bottom w:val="single" w:sz="8" w:color="auto"/>
            </w:tcBorders>
            <w:shd w:val="clear" w:color="auto" w:fill="CFF0FC"/>
          </w:tcPr>
          <w:p>
            <w:pPr>
              <w:jc w:val="right"/>
              <w:ind w:right="7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-1833880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-1242060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-1224915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-659765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-641985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-333375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2024 and 2023 , 60 and 21 shares, respectively, on a weighted average basis, were attributable to antidilutive outstanding equity-based compensation awards. Shares attributable to antidilutive outstanding stock equity-based compensation awards were not included in the calculation of diluted earnings per share.</w:t>
      </w:r>
    </w:p>
    <w:p>
      <w:pPr>
        <w:spacing w:after="0" w:line="104"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 of Shares</w:t>
      </w:r>
    </w:p>
    <w:p>
      <w:pPr>
        <w:spacing w:after="0" w:line="14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From time to time, the Company’s Board of Directors can adopt share repurchase plans authorizing the repurchase of the Company’s outstanding ordinary shares. On August 2, 2023, the Company’s Board of Directors adopted a share repurchase plan for the repurchase of up to an additional $1.1 billion of the Company’s outstanding ordinary shares with no expiration date. The August 2023 plan permits the Company to purchase our ordinary shares in the open market or through privately negotiated transactions at times and prices that the Company considers appropriate. </w:t>
      </w:r>
      <w:r>
        <w:rPr>
          <w:rFonts w:ascii="Times New Roman" w:cs="Times New Roman" w:eastAsia="Times New Roman" w:hAnsi="Times New Roman"/>
          <w:sz w:val="18"/>
          <w:szCs w:val="18"/>
          <w:color w:val="231F20"/>
        </w:rPr>
        <w:t>In the three months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December 31, 2024, </w:t>
      </w:r>
      <w:r>
        <w:rPr>
          <w:rFonts w:ascii="Times New Roman" w:cs="Times New Roman" w:eastAsia="Times New Roman" w:hAnsi="Times New Roman"/>
          <w:sz w:val="18"/>
          <w:szCs w:val="18"/>
          <w:color w:val="000000"/>
        </w:rPr>
        <w:t>the Company repurchased 1,661 ordinary shares at an average price of $86.96 per share (excluding broker and transaction fees). As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December 31, 2024, the Company had remaining authority to repurchase up to $393,186 of its outstanding ordinary shares under the August 2023 plan.</w:t>
      </w:r>
    </w:p>
    <w:p>
      <w:pPr>
        <w:spacing w:after="0" w:line="116"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2011, the Company entered into an unsecured $500,000 five-year revolving credit facility with a syndicate of banks (the “Revolving Credit Facility”). In December 2014, December 2017, March 2021 and July 2024, the Revolving Credit Facility was amended and restated to, among other things, extend the maturity date of the facility to December 2019, December 2022 March 2026 and July 2029, respectively. As of December 31, 2024, the Company was in compliance with the financial covenants and had no outstanding borrowings under the Revolving Credit Facility.</w:t>
      </w:r>
    </w:p>
    <w:p>
      <w:pPr>
        <w:spacing w:after="0" w:line="9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2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total interest expense recognized in connection with the Senior Notes for the three months ended December 31, 2024 and 2023 were $4,317 and $4,313, respectively. The accrued interest on the Senior Notes is included in accrued expenses and other current liabilities and was immaterial as of December 31, 2024. </w:t>
      </w:r>
      <w:r>
        <w:rPr>
          <w:rFonts w:ascii="Times New Roman" w:cs="Times New Roman" w:eastAsia="Times New Roman" w:hAnsi="Times New Roman"/>
          <w:sz w:val="18"/>
          <w:szCs w:val="18"/>
          <w:color w:val="231F20"/>
        </w:rPr>
        <w:t>As of December 31, 2024, the noncurrent outstanding principal</w:t>
      </w:r>
      <w:r>
        <w:rPr>
          <w:rFonts w:ascii="Times New Roman" w:cs="Times New Roman" w:eastAsia="Times New Roman" w:hAnsi="Times New Roman"/>
          <w:sz w:val="18"/>
          <w:szCs w:val="18"/>
          <w:color w:val="auto"/>
        </w:rPr>
        <w:t xml:space="preserve"> portion was $650,000.</w:t>
      </w:r>
    </w:p>
    <w:p>
      <w:pPr>
        <w:sectPr>
          <w:pgSz w:w="11900" w:h="16838" w:orient="portrait"/>
          <w:cols w:equalWidth="0" w:num="1">
            <w:col w:w="11240"/>
          </w:cols>
          <w:pgMar w:left="320" w:top="765"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Senior Notes as of December 31, 2024 was $564,506. The fair value was determined based on observable data, such as quoted prices for similar liabilities in active markets of Senior Notes as of December 31, 2024 and is deemed a Level 2 liability within the fair value measurement framework.</w:t>
      </w:r>
    </w:p>
    <w:p>
      <w:pPr>
        <w:spacing w:after="0" w:line="14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additional uncommitted lines of credit available for general corporate and other specific purposes. The Company had outstanding letters of credit and bank guarantees from various banks totaling $90,232 as of December 31, 2024.</w:t>
      </w:r>
    </w:p>
    <w:p>
      <w:pPr>
        <w:spacing w:after="0" w:line="117" w:lineRule="exact"/>
        <w:rPr>
          <w:sz w:val="20"/>
          <w:szCs w:val="20"/>
          <w:color w:val="auto"/>
        </w:rPr>
      </w:pPr>
    </w:p>
    <w:p>
      <w:pPr>
        <w:ind w:left="520" w:right="8600" w:hanging="512"/>
        <w:spacing w:after="0" w:line="464" w:lineRule="auto"/>
        <w:tabs>
          <w:tab w:leader="none" w:pos="46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Equity-based Compensation </w:t>
      </w:r>
      <w:r>
        <w:rPr>
          <w:rFonts w:ascii="Times New Roman" w:cs="Times New Roman" w:eastAsia="Times New Roman" w:hAnsi="Times New Roman"/>
          <w:sz w:val="18"/>
          <w:szCs w:val="18"/>
          <w:b w:val="1"/>
          <w:bCs w:val="1"/>
          <w:i w:val="1"/>
          <w:iCs w:val="1"/>
          <w:color w:val="auto"/>
        </w:rPr>
        <w:t>Equity Incentive Plan</w:t>
      </w: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January 1998, the Company adopted the 1998 Stock Option and Incentive Plan (the "Equity Incentive Plan"), which provides for the grant of restricted stock awards, restricted stock units and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February 2024, the maximum number of ordinary shares authorized to be granted under the Equity Incentive Plan was increased from 70,550 to 73,550. The amendment to the Equity Incentive Plan and became effective upon the filing of a Form S-8 Registration Statement with the U.S. Securities and Exchange Commission in February 2024. Awards granted under the Equity Incentive Plan generally vest over a period of three to four years and are generally subject to service based conditions or a combination of service and performance-based conditions and stock options have a term of primarily ten years. Also, in accordance with the Equity Incentive Plan, options were issued at or above the market price at the time of the grant.</w:t>
      </w:r>
    </w:p>
    <w:p>
      <w:pPr>
        <w:spacing w:after="0" w:line="1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the Company granted 655 restricted stock, 36 restricted stock units and stock options to purchase 82 ordinary shares. The weighted average fair values associated with these grants were $79.01 per restricted stock, $81.59 per restricted stock unit and $12.04 per stock option.</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20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November 8, 2022, the Company’s Board of Directors adopted, subject to shareholder approval, the Amdocs Limited 2023 Employee Share Purchase Plan (the “ESPP”). The ESPP was subsequently approved by our shareholders at the annual general meeting of shareholders in January 2023. The approved number of shares that may be issued under the ESPP will not exceed in the aggregate 2,400 ordinary shares. Under its terms, the ESPP became effective upon the filing of a Form S-8 Registration Statement with the U.S. Securities and Exchange Commission. On February 13, 2023, the Company filed a registration statement on Form S-8 registering the offer and sale of 2,400 ordinary shares issuable under the ESPP. As of December 31, 2024, 799 ordinary shares have been issued since the commencement of the ESPP.</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have the right to purchase ordinary shares at the end of each purchase period based on their accumulated payroll deductions during the purchase period of a specified percentage of eligible compensation up to 10% (subject to a limitation to accrue the right to purchase ordinary shares up to twenty-five thousand dollars in any calendar year). Each purchase period lasts six months in duration, with purchases occurring in December and June. The purchase price per ordinary share will equal the lesser of 85% of the fair market value of our ordinary shares at either the beginning of the purchase period or the end of the purchase period.</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the Company issued 251 ordinary shares to employees under the ESPP at a weighted average price of $65.81 per share.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Equity-based payments to employees, including grants of employee stock options, restricted stock, restricted stock units and ESPP are recognized in the statements of income based on their fair values.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Employee equity-based compensation pre-tax expense for the three months ended December 31, 2024 and 2023 was as follows:</w:t>
      </w:r>
    </w:p>
    <w:p>
      <w:pPr>
        <w:spacing w:after="0" w:line="21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3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costs for its equity incentive grants using the graded vesting attribution method. As of December 31, 2024, there was $104,335 of unrecognized compensation expense related to unvested stock options, unvested restricted stock and unvested restricted stock units which is expected to be recognized over a weighted average period of approximately one to two years, based on the vesting periods of the grants.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$3,399 of unrecognized compensation expense related to the ESPP which is expected to be recognized over the remaining purchase period.</w:t>
      </w:r>
    </w:p>
    <w:p>
      <w:pPr>
        <w:spacing w:after="0" w:line="131"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Board of Directors declared the following dividends during the three months ended December 31, 2024 and 2023:</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260" w:type="dxa"/>
            <w:vAlign w:val="bottom"/>
          </w:tcPr>
          <w:p>
            <w:pPr>
              <w:spacing w:after="0"/>
              <w:rPr>
                <w:sz w:val="13"/>
                <w:szCs w:val="13"/>
                <w:color w:val="auto"/>
              </w:rPr>
            </w:pPr>
          </w:p>
        </w:tc>
        <w:tc>
          <w:tcPr>
            <w:tcW w:w="1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80" w:type="dxa"/>
            <w:vAlign w:val="bottom"/>
          </w:tcPr>
          <w:p>
            <w:pPr>
              <w:spacing w:after="0"/>
              <w:rPr>
                <w:sz w:val="13"/>
                <w:szCs w:val="13"/>
                <w:color w:val="auto"/>
              </w:rPr>
            </w:pPr>
          </w:p>
        </w:tc>
        <w:tc>
          <w:tcPr>
            <w:tcW w:w="17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73"/>
        </w:trPr>
        <w:tc>
          <w:tcPr>
            <w:tcW w:w="40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26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12, 2024</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53,729</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31, 2025</w:t>
            </w:r>
          </w:p>
        </w:tc>
        <w:tc>
          <w:tcPr>
            <w:tcW w:w="0" w:type="dxa"/>
            <w:vAlign w:val="bottom"/>
          </w:tcPr>
          <w:p>
            <w:pPr>
              <w:spacing w:after="0"/>
              <w:rPr>
                <w:sz w:val="1"/>
                <w:szCs w:val="1"/>
                <w:color w:val="auto"/>
              </w:rPr>
            </w:pP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7, 2023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26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29, 2023</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50,683</w:t>
            </w: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amounts payable as a result of the November 12, 2024 and November 7, 2023 declarations were included in accrued expenses and other current liabilities as of December 31, 2024 and 2023, respectively.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4, 2025 the Company’s Board of Directors approved the next quarterly dividend payment and set March 31, 2025 as the record date for determining the shareholders entitled to receive the dividend, which is payable on April 25, 2025. On January 31, 2025, at the annual general meeting of shareholders, the Company’s shareholders approved an increase of approximately 10% in the rate of the quarterly cash dividend from $0.479 per share to $0.527 per share. As a result, the April 25, 2025 cash dividend will be paid at the increased rate of $0.527 per share.</w:t>
      </w:r>
    </w:p>
    <w:p>
      <w:pPr>
        <w:spacing w:after="0" w:line="14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tab/>
        <w:t>Contingencies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Operating and Financial Review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4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Important factors that may affect these projections or expectations include, but are not limited to: the effects of macro-economic conditions, prevailing level of macro-economic, business, and operational uncertainty, including as a result of geopolitical events or other global or regional events or pandemics, as well as the current inflationary environment, and the effects of these conditions on the Company’s customers’ businesses and levels of business activity; including the effect of the current economic uncertainty and industry pressure on the spending decisions of our customers; our ability to grow in the business markets that we serve; our ability to successfully integrate acquired businesses; adverse effects of market competition; rapid technological shifts that may render our products and services obsolete; security incidents, including breaches and cyberattacks to our systems and networks and those of our partners or customers; potential loss of a major customer; our ability to develop long-term relationships with our customers; our ability to successfully and effectively implement artificial intelligence and Generative AI in our offerings and operations; and risks associated with operating businesses in the international market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For a discussion of these and other important factors and other risks, please read the information set forth under the caption “Risk Factors” in our Annual Report on Form 20-F for fiscal year 2024, filed on December 17, 2024 with the U.S. Securities and Exchange Commission.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and Trend Information</w:t>
      </w:r>
    </w:p>
    <w:p>
      <w:pPr>
        <w:spacing w:after="0" w:line="20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Amdocs is a leading provider of software and services for approximately 400 communications, entertainment and media industry and other service providers in developed countries and emerging markets. Our software and services, which we develop, implement and manage in a unique accountability model, are designed to meet the business imperatives of our customers, create value for society and make our increasingly connected world more empowering by unlocking our customers’ innovative potential and enabling them to transform their boldest ideas into reality and make customer experiences which are truly amazing. Our offerings enable service providers to cost-effectively engage their customers, introduce new products and services, automate service and network operations, monetize connectivity and content, support new business models and generally enhance their understanding of their customers.</w:t>
      </w:r>
    </w:p>
    <w:p>
      <w:pPr>
        <w:spacing w:after="0" w:line="14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the demand for our solutions is driven by our customers’ continued migration to the cloud, deployment of 5G standalone, fixed wireless access (FWA), and fiber networks and their transformation into digital service providers to provide connectivity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an amazing customer experience that is simple, personal, contextual and valuable at every point of engagement and across all channels.</w:t>
      </w:r>
    </w:p>
    <w:p>
      <w:pPr>
        <w:spacing w:after="0" w:line="14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offerings, grouped by technology capabilities such as commerce and care, monetization, service and network automation, are designed to meet the challenges facing our customers as they roll out 5G networks, migrate to the cloud, introduce generative AI (GenAI) solutions and transform into digital service providers within the framework of a hybrid IT environment, which requires them to rapidly introduce new cloud-native applications while still operating legacy systems. Our software is designed to enable modular expansion as a service provider evolves, and its microservices-based architecture enables the rapid deployment of complex applications as suites of independently deployable services that can be frequently upgraded via DevSecOps. Our comprehensive line of services is designed to address every stage of a service provider’s lifecycle. They include consulting, experience design, data, cloud, network services, to delivery, quality engineering (testing), operations, systems integration, and content services. Our managed services provide multi-year, flexible and tailored support, managing IT business processes and applications services. They include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0" w:name="page21"/>
    <w:bookmarkEnd w:id="20"/>
    <w:p>
      <w:pPr>
        <w:spacing w:after="0" w:line="1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conduct our business globally, and as a result we are subject to the effects of global economic conditions and, in particular, market conditions in the communications and media industry. In the three months ended December 31, 2024, customers in North America accounted for 66.4% of our revenue, while customers in Europe and the rest of the world accounted for 14.0% and 19.6%, respectively. We maintain and support development facilities in Brazil, Canada, Cyprus, India, Ireland, Israel, Mexico, the Philippines, the UK and the United States.</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derive our revenue principally from:</w:t>
      </w:r>
    </w:p>
    <w:p>
      <w:pPr>
        <w:spacing w:after="0" w:line="63" w:lineRule="exact"/>
        <w:rPr>
          <w:sz w:val="20"/>
          <w:szCs w:val="20"/>
          <w:color w:val="auto"/>
        </w:rPr>
      </w:pPr>
    </w:p>
    <w:p>
      <w:pPr>
        <w:ind w:left="76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sales of licenses to use our products and related services, including modification, implementation, integration and customization services,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managed services in our domain expertise and other related services, and</w:t>
      </w:r>
    </w:p>
    <w:p>
      <w:pPr>
        <w:spacing w:after="0" w:line="6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from ongoing support, maintenance and enhancements provided to our customers, and from incremental license fees resulting from increases in a customer’s business volume.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results of operations are affected by general economic conditions, including macro-economic conditions, and the level of economic activity in the industries and markets that we serve. In addition, the prevailing level of macro-economic, business, and operational uncertainty, as well as the current inflationary environment and foreign exchange rates fluctuation, may continue to present challenges in future periods and may affect the spending decisions of our customers. Although we try to mitigate the foreign currency exchange rates impact on our results through our hedging policy, we cannot assure that we will be able to effectively limit all of our exposure.</w:t>
      </w:r>
    </w:p>
    <w:p>
      <w:pPr>
        <w:spacing w:after="0" w:line="141"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recognize revenue under the five-step methodology required under ASC 606, which requires us to identify the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4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 our primary revenue categories, related performance obligations, and associated recognition patterns please see Note 3 to our consolidated financial statements.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$728.9 million and $722.5 million in the three months ended December 31, 2024 and 2023, respectively.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Please see Note 2 to our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December 31, 2024 and 2023. Certain items in our consolidated statements of income are reflected as a percentage of revenue (figures may not sum because of rounding):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368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142"/>
        </w:trPr>
        <w:tc>
          <w:tcPr>
            <w:tcW w:w="7560" w:type="dxa"/>
            <w:vAlign w:val="bottom"/>
          </w:tcPr>
          <w:p>
            <w:pPr>
              <w:spacing w:after="0"/>
              <w:rPr>
                <w:sz w:val="12"/>
                <w:szCs w:val="12"/>
                <w:color w:val="auto"/>
              </w:rPr>
            </w:pPr>
          </w:p>
        </w:tc>
        <w:tc>
          <w:tcPr>
            <w:tcW w:w="158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142"/>
        </w:trPr>
        <w:tc>
          <w:tcPr>
            <w:tcW w:w="7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 of revenue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shd w:val="clear" w:color="auto" w:fill="CFF0FC"/>
          </w:tcPr>
          <w:p>
            <w:pPr>
              <w:spacing w:after="0"/>
              <w:rPr>
                <w:sz w:val="18"/>
                <w:szCs w:val="18"/>
                <w:color w:val="auto"/>
              </w:rPr>
            </w:pPr>
          </w:p>
        </w:tc>
      </w:tr>
      <w:tr>
        <w:trPr>
          <w:trHeight w:val="216"/>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r>
      <w:tr>
        <w:trPr>
          <w:trHeight w:val="216"/>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FF0FC"/>
          </w:tcPr>
          <w:p>
            <w:pPr>
              <w:spacing w:after="0"/>
              <w:rPr>
                <w:sz w:val="18"/>
                <w:szCs w:val="18"/>
                <w:color w:val="auto"/>
              </w:rPr>
            </w:pPr>
          </w:p>
        </w:tc>
      </w:tr>
      <w:tr>
        <w:trPr>
          <w:trHeight w:val="216"/>
        </w:trPr>
        <w:tc>
          <w:tcPr>
            <w:tcW w:w="7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r>
      <w:tr>
        <w:trPr>
          <w:trHeight w:val="216"/>
        </w:trPr>
        <w:tc>
          <w:tcPr>
            <w:tcW w:w="7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60" w:type="dxa"/>
            <w:vAlign w:val="bottom"/>
            <w:tcBorders>
              <w:top w:val="single" w:sz="8" w:color="CFF0FC"/>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320" w:type="dxa"/>
            <w:vAlign w:val="bottom"/>
            <w:tcBorders>
              <w:top w:val="single" w:sz="8" w:color="CFF0FC"/>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80" w:type="dxa"/>
            <w:vAlign w:val="bottom"/>
            <w:tcBorders>
              <w:top w:val="single" w:sz="8" w:color="CFF0FC"/>
            </w:tcBorders>
          </w:tcPr>
          <w:p>
            <w:pPr>
              <w:spacing w:after="0"/>
              <w:rPr>
                <w:sz w:val="18"/>
                <w:szCs w:val="18"/>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(0.6 )</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(0.8 )</w:t>
            </w: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13.7 %</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11.9 %</w:t>
            </w:r>
          </w:p>
        </w:tc>
      </w:tr>
      <w:tr>
        <w:trPr>
          <w:trHeight w:val="197"/>
        </w:trPr>
        <w:tc>
          <w:tcPr>
            <w:tcW w:w="75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320" w:type="dxa"/>
            <w:vAlign w:val="bottom"/>
            <w:tcBorders>
              <w:top w:val="single" w:sz="8" w:color="CFF0FC"/>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80" w:type="dxa"/>
            <w:vAlign w:val="bottom"/>
            <w:tcBorders>
              <w:top w:val="single" w:sz="8" w:color="CFF0FC"/>
            </w:tcBorders>
          </w:tcPr>
          <w:p>
            <w:pPr>
              <w:spacing w:after="0"/>
              <w:rPr>
                <w:sz w:val="17"/>
                <w:szCs w:val="17"/>
                <w:color w:val="auto"/>
              </w:rPr>
            </w:pPr>
          </w:p>
        </w:tc>
      </w:tr>
      <w:tr>
        <w:trPr>
          <w:trHeight w:val="22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1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13.6 %</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11.9 %</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-1182370</wp:posOffset>
            </wp:positionV>
            <wp:extent cx="1200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-1182370</wp:posOffset>
            </wp:positionV>
            <wp:extent cx="1200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-334010</wp:posOffset>
            </wp:positionV>
            <wp:extent cx="1200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-316865</wp:posOffset>
            </wp:positionV>
            <wp:extent cx="1200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-334010</wp:posOffset>
            </wp:positionV>
            <wp:extent cx="1200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-316865</wp:posOffset>
            </wp:positionV>
            <wp:extent cx="1200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1200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1200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1200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 2024 and 2023</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three months ended December 31, 2024 compared to the three months ended December 31, 2023. Following the table is a discussion and analysis of our business and results of operations for such periods.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3"/>
          </w:tcPr>
          <w:p>
            <w:pPr>
              <w:jc w:val="right"/>
              <w:ind w:right="135"/>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vMerge w:val="restart"/>
          </w:tcPr>
          <w:p>
            <w:pPr>
              <w:jc w:val="right"/>
              <w:ind w:right="373"/>
              <w:spacing w:after="0" w:line="189"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2"/>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1,110,055</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1,245,199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(135,144 )</w:t>
            </w:r>
          </w:p>
        </w:tc>
        <w:tc>
          <w:tcPr>
            <w:tcW w:w="5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682,259</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812,744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(130,485 )</w:t>
            </w:r>
          </w:p>
        </w:tc>
        <w:tc>
          <w:tcPr>
            <w:tcW w:w="5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84,333</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(4,874 )</w:t>
            </w:r>
          </w:p>
        </w:tc>
        <w:tc>
          <w:tcPr>
            <w:tcW w:w="5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122,087</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142,504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(20,417 )</w:t>
            </w:r>
          </w:p>
        </w:tc>
        <w:tc>
          <w:tcPr>
            <w:tcW w:w="5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(651 )</w:t>
            </w:r>
          </w:p>
        </w:tc>
        <w:tc>
          <w:tcPr>
            <w:tcW w:w="5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2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2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911,221</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1,060,865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(149,644 )</w:t>
            </w:r>
          </w:p>
        </w:tc>
        <w:tc>
          <w:tcPr>
            <w:tcW w:w="5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198,834</w:t>
            </w:r>
          </w:p>
        </w:tc>
        <w:tc>
          <w:tcPr>
            <w:tcW w:w="24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184,334</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20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(6,409 )</w:t>
            </w:r>
          </w:p>
        </w:tc>
        <w:tc>
          <w:tcPr>
            <w:tcW w:w="5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(9,778 )</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192,425</w:t>
            </w:r>
          </w:p>
        </w:tc>
        <w:tc>
          <w:tcPr>
            <w:tcW w:w="24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174,556</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17,869</w:t>
            </w:r>
          </w:p>
        </w:tc>
        <w:tc>
          <w:tcPr>
            <w:tcW w:w="20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40,573</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151,852</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148,722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(38 )</w:t>
            </w: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Amdocs Limited</w:t>
            </w: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151,133</w:t>
            </w:r>
          </w:p>
        </w:tc>
        <w:tc>
          <w:tcPr>
            <w:tcW w:w="24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147,965</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3,168</w:t>
            </w: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844"/>
        </w:trPr>
        <w:tc>
          <w:tcPr>
            <w:tcW w:w="50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-3402330</wp:posOffset>
            </wp:positionV>
            <wp:extent cx="18256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2562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-2228215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-2228215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-2228215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-2228215</wp:posOffset>
            </wp:positionV>
            <wp:extent cx="15430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-1070610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-1053465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-1070610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-1053465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-1070610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-1053465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-1070610</wp:posOffset>
            </wp:positionV>
            <wp:extent cx="15430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-1053465</wp:posOffset>
            </wp:positionV>
            <wp:extent cx="15430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Geographic Information:</w:t>
      </w:r>
    </w:p>
    <w:tbl>
      <w:tblPr>
        <w:tblLayout w:type="fixed"/>
        <w:tblInd w:w="0" w:type="dxa"/>
        <w:tblCellMar>
          <w:top w:w="0" w:type="dxa"/>
          <w:left w:w="0" w:type="dxa"/>
          <w:bottom w:w="0" w:type="dxa"/>
          <w:right w:w="0" w:type="dxa"/>
        </w:tblCellMar>
      </w:tblPr>
      <w:tr>
        <w:trPr>
          <w:trHeight w:val="151"/>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4"/>
          </w:tcPr>
          <w:p>
            <w:pPr>
              <w:jc w:val="right"/>
              <w:ind w:right="536"/>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Borders>
              <w:top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737,396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838,135</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(100,739 )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(26,188 )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217,427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225,644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(8,217 )</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1,110,055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1,245,199</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(135,144 )</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1543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4"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decreased by $135.1 million, or 10.9%, to $1,110.1 million for the three months ended December 31, 2024, from $1,245.2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December 31, 2023. During the three months ended December 31, 2024, we phased out several low-margin, non-core business activities, which were included in the months ended December 31, 2023. Excluding the effects of phasing out several low-margin, non-core business activities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and the immaterial impact of negative foreign currency fluctuations, revenue for the three months ended December 31, 2024, increased by 1.7%, compared to the three months ended December 31, 2023.</w:t>
      </w:r>
    </w:p>
    <w:p>
      <w:pPr>
        <w:spacing w:after="0" w:line="196" w:lineRule="exact"/>
        <w:rPr>
          <w:sz w:val="20"/>
          <w:szCs w:val="20"/>
          <w:color w:val="auto"/>
        </w:rPr>
      </w:pPr>
    </w:p>
    <w:p>
      <w:pPr>
        <w:ind w:right="320" w:firstLine="450"/>
        <w:spacing w:after="0" w:line="282" w:lineRule="auto"/>
        <w:rPr>
          <w:sz w:val="20"/>
          <w:szCs w:val="20"/>
          <w:color w:val="auto"/>
        </w:rPr>
      </w:pPr>
      <w:r>
        <w:rPr>
          <w:rFonts w:ascii="Times New Roman" w:cs="Times New Roman" w:eastAsia="Times New Roman" w:hAnsi="Times New Roman"/>
          <w:sz w:val="18"/>
          <w:szCs w:val="18"/>
          <w:color w:val="auto"/>
        </w:rPr>
        <w:t>In the three months ended December 31, 2024, revenue from customers in North America, Europe and the rest of the world accounted for 66.4%, 14.0% and 19.6%, respectively, of total revenue, compared to 67.3%, 14.6% and 18.1%, respectively, in the three months ended December 31, 2023.</w:t>
      </w:r>
    </w:p>
    <w:p>
      <w:pPr>
        <w:spacing w:after="0" w:line="121" w:lineRule="exact"/>
        <w:rPr>
          <w:sz w:val="20"/>
          <w:szCs w:val="20"/>
          <w:color w:val="auto"/>
        </w:rPr>
      </w:pPr>
    </w:p>
    <w:p>
      <w:pPr>
        <w:jc w:val="both"/>
        <w:ind w:firstLine="562"/>
        <w:spacing w:after="0" w:line="289" w:lineRule="auto"/>
        <w:rPr>
          <w:sz w:val="20"/>
          <w:szCs w:val="20"/>
          <w:color w:val="auto"/>
        </w:rPr>
      </w:pPr>
      <w:r>
        <w:rPr>
          <w:rFonts w:ascii="Times New Roman" w:cs="Times New Roman" w:eastAsia="Times New Roman" w:hAnsi="Times New Roman"/>
          <w:sz w:val="18"/>
          <w:szCs w:val="18"/>
          <w:color w:val="auto"/>
        </w:rPr>
        <w:t>Revenue from customers in North America decreased during the three months ended December 31, 2024, primarily as a result of the phase out of several low-margin, non-core business activities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which was partially offset by higher revenue from managed services activities.</w:t>
      </w:r>
    </w:p>
    <w:p>
      <w:pPr>
        <w:spacing w:after="0" w:line="53"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Revenue from customers in Europe decreased during the three months ended December 31, 2024, primarily as a result of the phase out of several low-margin, non-core business activities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and due to timing differences between the natural roll-off of completed projects, and the gradual ramp-up of new deal awards.</w:t>
      </w:r>
    </w:p>
    <w:p>
      <w:pPr>
        <w:spacing w:after="0" w:line="199" w:lineRule="exact"/>
        <w:rPr>
          <w:sz w:val="20"/>
          <w:szCs w:val="20"/>
          <w:color w:val="auto"/>
        </w:rPr>
      </w:pPr>
    </w:p>
    <w:p>
      <w:pPr>
        <w:jc w:val="both"/>
        <w:ind w:right="220" w:firstLine="405"/>
        <w:spacing w:after="0" w:line="236" w:lineRule="auto"/>
        <w:rPr>
          <w:sz w:val="20"/>
          <w:szCs w:val="20"/>
          <w:color w:val="auto"/>
        </w:rPr>
      </w:pPr>
      <w:r>
        <w:rPr>
          <w:rFonts w:ascii="Times New Roman" w:cs="Times New Roman" w:eastAsia="Times New Roman" w:hAnsi="Times New Roman"/>
          <w:sz w:val="18"/>
          <w:szCs w:val="18"/>
          <w:color w:val="auto"/>
        </w:rPr>
        <w:t>Revenue from customers in the rest of the world decreased in the three months ended December 31, 2024, primarily in the Asia-Pacific region, as a result of the phase out of several low-margin, non-core business activities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Excluding the effects of the phase out activities, revenue from customers in the rest of the world increased as project and managed services activities continued to ramp up with various customers, primarily in Asia-Pacific region.</w:t>
      </w:r>
    </w:p>
    <w:p>
      <w:pPr>
        <w:spacing w:after="0" w:line="155" w:lineRule="exact"/>
        <w:rPr>
          <w:sz w:val="20"/>
          <w:szCs w:val="20"/>
          <w:color w:val="auto"/>
        </w:rPr>
      </w:pPr>
    </w:p>
    <w:p>
      <w:pPr>
        <w:jc w:val="both"/>
        <w:ind w:firstLine="47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third-party products, as well as fee and royalty payments to software suppliers. Cost of revenue decreased by $130.5 million, or 16.1%, to $682.3 million in the three months ended December 31, 2024, from $812.7 million in the three months ended December 31, 2023. The Cost of revenue as a percentage of revenue decreased to 61.5% in the three months ended December 31, 2024, from 65.3% in the three months ended December 31, 2023, the majority of which is a result of the phasing out of non-core, low-margin business activities and the continued focus on operational excellence and the efficiency improvements. Our cost of revenue was also positively affected by foreign exchange impacts.</w:t>
      </w:r>
    </w:p>
    <w:p>
      <w:pPr>
        <w:spacing w:after="0" w:line="14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decreased by $4.9 million, or 5.5%, to $84.3 million in the three months ended December 31, 2024, from $89.2 million in the three months ended December 31, 2023, while total revenue decreased at a higher rate as a result of the phasing out of non-core, low-margin business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activities, which resulted in an increase of research and development expense as a percentage of total revenue from 7.2% in the three months ended December 31, 2023, to 7.6% in the three months ended December 31, 2024. We continue to invest in our cloud offerings, 5G and network related innovation, AI and GenAI capabilities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6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decreased by $20.4 million, or 14.3% to $122.1 million in the three months ended December 31, 2024, from $142.5 million in the three months ended December 31, 2023. Selling, general and administrative expense slightly decreased as a percentage of revenue from 11.4% to 11.0% in the three months ended December 31, 2024. The decrease in costs was primarily attributable to operational excellence and efficiency improvements, and changes of certain acquisition-related liabilities measured at fair value, partially offset by an increase in account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6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and other in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2024, decreased by $0.7 million, or 4.0% to $15.8 million from $16.4 million in the three months ended December 31, 2023. The decrease in amortization of purchased intangible assets and other was primarily attributable to a decrease in the completion of amortization of previously purchased intangible assets, partially offset by an increase in amortization of intangible assets due to recent completed acquisitions.</w:t>
      </w:r>
    </w:p>
    <w:p>
      <w:pPr>
        <w:spacing w:after="0" w:line="17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w:t>
      </w:r>
      <w:r>
        <w:rPr>
          <w:rFonts w:ascii="Times New Roman" w:cs="Times New Roman" w:eastAsia="Times New Roman" w:hAnsi="Times New Roman"/>
          <w:sz w:val="18"/>
          <w:szCs w:val="18"/>
          <w:color w:val="auto"/>
        </w:rPr>
        <w:t>Restructuring charges for the three months ended December 31, 2024 were $6.8 million, while there were no restructuring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charges in the three months ended December 31, 2023. The increase was due to actions taken under a new restructuring plan in fiscal year 2024, mainly comprised of employee's severance expense and benefits arrangements. The Company expects to execute the remainder of the 2024 restructuring plan over the next several quarters, please see Note 9 to our consolidated financial statements.</w:t>
      </w:r>
    </w:p>
    <w:p>
      <w:pPr>
        <w:spacing w:after="0" w:line="14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Operating income increased by $14.5 million, or 7.9%, in the three months ended December 31, 2024, to $198.8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17.9% of revenue, from $184.3 million, or 14.8% of revenue, in the three months ended December 31, 2023. The increase in operating income was primarily attributable to the phasing out of non-core, low-margin business activities, and the continued focus on operational excellence through disciplined resource management, automation, and tools leveraging AI as well as GenAI, to drive additional cost savings and efficiency improvements. Our operating income was positively affected by foreign exchange impacts.</w:t>
      </w:r>
    </w:p>
    <w:p>
      <w:pPr>
        <w:spacing w:after="0" w:line="13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decreased from a net expense of $9.8 million in the three months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2023 to a net expense of $6.4 million in interest and other expense, net. The decrease in interest and other expense, net, was primarily attributable to: (i) a realized gain from an equity investment, partially offset by fair value changes of certain other equity investments resulting in a net increase of $7.5 million compared to the three months ended December 31, 2023, and, to a lesser extent, (ii) a decrease in foreign exchange fluctuation charges, partially offset by; (iii) a decrease in interest income net of interest expenses, as a result of lower level of cash balances, recorded in the three months ended December 31, 2024 compared to the three months ended December 31, 2023.</w:t>
      </w:r>
    </w:p>
    <w:p>
      <w:pPr>
        <w:spacing w:after="0" w:line="142"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Income taxes for the three months ended December 31, 2024 were $40.6 million on pre-tax income of $192.4 million, resulting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tax rate of 21.1%, compared to effective tax rate of 14.8% in the three months ended December 31, 2023. Our effective tax rate may fluctuate between periods as a result of discrete items that may affect a particular period, please see Note 10 to our consolidated financial statements.</w:t>
      </w:r>
    </w:p>
    <w:p>
      <w:pPr>
        <w:spacing w:after="0" w:line="14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Amdocs Limited</w:t>
      </w:r>
      <w:r>
        <w:rPr>
          <w:rFonts w:ascii="Times New Roman" w:cs="Times New Roman" w:eastAsia="Times New Roman" w:hAnsi="Times New Roman"/>
          <w:sz w:val="18"/>
          <w:szCs w:val="18"/>
          <w:color w:val="auto"/>
        </w:rPr>
        <w:t>. Net income increased by $3.2 million, or 2.1%, to $151.1 million in the three months ended December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2024, from $148.0 million in the three months ended December 31, 2023. The increase in net income is primarily attributable to an increase in operating income, and a realized gain from an equity investment, which were partially offset by an increase in income tax expense.</w:t>
      </w:r>
    </w:p>
    <w:p>
      <w:pPr>
        <w:spacing w:after="0" w:line="13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earnings per share increased by $0.07, or 5.6%, to $1.33 in the three months ended December 31, 2024,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$1.26 in the three months ended December 31, 2023. The increase in diluted earnings per share was primarily attributable to an increase in operating income in the three months ended December 31, 2024, to a decrease in the diluted weighted average number of shares outstanding which resulted from share repurchases, partially offset by an increase in income tax expense. Please see also Note 11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9512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73" w:lineRule="exact"/>
        <w:rPr>
          <w:sz w:val="20"/>
          <w:szCs w:val="20"/>
          <w:color w:val="auto"/>
        </w:rPr>
      </w:pPr>
    </w:p>
    <w:p>
      <w:pPr>
        <w:jc w:val="both"/>
        <w:ind w:right="40" w:firstLine="8"/>
        <w:spacing w:after="0" w:line="275" w:lineRule="auto"/>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During the three months ended December 31, 2024, we phased out several low-margin, non-core business activities, which were included in the three months ended December 31, 2023. These business activities resulted in an aggregate of approximately $600 million of revenue in fiscal year 2024, or approximately $150 million per fiscal quarter. The geographic proportional impact of revenue attributable to such business activities is consistent with that of the overall company in fiscal year 2024. These activities substantially already ceased in the three months ended December 31, 2024.</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Short-Term Interest-Bearing Investments. </w:t>
      </w:r>
      <w:r>
        <w:rPr>
          <w:rFonts w:ascii="Times New Roman" w:cs="Times New Roman" w:eastAsia="Times New Roman" w:hAnsi="Times New Roman"/>
          <w:sz w:val="18"/>
          <w:szCs w:val="18"/>
          <w:color w:val="auto"/>
        </w:rPr>
        <w:t>Cash, cash equivalents and short-term interest-bearing investments, totaled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$349.0 million as of December 31, 2024, compared to $514.3 million as of September 30, 2024. The decrease was mainly attributable to $144.5 million repurchase of our ordinary shares pursuant to our repurchase program, $54.1 million of cash dividend payment, $57.1 million payments for business acquisitions and $27.4 million for capital expenditures, net, partially offset by $105.6 million positive cash flow from operating activities, $16.3 million net proceeds from equity investments and other and $4.4 million of proceeds from stock options. Net cash provided by operating activities amounted to $105.6 million and $182.4 million in the three months ended December 31, 2024 and 2023, respectively.</w:t>
      </w:r>
    </w:p>
    <w:p>
      <w:pPr>
        <w:spacing w:after="0" w:line="14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free cash flow for the three months ended December 31, 2024 was $78.2 million and is calculated as net cash provided by operating activities of $105.6 million for the period less $27.4 million for capital expenditures, net, and is after restructuring payments of approximately $23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5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balances, cash generated from operations, our current lines of credit, loans, Senior Notes and our ability to access capital markets serve as sources of liquidity if needed and will provide sufficient resources to meet our operational needs, loan and debt repayment needs, fund share repurchases and the payment of cash dividends for at least the next twelve months.</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U.S. government treasuries and supranational and sovereign debt, which are stated at market value.</w:t>
      </w:r>
    </w:p>
    <w:p>
      <w:pPr>
        <w:spacing w:after="0" w:line="13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we have conservative investment policy guidelines. Our interest-bearing investments are stated at fair value with the unrealized gains or losses reported as a separate component of accumulated other comprehensive loss,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three months ended December 31, 2024 and 2023, we did not recognize any credit losses. Please see Notes 5 and 6 to the consolidated financial statements.</w:t>
      </w:r>
    </w:p>
    <w:p>
      <w:pPr>
        <w:spacing w:after="0" w:line="15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Loans, Senior Notes, Letters of Credit, Guarantees and Contractual Obligations. </w:t>
      </w:r>
      <w:r>
        <w:rPr>
          <w:rFonts w:ascii="Times New Roman" w:cs="Times New Roman" w:eastAsia="Times New Roman" w:hAnsi="Times New Roman"/>
          <w:sz w:val="18"/>
          <w:szCs w:val="18"/>
          <w:color w:val="auto"/>
        </w:rPr>
        <w:t>In December 2011, we entered into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$500.0 million Revolving Credit Facility. In December 2014, December 2017, March 2021 and July 2024, the Revolving Credit Facility was amended and restated to, among other things, extend the maturity date of the facility to December 2019, December 2022, March 2026 and July 2029, respectively. As of December 31, 2024, we were in compliance with the financial covenants and had no outstanding borrowing under the Revolving Credit Facility.</w:t>
      </w:r>
    </w:p>
    <w:p>
      <w:pPr>
        <w:spacing w:after="0" w:line="14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senior unsecured obligations and rank equally in right of payment with all of our existing and future senior indebtedness, including any indebtedness we may incur from time to time under the Revolving Credit Facility. </w:t>
      </w:r>
      <w:r>
        <w:rPr>
          <w:rFonts w:ascii="Times New Roman" w:cs="Times New Roman" w:eastAsia="Times New Roman" w:hAnsi="Times New Roman"/>
          <w:sz w:val="18"/>
          <w:szCs w:val="18"/>
          <w:color w:val="231F20"/>
        </w:rPr>
        <w:t>As of December 31, 2024,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noncurrent outstanding principal portion was $650.0 million. P</w:t>
      </w:r>
      <w:r>
        <w:rPr>
          <w:rFonts w:ascii="Times New Roman" w:cs="Times New Roman" w:eastAsia="Times New Roman" w:hAnsi="Times New Roman"/>
          <w:sz w:val="18"/>
          <w:szCs w:val="18"/>
          <w:color w:val="000000"/>
        </w:rPr>
        <w:t>lease see Note 13 to our consolidated financial statements.</w:t>
      </w:r>
    </w:p>
    <w:p>
      <w:pPr>
        <w:spacing w:after="0" w:line="14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we had additional uncommitted lines of credit available for general corporate and other specific purposes. We had outstanding letters of credit and bank guarantees totaling $90.2 million as of December 31, 2024.</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contractual obligations for Long-term debt and accrued interests, operating leases, purchase obligations, pension funding and unrecognized tax benefits, summarized in the disclosure of contractual obligations set forth in our Annual Report on Form 20-F for the fiscal year ended September 30, 2024, filed on December 17, 2024 with the SEC. Since September 30, 2024, there have been no material changes in our aggregate contractual obligations mentioned above.</w:t>
      </w:r>
    </w:p>
    <w:p>
      <w:pPr>
        <w:spacing w:after="0" w:line="13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During the three months ended December 31, 2024, we completed three business acquisitions for an aggregate net consideration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$59.0 million in cash, and a potential for additional consideration which may be paid later based on achievement of certain performance metrics. The majority of this amount was paid for the acquisition of Profinit, a data science and engineering company, please see Note 3 to our consolidated financial statements.</w:t>
      </w:r>
    </w:p>
    <w:p>
      <w:pPr>
        <w:spacing w:after="0" w:line="13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Generally, the majority of our capital expenditures consist of purchases of computer equipment, and the remainder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mainly to building and leasehold improvements. Our capital expenditures were approximately $27.4 million in the three months ended December 31, 2024 and were mainly attributable to investments in our operating facilities and our development centers around the world.</w:t>
      </w:r>
    </w:p>
    <w:p>
      <w:pPr>
        <w:spacing w:after="0" w:line="14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From time to time, our Board of Directors can adopt share repurchase plans authorizing the repurchase of our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ordinary shares. On August 2, 2023, our Board of Directors adopted a share repurchase plan for the repurchase of up to an additional $1.1 billion of our outstanding ordinary shares with no expiration date. The August 2023 plan permits us to purchase our ordinary shares in the open market or through privately negotiated transactions at times and prices that we consider appropriate. </w:t>
      </w:r>
      <w:r>
        <w:rPr>
          <w:rFonts w:ascii="Times New Roman" w:cs="Times New Roman" w:eastAsia="Times New Roman" w:hAnsi="Times New Roman"/>
          <w:sz w:val="18"/>
          <w:szCs w:val="18"/>
          <w:color w:val="231F20"/>
        </w:rPr>
        <w:t>In the three months ended December 31, 2024 we</w:t>
      </w:r>
      <w:r>
        <w:rPr>
          <w:rFonts w:ascii="Times New Roman" w:cs="Times New Roman" w:eastAsia="Times New Roman" w:hAnsi="Times New Roman"/>
          <w:sz w:val="18"/>
          <w:szCs w:val="18"/>
          <w:color w:val="auto"/>
        </w:rPr>
        <w:t xml:space="preserve"> repurchased 1.7 million ordinary shares at an average price of $86.96 per share (excluding broker and transaction fees). As of December 31, 2024, we had remaining authority to repurchase up to $393.2 million of our outstanding ordinary shares under the August 2023 plan.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Cash Dividends. </w:t>
      </w:r>
      <w:r>
        <w:rPr>
          <w:rFonts w:ascii="Times New Roman" w:cs="Times New Roman" w:eastAsia="Times New Roman" w:hAnsi="Times New Roman"/>
          <w:sz w:val="18"/>
          <w:szCs w:val="18"/>
          <w:color w:val="auto"/>
        </w:rPr>
        <w:t>Our Board of Directors declared the following dividends during the three months ended December 31, 2024 and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280" w:type="dxa"/>
            <w:vAlign w:val="bottom"/>
          </w:tcPr>
          <w:p>
            <w:pPr>
              <w:spacing w:after="0"/>
              <w:rPr>
                <w:sz w:val="13"/>
                <w:szCs w:val="13"/>
                <w:color w:val="auto"/>
              </w:rPr>
            </w:pPr>
          </w:p>
        </w:tc>
        <w:tc>
          <w:tcPr>
            <w:tcW w:w="16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80" w:type="dxa"/>
            <w:vAlign w:val="bottom"/>
          </w:tcPr>
          <w:p>
            <w:pPr>
              <w:spacing w:after="0"/>
              <w:rPr>
                <w:sz w:val="13"/>
                <w:szCs w:val="13"/>
                <w:color w:val="auto"/>
              </w:rPr>
            </w:pPr>
          </w:p>
        </w:tc>
        <w:tc>
          <w:tcPr>
            <w:tcW w:w="16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73"/>
        </w:trPr>
        <w:tc>
          <w:tcPr>
            <w:tcW w:w="40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280" w:type="dxa"/>
            <w:vAlign w:val="bottom"/>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12, 2024</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31, 2025</w:t>
            </w:r>
          </w:p>
        </w:tc>
        <w:tc>
          <w:tcPr>
            <w:tcW w:w="0" w:type="dxa"/>
            <w:vAlign w:val="bottom"/>
          </w:tcPr>
          <w:p>
            <w:pPr>
              <w:spacing w:after="0"/>
              <w:rPr>
                <w:sz w:val="1"/>
                <w:szCs w:val="1"/>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7, 2023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December 29, 2023</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bl>
    <w:p>
      <w:pPr>
        <w:spacing w:after="0" w:line="3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4, 2025 our Board of Directors approved the next quarterly dividend payment and set March 31, 2025 as the record date for determining the shareholders entitled to receive the dividend, which is payable on April 25, 2025 . On January 31, 2025, at the annual general meeting of shareholders, our shareholders approved an increase of approximately 10% in the rate of the quarterly cash dividend from $0.479 per share to $0.527 per share. As a result, the April 25, 2025 cash dividend will be paid at the increased rate of $0.527 per share.</w:t>
      </w:r>
    </w:p>
    <w:p>
      <w:pPr>
        <w:spacing w:after="0" w:line="13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3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2024 and 2023,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Changes in Securities, Use of Proceeds and Issuer Purchases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us and our affiliated purchasers during the three months ended December 31, 2024 of equity securities that are registered by us pursuant to Section 12 of the Exchange Act: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73"/>
        </w:trPr>
        <w:tc>
          <w:tcPr>
            <w:tcW w:w="3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Paid per Share(1)</w:t>
            </w:r>
          </w:p>
        </w:tc>
        <w:tc>
          <w:tcPr>
            <w:tcW w:w="24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or Programs(2)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10/01/24-10/31/24</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337,093</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337,093</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507,643,884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11/01/24-11/30/24</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346,611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346,611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477,826,015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12/01/24-12/31/24</w:t>
            </w:r>
          </w:p>
        </w:tc>
        <w:tc>
          <w:tcPr>
            <w:tcW w:w="12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977,500</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2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977,500</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393,185,859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1,661,204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1,661,204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393,185,859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-307975</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-307975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-307975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broker and transaction fees.</w:t>
      </w:r>
    </w:p>
    <w:p>
      <w:pPr>
        <w:spacing w:after="0" w:line="27"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2023, our Board of Directors adopted a share repurchase plan for the repurchase of up to an additional $1.1 billion of our outstanding ordinary shares. The authorizations have no expiration date and permit us to purchase our ordinary shares in open market or privately negotiated transactions at times and prices we consider appropriate.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Reports on Form 6-K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furnished or filed the following reports on Form 6-K during the three months ended December 31, 2024:</w:t>
      </w:r>
    </w:p>
    <w:p>
      <w:pPr>
        <w:spacing w:after="0" w:line="198"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November 13, 2024</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December 18, 2024</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December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Matthew E. Smith</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-119380</wp:posOffset>
            </wp:positionV>
            <wp:extent cx="35490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Secretary and Authorized Signatory</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18,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2"/>
    </w:lvl>
  </w:abstractNum>
  <w:abstractNum w:abstractNumId="6">
    <w:nsid w:val="25E45D32"/>
    <w:multiLevelType w:val="hybridMultilevel"/>
    <w:lvl w:ilvl="0">
      <w:lvlJc w:val="left"/>
      <w:lvlText w:val="%1."/>
      <w:numFmt w:val="decimal"/>
      <w:start w:val="3"/>
    </w:lvl>
  </w:abstractNum>
  <w:abstractNum w:abstractNumId="7">
    <w:nsid w:val="519B500D"/>
    <w:multiLevelType w:val="hybridMultilevel"/>
    <w:lvl w:ilvl="0">
      <w:lvlJc w:val="left"/>
      <w:lvlText w:val="%1."/>
      <w:numFmt w:val="decimal"/>
      <w:start w:val="4"/>
    </w:lvl>
  </w:abstractNum>
  <w:abstractNum w:abstractNumId="8">
    <w:nsid w:val="431BD7B7"/>
    <w:multiLevelType w:val="hybridMultilevel"/>
    <w:lvl w:ilvl="0">
      <w:lvlJc w:val="left"/>
      <w:lvlText w:val="%1."/>
      <w:numFmt w:val="decimal"/>
      <w:start w:val="5"/>
    </w:lvl>
  </w:abstractNum>
  <w:abstractNum w:abstractNumId="9">
    <w:nsid w:val="3F2DBA31"/>
    <w:multiLevelType w:val="hybridMultilevel"/>
    <w:lvl w:ilvl="0">
      <w:lvlJc w:val="left"/>
      <w:lvlText w:val="%1."/>
      <w:numFmt w:val="decimal"/>
      <w:start w:val="6"/>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7"/>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9"/>
    </w:lvl>
  </w:abstractNum>
  <w:abstractNum w:abstractNumId="15">
    <w:nsid w:val="333AB105"/>
    <w:multiLevelType w:val="hybridMultilevel"/>
    <w:lvl w:ilvl="0">
      <w:lvlJc w:val="left"/>
      <w:lvlText w:val="%1."/>
      <w:numFmt w:val="decimal"/>
      <w:start w:val="9"/>
    </w:lvl>
    <w:lvl w:ilvl="1">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1"/>
    </w:lvl>
  </w:abstractNum>
  <w:abstractNum w:abstractNumId="19">
    <w:nsid w:val="6763845E"/>
    <w:multiLevelType w:val="hybridMultilevel"/>
    <w:lvl w:ilvl="0">
      <w:lvlJc w:val="left"/>
      <w:lvlText w:val="%1."/>
      <w:numFmt w:val="decimal"/>
      <w:start w:val="12"/>
    </w:lvl>
  </w:abstractNum>
  <w:abstractNum w:abstractNumId="20">
    <w:nsid w:val="75A2A8D4"/>
    <w:multiLevelType w:val="hybridMultilevel"/>
    <w:lvl w:ilvl="0">
      <w:lvlJc w:val="left"/>
      <w:lvlText w:val="%1."/>
      <w:numFmt w:val="decimal"/>
      <w:start w:val="13"/>
    </w:lvl>
  </w:abstractNum>
  <w:abstractNum w:abstractNumId="21">
    <w:nsid w:val="8EDBDAB"/>
    <w:multiLevelType w:val="hybridMultilevel"/>
    <w:lvl w:ilvl="0">
      <w:lvlJc w:val="left"/>
      <w:lvlText w:val="%1."/>
      <w:numFmt w:val="decimal"/>
      <w:start w:val="14"/>
    </w:lvl>
  </w:abstractNum>
  <w:abstractNum w:abstractNumId="22">
    <w:nsid w:val="79838CB2"/>
    <w:multiLevelType w:val="hybridMultilevel"/>
    <w:lvl w:ilvl="0">
      <w:lvlJc w:val="left"/>
      <w:lvlText w:val="%1."/>
      <w:numFmt w:val="decimal"/>
      <w:start w:val="15"/>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2025-02-18T15:25:31Z</dcterms:created>
  <dcterms:modified xsi:type="dcterms:W3CDTF">2025-02-18T15:25:31Z</dcterms:modified>
</cp:coreProperties>
</file>