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AUGUST 15, 2001.</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6"/>
          <w:szCs w:val="16"/>
          <w:color w:val="auto"/>
        </w:rPr>
        <w:t>REGISTRATION NO. 333-</w:t>
      </w:r>
    </w:p>
    <w:p>
      <w:pPr>
        <w:spacing w:after="0" w:line="7"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F-3</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THE SECURITIES ACT OF 1933</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ISLAND OF</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GUERNSEY</w:t>
            </w:r>
          </w:p>
        </w:tc>
        <w:tc>
          <w:tcPr>
            <w:tcW w:w="3280" w:type="dxa"/>
            <w:vAlign w:val="bottom"/>
          </w:tcPr>
          <w:p>
            <w:pPr>
              <w:jc w:val="right"/>
              <w:ind w:right="1539"/>
              <w:spacing w:after="0"/>
              <w:rPr>
                <w:sz w:val="20"/>
                <w:szCs w:val="20"/>
                <w:color w:val="auto"/>
              </w:rPr>
            </w:pPr>
            <w:r>
              <w:rPr>
                <w:rFonts w:ascii="Courier New" w:cs="Courier New" w:eastAsia="Courier New" w:hAnsi="Courier New"/>
                <w:sz w:val="16"/>
                <w:szCs w:val="16"/>
                <w:color w:val="auto"/>
              </w:rPr>
              <w:t>7371</w:t>
            </w:r>
          </w:p>
        </w:tc>
        <w:tc>
          <w:tcPr>
            <w:tcW w:w="23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(STATE OR OTHER</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JURISDICTION OF</w:t>
            </w:r>
          </w:p>
        </w:tc>
        <w:tc>
          <w:tcPr>
            <w:tcW w:w="3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(PRIMARY STANDARD INDUSTRIAL</w:t>
            </w:r>
          </w:p>
        </w:tc>
        <w:tc>
          <w:tcPr>
            <w:tcW w:w="23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CLASSIFICATION CODE NUMBER)</w:t>
            </w:r>
          </w:p>
        </w:tc>
        <w:tc>
          <w:tcPr>
            <w:tcW w:w="2300" w:type="dxa"/>
            <w:vAlign w:val="bottom"/>
          </w:tcPr>
          <w:p>
            <w:pPr>
              <w:ind w:left="440"/>
              <w:spacing w:after="0"/>
              <w:rPr>
                <w:sz w:val="20"/>
                <w:szCs w:val="20"/>
                <w:color w:val="auto"/>
              </w:rPr>
            </w:pPr>
            <w:r>
              <w:rPr>
                <w:rFonts w:ascii="Courier New" w:cs="Courier New" w:eastAsia="Courier New" w:hAnsi="Courier New"/>
                <w:sz w:val="16"/>
                <w:szCs w:val="16"/>
                <w:color w:val="auto"/>
              </w:rPr>
              <w:t>IDENTIFICATION NO.)</w:t>
            </w:r>
          </w:p>
        </w:tc>
      </w:tr>
    </w:tbl>
    <w:p>
      <w:pPr>
        <w:spacing w:after="0" w:line="38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011-44-1481-728444</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ATTENTION: THOMAS G. O'BRIEN, TREASURER</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(314) 212-8328</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COMMISSION IS REQUESTED TO SEND COPIES OF ALL COMMUNICATIONS TO:</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ROBERT A. SCHWED, ESQ.</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MERRILL A. ULMER, ESQ.</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REBOUL, MACMURRAY, HEWITT, MAYNARD &amp; KRISTOL</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45 ROCKEFELLER PLAZA</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NEW YORK, NEW YORK 10111</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(212) 841-5700</w:t>
      </w:r>
    </w:p>
    <w:p>
      <w:pPr>
        <w:spacing w:after="0" w:line="195" w:lineRule="exact"/>
        <w:rPr>
          <w:sz w:val="24"/>
          <w:szCs w:val="24"/>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183" w:lineRule="exact"/>
        <w:rPr>
          <w:sz w:val="24"/>
          <w:szCs w:val="24"/>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5" w:lineRule="exact"/>
        <w:rPr>
          <w:sz w:val="24"/>
          <w:szCs w:val="24"/>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please check the following box. [X] ________</w:t>
      </w:r>
    </w:p>
    <w:p>
      <w:pPr>
        <w:spacing w:after="0" w:line="185" w:lineRule="exact"/>
        <w:rPr>
          <w:sz w:val="24"/>
          <w:szCs w:val="24"/>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w:t>
      </w:r>
    </w:p>
    <w:p>
      <w:pPr>
        <w:spacing w:after="0" w:line="188" w:lineRule="exact"/>
        <w:rPr>
          <w:sz w:val="24"/>
          <w:szCs w:val="24"/>
          <w:color w:val="auto"/>
        </w:rPr>
      </w:pPr>
    </w:p>
    <w:p>
      <w:pPr>
        <w:jc w:val="both"/>
        <w:ind w:right="2699" w:firstLine="391"/>
        <w:spacing w:after="0" w:line="24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188" w:lineRule="exact"/>
        <w:rPr>
          <w:sz w:val="24"/>
          <w:szCs w:val="24"/>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 ________</w:t>
      </w:r>
    </w:p>
    <w:p>
      <w:pPr>
        <w:spacing w:after="0" w:line="183"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195" w:lineRule="exact"/>
        <w:rPr>
          <w:sz w:val="24"/>
          <w:szCs w:val="24"/>
          <w:color w:val="auto"/>
        </w:rPr>
      </w:pPr>
    </w:p>
    <w:p>
      <w:pPr>
        <w:ind w:left="240" w:hanging="195"/>
        <w:spacing w:after="0"/>
        <w:tabs>
          <w:tab w:leader="none" w:pos="2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0" w:gutter="0" w:footer="0" w:header="0"/>
        </w:sectPr>
      </w:pPr>
    </w:p>
    <w:bookmarkStart w:id="1" w:name="page2"/>
    <w:bookmarkEnd w:id="1"/>
    <w:p>
      <w:pPr>
        <w:jc w:val="center"/>
        <w:ind w:right="9059"/>
        <w:spacing w:after="0"/>
        <w:rPr>
          <w:sz w:val="20"/>
          <w:szCs w:val="20"/>
          <w:color w:val="auto"/>
        </w:rPr>
      </w:pPr>
      <w:r>
        <w:rPr>
          <w:rFonts w:ascii="Courier New" w:cs="Courier New" w:eastAsia="Courier New" w:hAnsi="Courier New"/>
          <w:sz w:val="16"/>
          <w:szCs w:val="16"/>
          <w:color w:val="auto"/>
        </w:rPr>
        <w:t>PROPOSED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MAXIMUM</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PROPOSED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MAXIMUM</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TITLE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EACH CLASS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SECURITIES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TO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AGGREGATE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AGGREGATE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TO BE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REGISTERED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REGISTERED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 UNIT(1)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PRICE(1)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FEE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Convertible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Notes due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1,</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$500,000,000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100%</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$500,000,000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$125,000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2008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L0.01 par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value(2)</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5,429,350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 -- -</w:t>
      </w:r>
    </w:p>
    <w:p>
      <w:pPr>
        <w:spacing w:after="0" w:line="7" w:lineRule="exact"/>
        <w:rPr>
          <w:sz w:val="20"/>
          <w:szCs w:val="20"/>
          <w:color w:val="auto"/>
        </w:rPr>
      </w:pPr>
    </w:p>
    <w:p>
      <w:pPr>
        <w:ind w:left="240" w:hanging="195"/>
        <w:spacing w:after="0"/>
        <w:tabs>
          <w:tab w:leader="none" w:pos="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00" w:hanging="400"/>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Equals the aggregate principal of the notes being registered.</w:t>
      </w:r>
    </w:p>
    <w:p>
      <w:pPr>
        <w:spacing w:after="0" w:line="194" w:lineRule="exact"/>
        <w:rPr>
          <w:rFonts w:ascii="Courier New" w:cs="Courier New" w:eastAsia="Courier New" w:hAnsi="Courier New"/>
          <w:sz w:val="16"/>
          <w:szCs w:val="16"/>
          <w:color w:val="auto"/>
        </w:rPr>
      </w:pPr>
    </w:p>
    <w:p>
      <w:pPr>
        <w:ind w:left="400" w:right="2399" w:hanging="400"/>
        <w:spacing w:after="0" w:line="248" w:lineRule="auto"/>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ordinary shares issuable upon conversion of the notes at a conversion price of $92.09 per share. No additional consideration will be received for the ordinary shares, and therefore no registration fee is required for these shares pursuant to Rule 457(i).</w:t>
      </w:r>
    </w:p>
    <w:p>
      <w:pPr>
        <w:spacing w:after="0" w:line="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5"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Subject To Completion, dated August 15, 2001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$500,000,000</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5,429,350 ORDINARY SHARES ISSUABLE</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UPON CONVERSION OF THE NOTES</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holders listed under the caption "Selling Holders" beginning on page 50 may offer and resell for each of their own accounts up to an aggregate of $500,000,000 2% Convertible Notes due June 1, 2008 and the 5,429,350 ordinary shares issuable upon conversion of the notes. In May 2001, we issued and sold these notes to the initial purchaser in private offering. For a more detailed description of the plan of distribution, see "Plan of Distribution," beginning on page 55.</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are senior unsecured obligations of Amdocs Limited, an Island of Guernsey corporation. Holders of the notes may convert the notes into our ordinary shares at any time before their maturity or their prior redemption or repurchase by Amdocs. The notes will mature on June 1, 2008. The conversion rate is 10.8587 ordinary shares per each $1,000 principal amount of the notes, subject to adjustment in some circumstances. This is equivalent to a conversion price of approximately $92.09 per share.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will pay interest on the notes on June 1 and December 1 of each year. The first interest payment will be made on December 1, 2001. On or after June 1, 2006, we have the option to redeem all or a portion of the notes that have not been previously converted at a redemption price of 100% of principal amount plus accrued interest to, but excluding, the redemption date. On June 1, 2004 and June 1, 2006, you have the option to require us to repurchase any notes held by you at a price equal to 100% of the principal amount of the notes plus accrued interest to, but excluding, the date of repurchase. You also have the option, subject to certain conditions, to require us to repurchase any notes held by you in the event of a "change in control" at a price equal to 100% of the principal amount of the notes plus accrued interest to, but excluding, the date of repurchase. Upon the exercise by you of either of the repurchase rights, we may choose to pay the repurchase price in our ordinary shares.</w:t>
      </w:r>
    </w:p>
    <w:p>
      <w:pPr>
        <w:spacing w:after="0" w:line="187" w:lineRule="exact"/>
        <w:rPr>
          <w:sz w:val="20"/>
          <w:szCs w:val="20"/>
          <w:color w:val="auto"/>
        </w:rPr>
      </w:pPr>
    </w:p>
    <w:p>
      <w:pPr>
        <w:jc w:val="both"/>
        <w:ind w:right="2799" w:firstLine="489"/>
        <w:spacing w:after="0" w:line="250" w:lineRule="auto"/>
        <w:rPr>
          <w:sz w:val="20"/>
          <w:szCs w:val="20"/>
          <w:color w:val="auto"/>
        </w:rPr>
      </w:pPr>
      <w:r>
        <w:rPr>
          <w:rFonts w:ascii="Courier New" w:cs="Courier New" w:eastAsia="Courier New" w:hAnsi="Courier New"/>
          <w:sz w:val="16"/>
          <w:szCs w:val="16"/>
          <w:color w:val="auto"/>
        </w:rPr>
        <w:t>Our ordinary shares are listed on the New York Stock Exchange under the symbol "DOX". The last reported sale price of the ordinary shares on the New York Stock Exchange on August 14, 2001 was $41.55 per share.</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have not applied for listing of the notes on any securities exchange or for quotation through any automated quotation system. The notes are eligible for trading in the Private Offerings, Resales and Trading through Automated Linkages ("PORTAL") market of the NASDAQ Stock Market.</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and the ordinary shares issuable upon conversion of the notes may be offered for sale from time to time by the selling holders in brokerage transactions at prevailing market prices, in transactions at negotiated prices or otherwise. No representation is made that any ordinary shares will or will not be offered for sale. We will not receive any proceeds from the sale by the selling holders of the notes or ordinary shares issuable upon conversion of the notes. We will pay all costs, expenses and fees in connection with the registration of the notes and the ordinary shares, except that all selling commissions and fees and other expenses incurred by the selling holders will be borne by such holders.</w:t>
      </w:r>
    </w:p>
    <w:p>
      <w:pPr>
        <w:spacing w:after="0" w:line="37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selling holders and the brokers who sell our ordinary shares may be "underwriters" within the meaning of Section 2(11) of the Securities Act of 1933, as amended. In addition, any profits realized by the selling holders or such brokers on the sale of any shares of ordinary shares may constitute underwriting commissions.</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SEE "RISK FACTORS" ON PAGE 8 TO READ ABOUT IMPORTANT FACTORS YOU SHOULD CONSIDER BEFORE BUYING THE NOTES OR THE ORDINARY SHARES ISSUABLE UPON CONVERSION OF THE NOTES.</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NEITHER THE SECURITIES AND EXCHANGE COMMISSION NOR ANY OTHER REGULATORY</w:t>
      </w:r>
    </w:p>
    <w:p>
      <w:pPr>
        <w:sectPr>
          <w:pgSz w:w="11900" w:h="16850" w:orient="portrait"/>
          <w:cols w:equalWidth="0" w:num="1">
            <w:col w:w="10219"/>
          </w:cols>
          <w:pgMar w:left="240" w:top="305" w:right="1440" w:bottom="0" w:gutter="0" w:footer="0" w:header="0"/>
        </w:sectPr>
      </w:pPr>
    </w:p>
    <w:bookmarkStart w:id="3" w:name="page4"/>
    <w:bookmarkEnd w:id="3"/>
    <w:p>
      <w:pPr>
        <w:jc w:val="both"/>
        <w:ind w:right="2399"/>
        <w:spacing w:after="0" w:line="248" w:lineRule="auto"/>
        <w:rPr>
          <w:sz w:val="20"/>
          <w:szCs w:val="20"/>
          <w:color w:val="auto"/>
        </w:rPr>
      </w:pPr>
      <w:r>
        <w:rPr>
          <w:rFonts w:ascii="Courier New" w:cs="Courier New" w:eastAsia="Courier New" w:hAnsi="Courier New"/>
          <w:sz w:val="16"/>
          <w:szCs w:val="16"/>
          <w:color w:val="auto"/>
        </w:rPr>
        <w:t>BODY HAS APPROVED OR DISAPPROVED OF THESE SECURITIES OR PASSED UPON THE ACCURACY OR ADEQUACY OF THIS PROSPECTUS. ANY REPRESENTATION TO THE CONTRARY IS A CRIMINAL OFFENSE.</w:t>
      </w:r>
    </w:p>
    <w:p>
      <w:pPr>
        <w:spacing w:after="0" w:line="2"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PROSPECTUS DATED AUGUST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ectPr>
          <w:pgSz w:w="11900" w:h="16838" w:orient="portrait"/>
          <w:cols w:equalWidth="0" w:num="1">
            <w:col w:w="10219"/>
          </w:cols>
          <w:pgMar w:left="240" w:top="142"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jc w:val="right"/>
              <w:ind w:right="1722"/>
              <w:spacing w:after="0"/>
              <w:rPr>
                <w:sz w:val="20"/>
                <w:szCs w:val="20"/>
                <w:color w:val="auto"/>
              </w:rPr>
            </w:pPr>
            <w:r>
              <w:rPr>
                <w:rFonts w:ascii="Courier New" w:cs="Courier New" w:eastAsia="Courier New" w:hAnsi="Courier New"/>
                <w:sz w:val="16"/>
                <w:szCs w:val="16"/>
                <w:color w:val="auto"/>
              </w:rPr>
              <w:t>3</w:t>
            </w:r>
          </w:p>
        </w:tc>
        <w:tc>
          <w:tcPr>
            <w:tcW w:w="2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362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TABLE OF CONTENTS</w:t>
            </w:r>
          </w:p>
        </w:tc>
      </w:tr>
      <w:tr>
        <w:trPr>
          <w:trHeight w:val="376"/>
        </w:trPr>
        <w:tc>
          <w:tcPr>
            <w:tcW w:w="2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PAGE ----</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Documents Incorporated by</w:t>
            </w:r>
          </w:p>
        </w:tc>
        <w:tc>
          <w:tcPr>
            <w:tcW w:w="1180" w:type="dxa"/>
            <w:vAlign w:val="bottom"/>
          </w:tcPr>
          <w:p>
            <w:pPr>
              <w:spacing w:after="0"/>
              <w:rPr>
                <w:sz w:val="24"/>
                <w:szCs w:val="24"/>
                <w:color w:val="auto"/>
              </w:rPr>
            </w:pP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w w:val="71"/>
              </w:rPr>
              <w:t>Reference.........................</w:t>
            </w:r>
          </w:p>
        </w:tc>
        <w:tc>
          <w:tcPr>
            <w:tcW w:w="3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2 Forward-Looking</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Statements..................................</w:t>
            </w: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Summary.....................................................</w:t>
            </w:r>
          </w:p>
        </w:tc>
        <w:tc>
          <w:tcPr>
            <w:tcW w:w="1180" w:type="dxa"/>
            <w:vAlign w:val="bottom"/>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4 Risk</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Factors................................................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r>
      <w:tr>
        <w:trPr>
          <w:trHeight w:val="188"/>
        </w:trPr>
        <w:tc>
          <w:tcPr>
            <w:tcW w:w="4640" w:type="dxa"/>
            <w:vAlign w:val="bottom"/>
            <w:gridSpan w:val="2"/>
          </w:tcPr>
          <w:p>
            <w:pPr>
              <w:jc w:val="center"/>
              <w:ind w:left="1142"/>
              <w:spacing w:after="0"/>
              <w:rPr>
                <w:sz w:val="20"/>
                <w:szCs w:val="20"/>
                <w:color w:val="auto"/>
              </w:rPr>
            </w:pPr>
            <w:r>
              <w:rPr>
                <w:rFonts w:ascii="Courier New" w:cs="Courier New" w:eastAsia="Courier New" w:hAnsi="Courier New"/>
                <w:sz w:val="16"/>
                <w:szCs w:val="16"/>
                <w:color w:val="auto"/>
              </w:rPr>
              <w:t>Ratio of Earnings to Fixed</w:t>
            </w:r>
          </w:p>
        </w:tc>
        <w:tc>
          <w:tcPr>
            <w:tcW w:w="1180" w:type="dxa"/>
            <w:vAlign w:val="bottom"/>
          </w:tcPr>
          <w:p>
            <w:pPr>
              <w:spacing w:after="0"/>
              <w:rPr>
                <w:sz w:val="16"/>
                <w:szCs w:val="16"/>
                <w:color w:val="auto"/>
              </w:rPr>
            </w:pP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w w:val="73"/>
              </w:rPr>
              <w:t>Charges..........................</w:t>
            </w:r>
          </w:p>
        </w:tc>
        <w:tc>
          <w:tcPr>
            <w:tcW w:w="36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 Offer Statistics and</w:t>
            </w: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3"/>
                <w:szCs w:val="13"/>
                <w:color w:val="auto"/>
                <w:w w:val="71"/>
              </w:rPr>
              <w:t>Timetable..............................</w:t>
            </w:r>
          </w:p>
        </w:tc>
        <w:tc>
          <w:tcPr>
            <w:tcW w:w="3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17 Use of</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Proceeds.............................................</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w:t>
            </w: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The Offer and</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Listing.......................................</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18</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Capitalization..............................................</w:t>
            </w:r>
          </w:p>
        </w:tc>
        <w:tc>
          <w:tcPr>
            <w:tcW w:w="1180" w:type="dxa"/>
            <w:vAlign w:val="bottom"/>
          </w:tcPr>
          <w:p>
            <w:pPr>
              <w:spacing w:after="0"/>
              <w:rPr>
                <w:sz w:val="16"/>
                <w:szCs w:val="16"/>
                <w:color w:val="auto"/>
              </w:rPr>
            </w:pPr>
          </w:p>
        </w:tc>
      </w:tr>
      <w:tr>
        <w:trPr>
          <w:trHeight w:val="188"/>
        </w:trPr>
        <w:tc>
          <w:tcPr>
            <w:tcW w:w="58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20 Unaudited Proforma Condensed Combined Statements of</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Operations................................................</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center"/>
              <w:ind w:left="1142"/>
              <w:spacing w:after="0"/>
              <w:rPr>
                <w:sz w:val="20"/>
                <w:szCs w:val="20"/>
                <w:color w:val="auto"/>
              </w:rPr>
            </w:pPr>
            <w:r>
              <w:rPr>
                <w:rFonts w:ascii="Courier New" w:cs="Courier New" w:eastAsia="Courier New" w:hAnsi="Courier New"/>
                <w:sz w:val="16"/>
                <w:szCs w:val="16"/>
                <w:color w:val="auto"/>
              </w:rPr>
              <w:t>21 Description of the</w:t>
            </w:r>
          </w:p>
        </w:tc>
        <w:tc>
          <w:tcPr>
            <w:tcW w:w="1180" w:type="dxa"/>
            <w:vAlign w:val="bottom"/>
          </w:tcPr>
          <w:p>
            <w:pPr>
              <w:spacing w:after="0"/>
              <w:rPr>
                <w:sz w:val="16"/>
                <w:szCs w:val="16"/>
                <w:color w:val="auto"/>
              </w:rPr>
            </w:pP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2"/>
                <w:szCs w:val="12"/>
                <w:color w:val="auto"/>
                <w:w w:val="73"/>
              </w:rPr>
              <w:t>Notes....................................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 Description of</w:t>
            </w: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 Capital................................</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 Comparison</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of United States and Guernsey Corporate Law......</w:t>
            </w:r>
          </w:p>
        </w:tc>
        <w:tc>
          <w:tcPr>
            <w:tcW w:w="11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w:t>
            </w: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Taxation of the</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Company.....................................</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43 Certain</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U.S. Federal Income Tax Considerations..............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w:t>
            </w:r>
          </w:p>
        </w:tc>
      </w:tr>
      <w:tr>
        <w:trPr>
          <w:trHeight w:val="188"/>
        </w:trPr>
        <w:tc>
          <w:tcPr>
            <w:tcW w:w="4640" w:type="dxa"/>
            <w:vAlign w:val="bottom"/>
            <w:gridSpan w:val="2"/>
          </w:tcPr>
          <w:p>
            <w:pPr>
              <w:jc w:val="center"/>
              <w:ind w:left="1142"/>
              <w:spacing w:after="0"/>
              <w:rPr>
                <w:sz w:val="20"/>
                <w:szCs w:val="20"/>
                <w:color w:val="auto"/>
              </w:rPr>
            </w:pPr>
            <w:r>
              <w:rPr>
                <w:rFonts w:ascii="Courier New" w:cs="Courier New" w:eastAsia="Courier New" w:hAnsi="Courier New"/>
                <w:sz w:val="16"/>
                <w:szCs w:val="16"/>
                <w:color w:val="auto"/>
              </w:rPr>
              <w:t>Certain Guernsey Tax</w:t>
            </w:r>
          </w:p>
        </w:tc>
        <w:tc>
          <w:tcPr>
            <w:tcW w:w="1180" w:type="dxa"/>
            <w:vAlign w:val="bottom"/>
          </w:tcPr>
          <w:p>
            <w:pPr>
              <w:spacing w:after="0"/>
              <w:rPr>
                <w:sz w:val="16"/>
                <w:szCs w:val="16"/>
                <w:color w:val="auto"/>
              </w:rPr>
            </w:pPr>
          </w:p>
        </w:tc>
      </w:tr>
      <w:tr>
        <w:trPr>
          <w:trHeight w:val="188"/>
        </w:trPr>
        <w:tc>
          <w:tcPr>
            <w:tcW w:w="2200" w:type="dxa"/>
            <w:vAlign w:val="bottom"/>
          </w:tcPr>
          <w:p>
            <w:pPr>
              <w:jc w:val="right"/>
              <w:spacing w:after="0"/>
              <w:rPr>
                <w:sz w:val="20"/>
                <w:szCs w:val="20"/>
                <w:color w:val="auto"/>
              </w:rPr>
            </w:pPr>
            <w:r>
              <w:rPr>
                <w:rFonts w:ascii="Courier New" w:cs="Courier New" w:eastAsia="Courier New" w:hAnsi="Courier New"/>
                <w:sz w:val="13"/>
                <w:szCs w:val="13"/>
                <w:color w:val="auto"/>
                <w:w w:val="71"/>
              </w:rPr>
              <w:t>Considerations.........................</w:t>
            </w:r>
          </w:p>
        </w:tc>
        <w:tc>
          <w:tcPr>
            <w:tcW w:w="36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49 Selling</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Holders.............................................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w:t>
            </w: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79"/>
              <w:spacing w:after="0"/>
              <w:rPr>
                <w:sz w:val="20"/>
                <w:szCs w:val="20"/>
                <w:color w:val="auto"/>
              </w:rPr>
            </w:pPr>
            <w:r>
              <w:rPr>
                <w:rFonts w:ascii="Courier New" w:cs="Courier New" w:eastAsia="Courier New" w:hAnsi="Courier New"/>
                <w:sz w:val="16"/>
                <w:szCs w:val="16"/>
                <w:color w:val="auto"/>
              </w:rPr>
              <w:t>Plan of</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Distribution........................................</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w:t>
            </w: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Legal</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Matters...............................................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w:t>
            </w: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Experts.....................................................</w:t>
            </w:r>
          </w:p>
        </w:tc>
        <w:tc>
          <w:tcPr>
            <w:tcW w:w="1180" w:type="dxa"/>
            <w:vAlign w:val="bottom"/>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4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56 Available</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Information.......................................</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w:t>
            </w:r>
          </w:p>
        </w:tc>
      </w:tr>
      <w:tr>
        <w:trPr>
          <w:trHeight w:val="188"/>
        </w:trPr>
        <w:tc>
          <w:tcPr>
            <w:tcW w:w="4640" w:type="dxa"/>
            <w:vAlign w:val="bottom"/>
            <w:gridSpan w:val="2"/>
          </w:tcPr>
          <w:p>
            <w:pPr>
              <w:jc w:val="center"/>
              <w:ind w:left="1142"/>
              <w:spacing w:after="0"/>
              <w:rPr>
                <w:sz w:val="20"/>
                <w:szCs w:val="20"/>
                <w:color w:val="auto"/>
              </w:rPr>
            </w:pPr>
            <w:r>
              <w:rPr>
                <w:rFonts w:ascii="Courier New" w:cs="Courier New" w:eastAsia="Courier New" w:hAnsi="Courier New"/>
                <w:sz w:val="16"/>
                <w:szCs w:val="16"/>
                <w:color w:val="auto"/>
              </w:rPr>
              <w:t>Enforceability of Civil</w:t>
            </w:r>
          </w:p>
        </w:tc>
        <w:tc>
          <w:tcPr>
            <w:tcW w:w="1180" w:type="dxa"/>
            <w:vAlign w:val="bottom"/>
          </w:tcPr>
          <w:p>
            <w:pPr>
              <w:spacing w:after="0"/>
              <w:rPr>
                <w:sz w:val="16"/>
                <w:szCs w:val="16"/>
                <w:color w:val="auto"/>
              </w:rPr>
            </w:pPr>
          </w:p>
        </w:tc>
      </w:tr>
      <w:tr>
        <w:trPr>
          <w:trHeight w:val="188"/>
        </w:trPr>
        <w:tc>
          <w:tcPr>
            <w:tcW w:w="4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Liabilities.........................</w:t>
            </w:r>
          </w:p>
        </w:tc>
        <w:tc>
          <w:tcPr>
            <w:tcW w:w="1180" w:type="dxa"/>
            <w:vAlign w:val="bottom"/>
          </w:tcPr>
          <w:p>
            <w:pPr>
              <w:jc w:val="right"/>
              <w:ind w:right="899"/>
              <w:spacing w:after="0"/>
              <w:rPr>
                <w:sz w:val="20"/>
                <w:szCs w:val="20"/>
                <w:color w:val="auto"/>
              </w:rPr>
            </w:pPr>
            <w:r>
              <w:rPr>
                <w:rFonts w:ascii="Courier New" w:cs="Courier New" w:eastAsia="Courier New" w:hAnsi="Courier New"/>
                <w:sz w:val="16"/>
                <w:szCs w:val="16"/>
                <w:color w:val="auto"/>
                <w:w w:val="93"/>
              </w:rPr>
              <w:t>56</w:t>
            </w:r>
          </w:p>
        </w:tc>
      </w:tr>
    </w:tbl>
    <w:p>
      <w:pPr>
        <w:sectPr>
          <w:pgSz w:w="11900" w:h="16838" w:orient="portrait"/>
          <w:cols w:equalWidth="0" w:num="1">
            <w:col w:w="10219"/>
          </w:cols>
          <w:pgMar w:left="240" w:top="305"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incorporate by reference into this prospectus the documents listed below and any future filings we make with the Securities and Exchange Commission, referred to herein as the SEC, under Sections 13(a), 13(c), 14 or 15(d) of the Securities Exchange Act of 1934, as amended, including any filings after the date of this prospectus, until the selling holders have sold all of the notes and the ordinary shares issuable upon conversion of the notes to which this prospectus relates or the offering is otherwise terminated:</w:t>
      </w:r>
    </w:p>
    <w:p>
      <w:pPr>
        <w:spacing w:after="0" w:line="187" w:lineRule="exact"/>
        <w:rPr>
          <w:sz w:val="20"/>
          <w:szCs w:val="20"/>
          <w:color w:val="auto"/>
        </w:rPr>
      </w:pPr>
    </w:p>
    <w:p>
      <w:pPr>
        <w:ind w:left="680" w:right="2599" w:hanging="191"/>
        <w:spacing w:after="0" w:line="252"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year ended September 30, 2000, filed on April 3, 2001;</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6-K for the quarterly periods ended December 31, 2000, March 31, 2001 and June 30, 2001 filed on February 1, 2001, May 10, 2001 and August 9, 2001, respectively;</w:t>
      </w:r>
    </w:p>
    <w:p>
      <w:pPr>
        <w:spacing w:after="0" w:line="185"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of foreign private issuer on Form 6-K filed on May 24, 2001 and May 31, 2001; and</w:t>
      </w:r>
    </w:p>
    <w:p>
      <w:pPr>
        <w:spacing w:after="0" w:line="183" w:lineRule="exact"/>
        <w:rPr>
          <w:rFonts w:ascii="Courier New" w:cs="Courier New" w:eastAsia="Courier New" w:hAnsi="Courier New"/>
          <w:sz w:val="16"/>
          <w:szCs w:val="16"/>
          <w:color w:val="auto"/>
        </w:rPr>
      </w:pPr>
    </w:p>
    <w:p>
      <w:pPr>
        <w:ind w:left="680" w:right="2879" w:hanging="191"/>
        <w:spacing w:after="0" w:line="249"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ordinary shares contained in our Registration Statement on Form 8-A filed on June 17, 1998 under Section 12 of the Securities Exchange Act of 1934, including any amendment or report updating this description.</w:t>
      </w:r>
    </w:p>
    <w:p>
      <w:pPr>
        <w:spacing w:after="0" w:line="187"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of foreign private issuer on Form 6-K filed on December 13, 1999, April 11, 2000 (as amended by Form 6-K/A filed on June 8, 2000) and December 29, 2000.</w:t>
      </w:r>
    </w:p>
    <w:p>
      <w:pPr>
        <w:spacing w:after="0" w:line="185" w:lineRule="exact"/>
        <w:rPr>
          <w:sz w:val="20"/>
          <w:szCs w:val="20"/>
          <w:color w:val="auto"/>
        </w:rPr>
      </w:pPr>
    </w:p>
    <w:p>
      <w:pPr>
        <w:ind w:right="2699" w:firstLine="489"/>
        <w:spacing w:after="0" w:line="24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3" w:lineRule="exact"/>
        <w:rPr>
          <w:sz w:val="20"/>
          <w:szCs w:val="20"/>
          <w:color w:val="auto"/>
        </w:rPr>
      </w:pPr>
    </w:p>
    <w:p>
      <w:pPr>
        <w:ind w:right="2399"/>
        <w:spacing w:after="0" w:line="252"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subsequently filed document that is incorporated by reference into this prospectus modifies or supersedes such statement.</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may request a copy of any or all of the documents referred to above other than exhibits to such documents that are not specifically incorporated by reference therein. Written or telephone requests should be directed to Thomas O'Brien, Secretary and Treasurer, Amdocs, Inc., 1390 Timberlake Manor Parkway, Chesterfield, Missouri 63017, telephone (314) 212-8328. Copies of such documents may also be obtained from various alternative sources -- see "Available Information".</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FORWARD-LOOKING STATEMENTS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to historical information, this prospectus contains and incorporates by reference statements relating to our future business and/or results, including, without limitation, the statements under the captions "Summary" and "Risk Factors" contained in this prospectus and the statements under the captions, "Operating and Financial Review and Prospects" and "Information on the Company" incorporated by reference from our annual report on Form 20-F/A for the year ended September 30, 2000. These statements include certain projections and business trends which are "forward-looking" within the meaning of the Private Securities Litigation Reform Act of 1995. You can identify these statements by the use of words like "may", "will", "could", "should", "project", "believe", "anticipate", "expect", "plan", "estimate", "forecast", "potential", "intend", "continue" and variations of these words or comparable words. Forward-looking statements do not guarantee future performance and involve risks and uncertainties. Actual results may differ materially from projected results as a result of certain risks and uncertainties. These risks and uncertainties include, without limitation, those described under "Risk Factors" and those detailed from time to time in our filings with the SEC. These forward-looking statements are made only as of the date of this prospectus. We do not undertake to update or revise the forward-looking statements, whether as a result of new information, future events or otherwise.</w:t>
      </w:r>
    </w:p>
    <w:p>
      <w:pPr>
        <w:spacing w:after="0" w:line="186"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In making an investment decision, you must rely on your own examination of Amdocs Limited and the terms of this offering, including the merits and risks involved. These notes and the ordinary</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5"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shares issuable upon conversion of the notes have not been recommended by any federal or state securities commission or regulatory authority. Furthermore, these authorities have not confirmed the accuracy or determined the adequacy of this document. Any representation to the contrary is a criminal offense. The notes and ordinary shares issuable upon conversion of the notes may not be transferred or resold except as permitted under the Securities Act of 1933, as amended, and applicable state securities laws. You should be aware that you may be required to bear the financial risks of this investment for an indefinite period of time.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SUMMARY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summary highlights some information from this prospectus, and it may not contain all of the information that is important to you. You should read the following summary together with the more detailed information regarding our company and the notes and ordinary shares issuable upon conversion of the notes being sold by the selling holders, including "Risk Factors" and our consolidated financial statements and related notes, incorporated by reference into this prospectus.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June 30, 2001.</w:t>
      </w:r>
    </w:p>
    <w:p>
      <w:pPr>
        <w:spacing w:after="0" w:line="187"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We are a leading provider of software products and services to major communications companies in North America, Europe and the rest of the world.</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Business Support Systems, or BSS, consist of software products designed to support the business operations of communications companies. 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provide primarily Customer Care and Billing, CRM or Customer Relationship Management, and Order Management Systems, or collectively, CC&amp;B Systems, for communications service providers. Our systems support a wide range of communications services including wireline, wireless, broadband, electronic and mobile commerce and Internet Protocol, or IP,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Nextel, Cingular and Vodafone Group) and Internet companies (such as BT Global Mobile Portal, SBC Internet Services, E-Plus Online and Freeserve).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88" w:lineRule="exact"/>
        <w:rPr>
          <w:sz w:val="20"/>
          <w:szCs w:val="20"/>
          <w:color w:val="auto"/>
        </w:rPr>
      </w:pPr>
    </w:p>
    <w:p>
      <w:pPr>
        <w:ind w:right="2399" w:firstLine="489"/>
        <w:spacing w:after="0" w:line="248" w:lineRule="auto"/>
        <w:tabs>
          <w:tab w:leader="none" w:pos="6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Focus on the Communications Industry. We intend to continue to concentrate our resources and efforts on providing strategic information systems to communications companies. This strategy has enabled us to develop the specialized industry know-how and capability necessary to deliver the technologically advanced, large-scale, specifications-intensive information sys-</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tems solutions required by the leading communications companies in the wireless, wireline, IP and convergent service sectors.</w:t>
      </w:r>
    </w:p>
    <w:p>
      <w:pPr>
        <w:spacing w:after="0" w:line="183" w:lineRule="exact"/>
        <w:rPr>
          <w:sz w:val="20"/>
          <w:szCs w:val="20"/>
          <w:color w:val="auto"/>
        </w:rPr>
      </w:pPr>
    </w:p>
    <w:p>
      <w:pPr>
        <w:ind w:right="2399" w:firstLine="489"/>
        <w:spacing w:after="0" w:line="249" w:lineRule="auto"/>
        <w:tabs>
          <w:tab w:leader="none" w:pos="6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and Promising New Entrants. We intend to continue to direct our marketing efforts principally towards the major communications companies and new entrants that are believed to have the potential to be market leaders. Our customer base includes major communications companies in North America (including SBC, Verizon, Bellsouth, Sprint PCS, Bell Canada and Nextel), major foreign network operators and service providers (including Deutsche Telekom (Germany), Telstra (Australia), BT (UK) and Vodafone Group (UK))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374" w:lineRule="exact"/>
        <w:rPr>
          <w:rFonts w:ascii="Courier New" w:cs="Courier New" w:eastAsia="Courier New" w:hAnsi="Courier New"/>
          <w:sz w:val="16"/>
          <w:szCs w:val="16"/>
          <w:color w:val="auto"/>
        </w:rPr>
      </w:pPr>
    </w:p>
    <w:p>
      <w:pPr>
        <w:ind w:right="2399" w:firstLine="489"/>
        <w:spacing w:after="0" w:line="249" w:lineRule="auto"/>
        <w:tabs>
          <w:tab w:leader="none" w:pos="6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 drawing on field-proven BSS products and techniques, and also helps to create significant time-to-market and other competitive advantages for our customers. By leveraging our specialized product knowledge, we believe that we can provide more effective system integration and implementation support services to our customers.</w:t>
      </w:r>
    </w:p>
    <w:p>
      <w:pPr>
        <w:spacing w:after="0" w:line="186" w:lineRule="exact"/>
        <w:rPr>
          <w:rFonts w:ascii="Courier New" w:cs="Courier New" w:eastAsia="Courier New" w:hAnsi="Courier New"/>
          <w:sz w:val="16"/>
          <w:szCs w:val="16"/>
          <w:color w:val="auto"/>
        </w:rPr>
      </w:pPr>
    </w:p>
    <w:p>
      <w:pPr>
        <w:ind w:right="2399" w:firstLine="489"/>
        <w:spacing w:after="0" w:line="249" w:lineRule="auto"/>
        <w:tabs>
          <w:tab w:leader="none" w:pos="6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As such, these long-term customer relationships enhance the predictability and visibility of our revenue flows.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June 30, 2001, we employed on a full-time basis approximately 8,450 software and information technology specialists, engaged in research, development, maintenance and support activities and approximately 1,100 administrative personnel. We employ approximately 4,200 and 2,700 software and information technology specialists in Israel and North America, respectively, with the remaining principally located in Europe and the Asia-Pacific region. We often maintain teams of employees at a customer's premises to work on specific projects.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OFFERING</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Securities Offered............</w:t>
        <w:tab/>
        <w:t>$500,000,000 aggregate principal amount of 2%</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Convertible Notes due June 1, 2008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5,429,350 ordinary shares issuable upon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conversion of the notes to be sold by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selling holders listed under the caption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"Selling Holders" beginning on page 50.</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Maturity......................</w:t>
        <w:tab/>
        <w:t>June 1, 2008.</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Ranking.......................</w:t>
        <w:tab/>
        <w:t>The notes will be senior unsecured obligations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 Amdocs and will rank equal in right of</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payment with all existing and future senior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unsecured indebtedness of Amdocs.</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Interest......................</w:t>
        <w:tab/>
        <w:t>We will pay interest on the notes semi-annually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on June 1 and December 1 of each year,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commencing December 1, 2001.</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Conversion rights.............</w:t>
        <w:tab/>
        <w:t>You may convert your notes into our ordinary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shares at a conversion rate of 10.8587 shares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per $1,000 principal amount of notes. This is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equivalent to a conversion price of</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approximately $92.09 per share. The conversion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rate is subject to adjustment in certain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events. The notes will be convertible at 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time before the close of business on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maturity date, unless we have previously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redeemed or repurchased the notes. You may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convert your notes called for redemption 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submitted for repurchase up to and including</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business day immediately preceding the date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fixed for redemption or repurchase, as the case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may be.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of the notes at our</w:t>
      </w:r>
    </w:p>
    <w:p>
      <w:pPr>
        <w:spacing w:after="0" w:line="7" w:lineRule="exact"/>
        <w:rPr>
          <w:sz w:val="20"/>
          <w:szCs w:val="20"/>
          <w:color w:val="auto"/>
        </w:rPr>
      </w:pPr>
    </w:p>
    <w:p>
      <w:pPr>
        <w:ind w:left="200"/>
        <w:spacing w:after="0"/>
        <w:tabs>
          <w:tab w:leader="none" w:pos="3200" w:val="left"/>
        </w:tabs>
        <w:rPr>
          <w:sz w:val="20"/>
          <w:szCs w:val="20"/>
          <w:color w:val="auto"/>
        </w:rPr>
      </w:pPr>
      <w:r>
        <w:rPr>
          <w:rFonts w:ascii="Courier New" w:cs="Courier New" w:eastAsia="Courier New" w:hAnsi="Courier New"/>
          <w:sz w:val="16"/>
          <w:szCs w:val="16"/>
          <w:color w:val="auto"/>
        </w:rPr>
        <w:t>option......................</w:t>
        <w:tab/>
        <w:t>On or after June 1, 2006, we may redeem for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cash all or part of the notes at any time, at a</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redemption price of 100% of the principal</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amount plus accrued and unpaid interest.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of notes at your</w:t>
      </w:r>
    </w:p>
    <w:p>
      <w:pPr>
        <w:spacing w:after="0" w:line="7"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option........................</w:t>
        <w:tab/>
        <w:t>You have the right to require us to repurchase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notes on June 1, 2004 and June 1, 2006,</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each a repurchase date. In each case,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repurchase price payable will be equal to 100%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 the principal amount plus accrued and unpaid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cash interest, if any, on such repurchase date.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We may choose to pay the repurchase price in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cash or in ordinary shares or a combination of</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cash and ordinary shares. If we elect to pay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repurchase price in ordinary shares or a</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combination of cash and ordinary shares, we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must notify holders not less than 20 days prior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to the repurchase date. The ordinary shares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will be valued at 100% of the average closing</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sales price for five trading days ending on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third day prior to the repurchase date.</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Change in control.............</w:t>
        <w:tab/>
        <w:t>If we undergo a change in control, you will</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have the option to require us to repurchase all</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 your notes not previously called for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redemption or any portion thereof for cash 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at our option, ordinary shares (which will be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valued at 95% of the average closing sales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prices of our ordinary shares for the five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trading days immediately preceding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including the third trading day prior to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repurchase date). We will pay a repurchase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price equal to the 100% of the principal amount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plus accrued and unpaid cash interest, if 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on the repurchase date.</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Events of default.............</w:t>
        <w:tab/>
        <w:t>The following will be events of default under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indenture for the notes: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we fail to pay principal of, or any premium</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on, any note when due;</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we fail to pay any interest on any note when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due and that default continues for 30 days;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we fail to provide the notice that we are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required to give in the event of a change in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control;</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we fail to perform any other covenant in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indenture and that failure continues for 60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days after written notice to us by the trustee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or the holders of at least 25% in the aggregate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principal amount of outstanding notes;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we or any of our significant subsidiaries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fail to pay when due at final maturity thereof,</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either at its maturity or upon acceleration,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any indebtedness under any bonds, debentures,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notes or other evidences of indebtedness for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money borrowed, or any guarantee thereof, in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excess of $50 million if the indebtedness is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not discharged, or the acceleration is not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annulled, within 30 days after written notice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to us by the trustee or the holders of at least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25% in aggregate principal amount of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outstanding notes; and</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 events of bankruptcy, insolvency 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reorganization with respect to us or any of our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significant subsidiaries specified in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indenture.</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Registration rights...........</w:t>
        <w:tab/>
        <w:t>Pursuant to a registration rights agreement, we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agreed to register the resale of the notes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sale of the ordinary shares issuable upon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conversion of the notes. If we fail to comply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with certain of our obligations under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registration rights agreement, liquidated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damages will be payable on the notes and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ordinary shares issued upon conversion of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notes.</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Use of proceeds...............</w:t>
        <w:tab/>
        <w:t>We will not receive any proceeds from the sale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by the selling holders of the notes or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notes.</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Book-entry form...............</w:t>
        <w:tab/>
        <w:t>The notes have been issued in book-entry form</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and are represented by permanent global</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certificates deposited with a custodian for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registered in the name of a nominee of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Depository Trust Company, commonly known as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DTC, in New York, New York. Beneficial</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interests in any of the notes will be shown 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and transfers will be effected only through,</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records maintained by DTC and its direct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indirect participants and any such interest may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not be exchanged for certificated notes, except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limited circumstances.</w:t>
      </w:r>
    </w:p>
    <w:p>
      <w:pPr>
        <w:spacing w:after="0" w:line="195"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Trading.......................</w:t>
        <w:tab/>
        <w:t>The notes will not be listed on any securities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exchange or included in any automated quotation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system. Our ordinary shares are traded on the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New York Stock Exchange under the symbol "DOX".</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RISK FACTORS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Before you invest in our notes or the ordinary shares issuable upon conversion of the notes, you should carefully consider and evaluate all of the information contained in this prospectus and the information incorporated by reference into this prospectus, including the risks described below. Any of these risks could materially and adversely affect our business, financial condition and results of operations, which in turn could materially and adversely affect the price of the notes and the ordinary shares issuable upon conversion of the notes.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w:t>
      </w:r>
    </w:p>
    <w:p>
      <w:pPr>
        <w:spacing w:after="0" w:line="195" w:lineRule="exact"/>
        <w:rPr>
          <w:sz w:val="20"/>
          <w:szCs w:val="20"/>
          <w:color w:val="auto"/>
        </w:rPr>
      </w:pPr>
    </w:p>
    <w:p>
      <w:pPr>
        <w:ind w:left="400" w:right="3579"/>
        <w:spacing w:after="0" w:line="252" w:lineRule="auto"/>
        <w:rPr>
          <w:sz w:val="20"/>
          <w:szCs w:val="20"/>
          <w:color w:val="auto"/>
        </w:rPr>
      </w:pPr>
      <w:r>
        <w:rPr>
          <w:rFonts w:ascii="Courier New" w:cs="Courier New" w:eastAsia="Courier New" w:hAnsi="Courier New"/>
          <w:sz w:val="16"/>
          <w:szCs w:val="16"/>
          <w:color w:val="auto"/>
        </w:rPr>
        <w:t>WE ARE EXPOSED TO GENERAL GLOBAL ECONOMIC AND MARKET CONDITIONS, PARTICULARLY THOSE IMPACTING THE COMMUNICATIONS INDUSTRY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could materially affect our existing or potential customers. These conditions have reduced the high growth that the communications industry had experienced over the past several years, and have caused the market value, financial results and prospects, and capital spending levels of many communications companies to decline. The impact of these conditions on the communications industry could reduce the demand for our products and services, and the growth rates that we have achieved in recent years. As a result, we may be unable to effectively market and sell our information systems to potential customers in the communications industry.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Our new products for these markets may not be successful and we believe our current levels of revenue from the sales of products and services to directory publishers are not likely to grow significantly.</w:t>
      </w:r>
    </w:p>
    <w:p>
      <w:pPr>
        <w:spacing w:after="0" w:line="187" w:lineRule="exact"/>
        <w:rPr>
          <w:sz w:val="20"/>
          <w:szCs w:val="20"/>
          <w:color w:val="auto"/>
        </w:rPr>
      </w:pPr>
    </w:p>
    <w:p>
      <w:pPr>
        <w:ind w:left="400" w:right="2979"/>
        <w:spacing w:after="0" w:line="252" w:lineRule="auto"/>
        <w:rPr>
          <w:sz w:val="20"/>
          <w:szCs w:val="20"/>
          <w:color w:val="auto"/>
        </w:rPr>
      </w:pPr>
      <w:r>
        <w:rPr>
          <w:rFonts w:ascii="Courier New" w:cs="Courier New" w:eastAsia="Courier New" w:hAnsi="Courier New"/>
          <w:sz w:val="16"/>
          <w:szCs w:val="16"/>
          <w:color w:val="auto"/>
        </w:rPr>
        <w:t>IF WE CANNOT COMPETE SUCCESSFULLY WITH EXISTING OR NEW COMPETITORS OUR BUSINESS COULD BE MATERIALLY ADVERSELY AFFECTED</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We also believe that our ability to compete depends in part on a number of factors, including:</w:t>
      </w:r>
    </w:p>
    <w:p>
      <w:pPr>
        <w:spacing w:after="0" w:line="183" w:lineRule="exact"/>
        <w:rPr>
          <w:sz w:val="20"/>
          <w:szCs w:val="20"/>
          <w:color w:val="auto"/>
        </w:rPr>
      </w:pPr>
    </w:p>
    <w:p>
      <w:pPr>
        <w:ind w:left="680" w:right="3079" w:hanging="191"/>
        <w:spacing w:after="0" w:line="252"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by others of software that is competitive with our products and services,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at which others offer competitive software and services,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responsiveness of our competitors to customer needs, and</w:t>
      </w:r>
    </w:p>
    <w:p>
      <w:pPr>
        <w:spacing w:after="0" w:line="194" w:lineRule="exact"/>
        <w:rPr>
          <w:rFonts w:ascii="Courier New" w:cs="Courier New" w:eastAsia="Courier New" w:hAnsi="Courier New"/>
          <w:sz w:val="16"/>
          <w:szCs w:val="16"/>
          <w:color w:val="auto"/>
        </w:rPr>
      </w:pPr>
    </w:p>
    <w:p>
      <w:pPr>
        <w:ind w:left="680" w:right="3379" w:hanging="191"/>
        <w:spacing w:after="0" w:line="252"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our competitors to hire, retain and motivate key personnel.</w:t>
      </w:r>
    </w:p>
    <w:p>
      <w:pPr>
        <w:sectPr>
          <w:pgSz w:w="11900" w:h="16838" w:orient="portrait"/>
          <w:cols w:equalWidth="0" w:num="1">
            <w:col w:w="10219"/>
          </w:cols>
          <w:pgMar w:left="240" w:top="305" w:right="1440" w:bottom="1440" w:gutter="0" w:footer="0" w:header="0"/>
        </w:sectPr>
      </w:pP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MUST CONTINUALLY ENHANCE OUR PRODUCTS TO REMAIN COMPETITIVE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or BSS, products that operate in state-of-the-art computing environments.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November 30, 1999, in a stock-for-stock transaction, we completed our acquisition of International Telecommunication Data Systems, Inc., or ITDS, a leading provider of billing and customer care service bureau solutions to wireless communications service providers (we have since renamed ITDS, Amdocs Stamford, Inc.). On April 5, 2000, in a stock-for-stock transaction, we completed our acquisition of Solect Technology Group Inc., or Solect, a leading provider of billing and customer care software to Internet Protocol, or IP, service providers (we have since renamed Solect, Amdocs Canada, Inc.).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that the ITDS or Solect acquisitions will continue to enhance our products or strengthen our competitive position or that we will be able to successfully and efficiently integrate these businesses into our own.</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OUR BUSINESS IS HIGHLY DEPENDENT ON A LIMITED NUMBER OF SIGNIFICANT CUSTOMERS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(see below), accounted for approximately 41.1% of revenue in the nine months ended June 30, 2001 and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installed systems. Therefore, our customers may not continue to purchase new systems, system enhancements and services in amounts similar to previous years.</w:t>
      </w:r>
    </w:p>
    <w:p>
      <w:pPr>
        <w:spacing w:after="0" w:line="183"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WE DEPEND ON SBC COMMUNICATIONS INC. FOR A SIGNIFICANT PORTION OF OUR REVENUE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One of our largest groups of customers is SBC Communications Inc., or SBC, and its operating subsidiaries. SBC International Inc., or SBCI, a wholly-owned subsidiary of SBC, is also one of our largest shareholders. As of June 30, 2001, it held approximately 14.1% of our outstanding voting ordinary shares and all of our outstanding non-voting ordinary shares. A significant decrease in the sale of products and services to SBC or its subsidiaries may materially adversely affect our results of operations and financial condition.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Substantially all of our work for SBC is conducted directly with SBC's operating subsidiaries, such as Cingular Wireless, Southwestern Bell Yellow Pages, Southwestern Bell Communications Services (SBC's long distance provider) and Southwestern Bell Telephone Company. These SBC relationships accounted for in the aggregate 12.6%, 15.9% and 20.8% of our total revenue in fiscal 2000, 1999 and 1998, respectively. The revenue attributable to SBC and such subsidiaries amounted to $149.2 million, or 13.3% of our total revenue, in the nine months ended June 30, 2001 and $141.0 million, $99.5 million and $84.4 million in fiscal 2000, 1999 and 1998, respectively.</w:t>
      </w:r>
    </w:p>
    <w:p>
      <w:pPr>
        <w:spacing w:after="0" w:line="187" w:lineRule="exact"/>
        <w:rPr>
          <w:sz w:val="20"/>
          <w:szCs w:val="20"/>
          <w:color w:val="auto"/>
        </w:rPr>
      </w:pPr>
    </w:p>
    <w:p>
      <w:pPr>
        <w:ind w:left="400" w:right="2399"/>
        <w:spacing w:after="0" w:line="252" w:lineRule="auto"/>
        <w:rPr>
          <w:sz w:val="20"/>
          <w:szCs w:val="20"/>
          <w:color w:val="auto"/>
        </w:rPr>
      </w:pPr>
      <w:r>
        <w:rPr>
          <w:rFonts w:ascii="Courier New" w:cs="Courier New" w:eastAsia="Courier New" w:hAnsi="Courier New"/>
          <w:sz w:val="16"/>
          <w:szCs w:val="16"/>
          <w:color w:val="auto"/>
        </w:rPr>
        <w:t>OUR FUTURE SUCCESS DEPENDS ON OUR ABILITY TO DEVELOP LONG-TERM RELATIONSHIPS WITH OUR CUSTOMERS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SKILLED EMPLOYEES THAT WE NEED MAY BE DIFFICULT TO HIRE AND RETAIN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As of June 30, 2001, we employed on a full time basis approximately 8,450 software and information technology specialists, of which over 4,200 are located in Israel and 2,700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QUARTERLY OPERATING RESULTS MAY FLUCTUATE</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88" w:lineRule="exact"/>
        <w:rPr>
          <w:sz w:val="20"/>
          <w:szCs w:val="20"/>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and timing of significant customer projects and license fees,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cancellations of significant projects by customers,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expenses,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strategy,</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changes,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exchange rates, and</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and political factors.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BUSINESS IS IMPACTED BY LENGTHENING SALES CYCLES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a result of the current slowdown in the growth of the global communications market, the sales cycle associated with the purchase of our information systems has recently lengthened, with the time between our initial contact with a prospective customer and the signing of a sales contract now typically being between six and twelve months. We believe that such lengthening of our sales cycle timing could reduce growth in our revenue. Moreover, information systems for communications companies are relatively complex and their purchase generally involves a significant commitment of capital, with attendant delays frequently associated with large capital expenditures and implementation procedures within an organization. The purchase of such products typically also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INTERNATIONAL PRESENCE CREATES SPECIAL RISKS</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We are subject to certain risks inherent in doing business in international markets, including:</w:t>
      </w:r>
    </w:p>
    <w:p>
      <w:pPr>
        <w:spacing w:after="0" w:line="183" w:lineRule="exact"/>
        <w:rPr>
          <w:sz w:val="20"/>
          <w:szCs w:val="20"/>
          <w:color w:val="auto"/>
        </w:rPr>
      </w:pPr>
    </w:p>
    <w:p>
      <w:pPr>
        <w:ind w:left="680" w:hanging="191"/>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acceptance of non-localized products,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and cultural differences in the conduct of business,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680" w:right="239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collecting accounts receivable and withholding taxes that limit the repatriation of earnings,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barriers,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immigration regulations that limit our ability to deploy our employees,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 and</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effective income tax rates among countries where we conduct business.</w:t>
      </w:r>
    </w:p>
    <w:p>
      <w:pPr>
        <w:spacing w:after="0" w:line="183"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One or more of these factors could have a material adverse effect on our international operations.</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European and North American customer base and to expand into new international markets.</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FLUCTUATIONS IN FOREIGN CURRENCY EXCHANGE RATES COULD ADVERSELY AFFECT OUR BUSINESS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88"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imposition of exchange or price controls or other restrictions on the conversion of foreign currencies could also have a material adverse effect on our business, results of operations and financial condition.</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MAY BE UNABLE TO PROTECT OUR PROPRIETARY TECHNOLOGY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If we have to resort to legal proceedings to enforce our intellectual property rights, the proceedings could be burdensome and expensive and could involve a high degree of risk.</w:t>
      </w:r>
    </w:p>
    <w:p>
      <w:pPr>
        <w:spacing w:after="0" w:line="18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CLAIMS BY OTHERS THAT WE INFRINGE THEIR PROPRIETARY TECHNOLOGY COULD HARM OUR BUSINESS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87" w:lineRule="exact"/>
        <w:rPr>
          <w:sz w:val="20"/>
          <w:szCs w:val="20"/>
          <w:color w:val="auto"/>
        </w:rPr>
      </w:pPr>
    </w:p>
    <w:p>
      <w:pPr>
        <w:ind w:left="400" w:right="2399"/>
        <w:spacing w:after="0" w:line="252" w:lineRule="auto"/>
        <w:rPr>
          <w:sz w:val="20"/>
          <w:szCs w:val="20"/>
          <w:color w:val="auto"/>
        </w:rPr>
      </w:pPr>
      <w:r>
        <w:rPr>
          <w:rFonts w:ascii="Courier New" w:cs="Courier New" w:eastAsia="Courier New" w:hAnsi="Courier New"/>
          <w:sz w:val="16"/>
          <w:szCs w:val="16"/>
          <w:color w:val="auto"/>
        </w:rPr>
        <w:t>THE TERMINATION OR REDUCTION OF CERTAIN GOVERNMENT PROGRAMS AND TAX BENEFITS COULD ADVERSELY AFFECT OUR OVERALL EFFECTIVE TAX RATE</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Any of the following could have a material effect on our overall effective tax rate:</w:t>
      </w:r>
    </w:p>
    <w:p>
      <w:pPr>
        <w:spacing w:after="0" w:line="183" w:lineRule="exact"/>
        <w:rPr>
          <w:sz w:val="20"/>
          <w:szCs w:val="20"/>
          <w:color w:val="auto"/>
        </w:rPr>
      </w:pPr>
    </w:p>
    <w:p>
      <w:pPr>
        <w:ind w:left="680" w:hanging="191"/>
        <w:spacing w:after="0"/>
        <w:tabs>
          <w:tab w:leader="none" w:pos="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programs may be discontinued,</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unable to meet the requirements for continuing to qualify for some programs,</w:t>
      </w:r>
    </w:p>
    <w:p>
      <w:pPr>
        <w:spacing w:after="0" w:line="183"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programs and tax benefits may be unavailable at their current levels, or</w:t>
      </w:r>
    </w:p>
    <w:p>
      <w:pPr>
        <w:spacing w:after="0" w:line="183"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PRODUCT DEFECTS OR SOFTWARE ERRORS COULD ADVERSELY AFFECT OUR BUSINESS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87"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generally requires between six and twelve months of work. During this period, a customer's budgeting constraints and internal reviews, over which we have</w:t>
      </w:r>
    </w:p>
    <w:p>
      <w:pPr>
        <w:sectPr>
          <w:pgSz w:w="11900" w:h="16838" w:orient="portrait"/>
          <w:cols w:equalWidth="0" w:num="1">
            <w:col w:w="10219"/>
          </w:cols>
          <w:pgMar w:left="240" w:top="305" w:right="1440" w:bottom="1440" w:gutter="0" w:footer="0" w:header="0"/>
        </w:sectPr>
      </w:pP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7" w:lineRule="exact"/>
        <w:rPr>
          <w:sz w:val="20"/>
          <w:szCs w:val="20"/>
          <w:color w:val="auto"/>
        </w:rPr>
      </w:pPr>
    </w:p>
    <w:p>
      <w:pPr>
        <w:ind w:left="400" w:right="2399"/>
        <w:spacing w:after="0" w:line="252" w:lineRule="auto"/>
        <w:rPr>
          <w:sz w:val="20"/>
          <w:szCs w:val="20"/>
          <w:color w:val="auto"/>
        </w:rPr>
      </w:pPr>
      <w:r>
        <w:rPr>
          <w:rFonts w:ascii="Courier New" w:cs="Courier New" w:eastAsia="Courier New" w:hAnsi="Courier New"/>
          <w:sz w:val="16"/>
          <w:szCs w:val="16"/>
          <w:color w:val="auto"/>
        </w:rPr>
        <w:t>OUR DEVELOPMENT FACILITIES IN ISRAEL AND CYPRUS MAY BE ADVERSELY AFFECTED BY POLITICAL AND ECONOMIC CONDITIONS IN THOSE COUNTRIES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Out of the five development centers we maintain worldwide, our largest development center is located in Israel, which is also where we employ approximately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Israel has entered into peace agreements with both Egypt and Jordan, Israel has not entered into any peace arrangement with Syria or Lebanon. Moreover, while Israel has conducted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APPLICABLE TO OUR CAPITAL STRUCTURE</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MARKET PRICE OF OUR ORDINARY SHARES HAS AND MAY CONTINUE TO FLUCTUATE WIDELY</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market price of our ordinary shares has fluctuated widely and may continue to do so. For example, since our initial public offering in June 1998 through August 14, 2001, the closing price of our ordinary shares ranged from a low of $8.38 per share to a high of $89.75 per share. Many factors could cause the market price of our ordinary shares to rise and fall. Some of these factors are:</w:t>
      </w:r>
    </w:p>
    <w:p>
      <w:pPr>
        <w:spacing w:after="0" w:line="187" w:lineRule="exact"/>
        <w:rPr>
          <w:sz w:val="20"/>
          <w:szCs w:val="20"/>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our quarterly operating results;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by us or our competitors;</w:t>
      </w:r>
    </w:p>
    <w:p>
      <w:pPr>
        <w:spacing w:after="0" w:line="194" w:lineRule="exact"/>
        <w:rPr>
          <w:rFonts w:ascii="Courier New" w:cs="Courier New" w:eastAsia="Courier New" w:hAnsi="Courier New"/>
          <w:sz w:val="16"/>
          <w:szCs w:val="16"/>
          <w:color w:val="auto"/>
        </w:rPr>
      </w:pPr>
    </w:p>
    <w:p>
      <w:pPr>
        <w:ind w:left="680" w:right="3179" w:hanging="191"/>
        <w:spacing w:after="0" w:line="252" w:lineRule="auto"/>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of new products or new pricing policies by us or our competitors;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trends in the communications industry;</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or strategic alliances by us or others in our industry;</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estimates of our performance or recommendations by financial analysts; and</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in the industry and the economy as a whole.</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5"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FUTURE SALES BY EXISTING SHAREHOLDERS COULD DEPRESS THE MARKET PRICE OF OUR ORDINARY SHARES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Sales of substantial amounts of ordinary shares in the public market, or the perception that such sales could occur, could adversely affect prevailing market prices for the ordinary shares. As of June 30, 2001, we had 222,485,576 ordinary shares issued and outstanding, a substantial portion of which are either freely tradeable on the New York Stock Exchange or currently eligible for sale pursuant to Rule 144, under the Securities Act of 1933 (subject to compliance with the volume and manner of sale limitation of Rule 144), or pursuant to another exemption from the registration requirements of the Securities Act.</w:t>
      </w:r>
    </w:p>
    <w:p>
      <w:pPr>
        <w:spacing w:after="0" w:line="37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Our principal shareholders have the right, in certain circumstances, to require us to register their shares under the Securities Act for resale to the public. In addition, we have registered under the Securities Act a total of 35,062,121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WE DO NOT ANTICIPATE PAYING DIVIDENDS ON OUR ORDINARY SHARES IN THE FORESEEABLE FUTURE</w:t>
      </w:r>
    </w:p>
    <w:p>
      <w:pPr>
        <w:spacing w:after="0" w:line="183"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We do not anticipate paying dividends on our ordinary shares in the foreseeable future.</w:t>
      </w:r>
    </w:p>
    <w:p>
      <w:pPr>
        <w:spacing w:after="0" w:line="183" w:lineRule="exact"/>
        <w:rPr>
          <w:sz w:val="20"/>
          <w:szCs w:val="20"/>
          <w:color w:val="auto"/>
        </w:rPr>
      </w:pPr>
    </w:p>
    <w:p>
      <w:pPr>
        <w:ind w:left="400" w:right="2499"/>
        <w:spacing w:after="0" w:line="252" w:lineRule="auto"/>
        <w:rPr>
          <w:sz w:val="20"/>
          <w:szCs w:val="20"/>
          <w:color w:val="auto"/>
        </w:rPr>
      </w:pPr>
      <w:r>
        <w:rPr>
          <w:rFonts w:ascii="Courier New" w:cs="Courier New" w:eastAsia="Courier New" w:hAnsi="Courier New"/>
          <w:sz w:val="16"/>
          <w:szCs w:val="16"/>
          <w:color w:val="auto"/>
        </w:rPr>
        <w:t>THE RIGHTS OF SHAREHOLDERS OF GUERNSEY CORPORATIONS DIFFER IN SOME RESPECTS FROM THOSE OF SHAREHOLDERS OF UNITED STATES CORPORATIONS</w:t>
      </w:r>
    </w:p>
    <w:p>
      <w:pPr>
        <w:spacing w:after="0" w:line="183"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THIS OFFERING</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THE NOTES ARE EFFECTIVELY SUBORDINATED TO THE DEBT AND OTHER LIABILITIES OF OUR SUBSIDIARIES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will be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2001, our subsidiaries had liabilities of approximately $505.7 million. We may from time to time incur additional debt. Our subsidiaries may also from time to time incur other additional debt and liabilities. The notes will also be effectively subordinated to all secured obligations to the extent of the value of the assets securing such obligations. See "Description of the Notes".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PUBLIC MARKET MAY NOT DEVELOP FOR THE NOTES</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In May 2001, we issued the notes to the initial purchaser in a private placement. The notes are eligible to trade on the PORTAL market. However, the notes resold pursuant to this prospectus will</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no longer trade on the PORTAL market. As a result, there may be a limited market for the notes. We do not intend to list the notes on any national securities exchange.</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public market may not develop for the notes. The initial purchaser has advised us that it currently intends to make a market in the notes. However, the initial purchaser is not obligated to make a market and may discontinue this market making activity at any time without notice. In addition, market making activity by the initial purchaser will be subject to the limits imposed by the federal securities laws. As a result, we cannot assure you that any market for the notes will develop or, if one does develop, that it will be maintained. If an active market for the notes fails to develop or be sustained, the trading price of the notes could be materially and adversely affected.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MAY NOT BE ABLE TO REFINANCE THE NOTES IF REQUIRED OR IF WE SO DESIRE</w:t>
      </w:r>
    </w:p>
    <w:p>
      <w:pPr>
        <w:spacing w:after="0" w:line="195" w:lineRule="exact"/>
        <w:rPr>
          <w:sz w:val="20"/>
          <w:szCs w:val="20"/>
          <w:color w:val="auto"/>
        </w:rPr>
      </w:pPr>
    </w:p>
    <w:p>
      <w:pPr>
        <w:jc w:val="both"/>
        <w:ind w:right="2499" w:firstLine="489"/>
        <w:spacing w:after="0" w:line="250" w:lineRule="auto"/>
        <w:rPr>
          <w:sz w:val="20"/>
          <w:szCs w:val="20"/>
          <w:color w:val="auto"/>
        </w:rPr>
      </w:pPr>
      <w:r>
        <w:rPr>
          <w:rFonts w:ascii="Courier New" w:cs="Courier New" w:eastAsia="Courier New" w:hAnsi="Courier New"/>
          <w:sz w:val="16"/>
          <w:szCs w:val="16"/>
          <w:color w:val="auto"/>
        </w:rPr>
        <w:t>We may need or desire to refinance all or a portion of our indebtedness on or before maturity. There can be no assurance that we will be able to refinance any of our indebtedness on commercially reasonable terms, if at all.</w:t>
      </w:r>
    </w:p>
    <w:p>
      <w:pPr>
        <w:spacing w:after="0" w:line="185" w:lineRule="exact"/>
        <w:rPr>
          <w:sz w:val="20"/>
          <w:szCs w:val="20"/>
          <w:color w:val="auto"/>
        </w:rPr>
      </w:pPr>
    </w:p>
    <w:p>
      <w:pPr>
        <w:ind w:left="400" w:right="2499"/>
        <w:spacing w:after="0" w:line="252" w:lineRule="auto"/>
        <w:rPr>
          <w:sz w:val="20"/>
          <w:szCs w:val="20"/>
          <w:color w:val="auto"/>
        </w:rPr>
      </w:pPr>
      <w:r>
        <w:rPr>
          <w:rFonts w:ascii="Courier New" w:cs="Courier New" w:eastAsia="Courier New" w:hAnsi="Courier New"/>
          <w:sz w:val="16"/>
          <w:szCs w:val="16"/>
          <w:color w:val="auto"/>
        </w:rPr>
        <w:t>WE ARE DEPENDENT UPON OUR SUBSIDIARIES TO SERVICE OUR DEBT AND OBTAIN FUNDS FOR DIVIDEND PAYMENTS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pay dividends and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the instruments governing their indebtedness. The instruments governing some of the indebtedness of our subsidiaries currently contain restrictions on their ability to make payments to us. We cannot be certain that payments from our subsidiaries will be adequate to pay dividends or service our debt obligations, including the notes.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5"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ratio of earnings to fixed charges is as follows:</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NINE MONTHS ENDED YEAR ENDED JUNE 30, SEPTEMBER 30, -----</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----------------------------------- 2001 2000</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2000 1999 1998 1997 1996 ----- ----- ----- ----- ---- ---</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 ----- (UNAUDITED) Ratio of earnings to fixed</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charges(1)....................... 11.69 10.01 10.10 15.29</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3.26 9.52 12.97 Pro forma, as adjusted ratio of earnings</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to fixed</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charges(2)................................................</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6.52 4.04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599" w:hanging="400"/>
        <w:spacing w:after="0" w:line="248"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is calculated as (i) the sum of earnings before taxes from continuing operations plus fixed charges and amortization of capitalized interest less interest capitalized, divided by</w:t>
      </w:r>
    </w:p>
    <w:p>
      <w:pPr>
        <w:spacing w:after="0" w:line="1" w:lineRule="exact"/>
        <w:rPr>
          <w:rFonts w:ascii="Courier New" w:cs="Courier New" w:eastAsia="Courier New" w:hAnsi="Courier New"/>
          <w:sz w:val="16"/>
          <w:szCs w:val="16"/>
          <w:color w:val="auto"/>
        </w:rPr>
      </w:pPr>
    </w:p>
    <w:p>
      <w:pPr>
        <w:ind w:left="400" w:right="2979" w:hanging="9"/>
        <w:spacing w:after="0" w:line="250" w:lineRule="auto"/>
        <w:tabs>
          <w:tab w:leader="none" w:pos="88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 which include amortization of expenses related to indebtedness, interest within rental expense and interest expensed and capitalized.</w:t>
      </w:r>
    </w:p>
    <w:p>
      <w:pPr>
        <w:spacing w:after="0" w:line="185"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as adjusted ratio of earnings to fixed charges is calculated for the year ended September 30, 2000 and the nine months ended June 30, 2001 as (i) the sum of earnings before taxes from continuing operations plus fixed charges and amortization of capitalized interest less interest capitalized, divided by (ii) fixed charges, which include amortization of expenses related to indebtedness, interest within rental expense and interest expensed and capitalized, as if the convertible notes had been issued on October 1, 1999.</w:t>
      </w:r>
    </w:p>
    <w:p>
      <w:pPr>
        <w:spacing w:after="0" w:line="37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OFFER STATISTICS AND TIMETABLE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$500,000,000 of our convertibles notes and 5,429,350 ordinary shares issuable upon conversion of the notes are being sold by the selling holders listed under the caption "Selling Holders" beginning on page 50. The offer will be open until the earlier of (1) the date on which all of the notes and ordinary shares being offered have been sold, and (2) the date on which all of the notes and ordinary shares issuable upon conversion of the notes no longer qualify as "restricted securities" under our registration rights agreement.</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selling holders will receive all of the proceeds from the sale under this prospectus of the notes and the ordinary shares issuable upon conversion of the notes. We will not receive any proceeds from these sales.</w:t>
      </w:r>
    </w:p>
    <w:p>
      <w:pPr>
        <w:spacing w:after="0" w:line="18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THE OFFER AND LISTING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INFORMATION</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ordinary shares have been listed on the New York Stock Exchange since June 19, 1998, under the symbol "DOX". The annual high and low reported sale prices for the ordinary shares were $96.00 and $19.81, respectively, for fiscal 2000 and were $30.25 and $8.75, respectively, for fiscal 1999. Through August 14, 2001, the high and low reported sale prices for the ordinary shares were as follows: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LOW HIGH --- ---- FISCAL YEAR ENDING</w:t>
      </w:r>
    </w:p>
    <w:p>
      <w:pPr>
        <w:spacing w:after="0" w:line="7"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SEPTEMBER 30, 1999: First 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$ 8.75 $17.50 Second 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13.50 26.38 Third 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18.38 29.69 Fourth Quarter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5"/>
                <w:szCs w:val="15"/>
                <w:color w:val="auto"/>
              </w:rPr>
            </w:pPr>
          </w:p>
        </w:tc>
        <w:tc>
          <w:tcPr>
            <w:tcW w:w="2440" w:type="dxa"/>
            <w:vAlign w:val="bottom"/>
          </w:tcPr>
          <w:p>
            <w:pPr>
              <w:jc w:val="center"/>
              <w:ind w:right="999"/>
              <w:spacing w:after="0"/>
              <w:rPr>
                <w:sz w:val="20"/>
                <w:szCs w:val="20"/>
                <w:color w:val="auto"/>
              </w:rPr>
            </w:pPr>
            <w:r>
              <w:rPr>
                <w:rFonts w:ascii="Courier New" w:cs="Courier New" w:eastAsia="Courier New" w:hAnsi="Courier New"/>
                <w:sz w:val="16"/>
                <w:szCs w:val="16"/>
                <w:color w:val="auto"/>
              </w:rPr>
              <w:t>20.00 30.25</w:t>
            </w:r>
          </w:p>
        </w:tc>
      </w:tr>
      <w:tr>
        <w:trPr>
          <w:trHeight w:val="564"/>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LOW HIGH ---</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 FISCAL YEAR ENDING</w:t>
            </w:r>
          </w:p>
        </w:tc>
      </w:tr>
      <w:tr>
        <w:trPr>
          <w:trHeight w:val="188"/>
        </w:trPr>
        <w:tc>
          <w:tcPr>
            <w:tcW w:w="4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SEPTEMBER 30, 2000: First Quarter</w:t>
            </w:r>
          </w:p>
        </w:tc>
      </w:tr>
      <w:tr>
        <w:trPr>
          <w:trHeight w:val="188"/>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2000..........................................</w:t>
            </w:r>
          </w:p>
        </w:tc>
      </w:tr>
      <w:tr>
        <w:trPr>
          <w:trHeight w:val="188"/>
        </w:trPr>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$19.81</w:t>
            </w:r>
          </w:p>
        </w:tc>
        <w:tc>
          <w:tcPr>
            <w:tcW w:w="2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$37.94 Second Quarter</w:t>
            </w:r>
          </w:p>
        </w:tc>
      </w:tr>
      <w:tr>
        <w:trPr>
          <w:trHeight w:val="188"/>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2000.........................................</w:t>
            </w:r>
          </w:p>
        </w:tc>
      </w:tr>
      <w:tr>
        <w:trPr>
          <w:trHeight w:val="188"/>
        </w:trPr>
        <w:tc>
          <w:tcPr>
            <w:tcW w:w="4000" w:type="dxa"/>
            <w:vAlign w:val="bottom"/>
            <w:gridSpan w:val="2"/>
          </w:tcPr>
          <w:p>
            <w:pPr>
              <w:jc w:val="center"/>
              <w:ind w:left="399"/>
              <w:spacing w:after="0"/>
              <w:rPr>
                <w:sz w:val="20"/>
                <w:szCs w:val="20"/>
                <w:color w:val="auto"/>
              </w:rPr>
            </w:pPr>
            <w:r>
              <w:rPr>
                <w:rFonts w:ascii="Courier New" w:cs="Courier New" w:eastAsia="Courier New" w:hAnsi="Courier New"/>
                <w:sz w:val="16"/>
                <w:szCs w:val="16"/>
                <w:color w:val="auto"/>
              </w:rPr>
              <w:t>32.44 96.00 Third Quarter</w:t>
            </w:r>
          </w:p>
        </w:tc>
      </w:tr>
      <w:tr>
        <w:trPr>
          <w:trHeight w:val="188"/>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2000..........................................</w:t>
            </w:r>
          </w:p>
        </w:tc>
      </w:tr>
      <w:tr>
        <w:trPr>
          <w:trHeight w:val="188"/>
        </w:trPr>
        <w:tc>
          <w:tcPr>
            <w:tcW w:w="4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49.00 88.75 Fourth Quarter</w:t>
            </w:r>
          </w:p>
        </w:tc>
      </w:tr>
      <w:tr>
        <w:trPr>
          <w:trHeight w:val="188"/>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2000.........................................</w:t>
            </w:r>
          </w:p>
        </w:tc>
      </w:tr>
      <w:tr>
        <w:trPr>
          <w:trHeight w:val="188"/>
        </w:trPr>
        <w:tc>
          <w:tcPr>
            <w:tcW w:w="1560" w:type="dxa"/>
            <w:vAlign w:val="bottom"/>
          </w:tcPr>
          <w:p>
            <w:pPr>
              <w:spacing w:after="0"/>
              <w:rPr>
                <w:sz w:val="16"/>
                <w:szCs w:val="16"/>
                <w:color w:val="auto"/>
              </w:rPr>
            </w:pPr>
          </w:p>
        </w:tc>
        <w:tc>
          <w:tcPr>
            <w:tcW w:w="2440" w:type="dxa"/>
            <w:vAlign w:val="bottom"/>
          </w:tcPr>
          <w:p>
            <w:pPr>
              <w:jc w:val="center"/>
              <w:ind w:right="999"/>
              <w:spacing w:after="0"/>
              <w:rPr>
                <w:sz w:val="20"/>
                <w:szCs w:val="20"/>
                <w:color w:val="auto"/>
              </w:rPr>
            </w:pPr>
            <w:r>
              <w:rPr>
                <w:rFonts w:ascii="Courier New" w:cs="Courier New" w:eastAsia="Courier New" w:hAnsi="Courier New"/>
                <w:sz w:val="16"/>
                <w:szCs w:val="16"/>
                <w:color w:val="auto"/>
              </w:rPr>
              <w:t>59.38 88.75</w:t>
            </w:r>
          </w:p>
        </w:tc>
      </w:tr>
      <w:tr>
        <w:trPr>
          <w:trHeight w:val="564"/>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LOW HIGH ---</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 FISCAL YEAR ENDING</w:t>
            </w:r>
          </w:p>
        </w:tc>
      </w:tr>
      <w:tr>
        <w:trPr>
          <w:trHeight w:val="188"/>
        </w:trPr>
        <w:tc>
          <w:tcPr>
            <w:tcW w:w="4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SEPTEMBER 30, 2001: First Quarter</w:t>
            </w:r>
          </w:p>
        </w:tc>
      </w:tr>
      <w:tr>
        <w:trPr>
          <w:trHeight w:val="188"/>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2001..........................................</w:t>
            </w:r>
          </w:p>
        </w:tc>
      </w:tr>
      <w:tr>
        <w:trPr>
          <w:trHeight w:val="188"/>
        </w:trPr>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$51.63</w:t>
            </w:r>
          </w:p>
        </w:tc>
        <w:tc>
          <w:tcPr>
            <w:tcW w:w="2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$73.50 Second Quarter</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4160" w:type="dxa"/>
            <w:vAlign w:val="bottom"/>
            <w:gridSpan w:val="2"/>
          </w:tcPr>
          <w:p>
            <w:pPr>
              <w:jc w:val="center"/>
              <w:ind w:right="1639"/>
              <w:spacing w:after="0"/>
              <w:rPr>
                <w:sz w:val="20"/>
                <w:szCs w:val="20"/>
                <w:color w:val="auto"/>
              </w:rPr>
            </w:pPr>
            <w:r>
              <w:rPr>
                <w:rFonts w:ascii="Courier New" w:cs="Courier New" w:eastAsia="Courier New" w:hAnsi="Courier New"/>
                <w:sz w:val="16"/>
                <w:szCs w:val="16"/>
                <w:color w:val="auto"/>
              </w:rPr>
              <w:t>43.50 80.50 Third Quarter</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right"/>
              <w:ind w:right="2319"/>
              <w:spacing w:after="0"/>
              <w:rPr>
                <w:sz w:val="20"/>
                <w:szCs w:val="20"/>
                <w:color w:val="auto"/>
              </w:rPr>
            </w:pPr>
            <w:r>
              <w:rPr>
                <w:rFonts w:ascii="Courier New" w:cs="Courier New" w:eastAsia="Courier New" w:hAnsi="Courier New"/>
                <w:sz w:val="16"/>
                <w:szCs w:val="16"/>
                <w:color w:val="auto"/>
              </w:rPr>
              <w:t>40.60 66.50</w:t>
            </w:r>
          </w:p>
        </w:tc>
      </w:tr>
      <w:tr>
        <w:trPr>
          <w:trHeight w:val="564"/>
        </w:trPr>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LOW HIGH</w:t>
            </w:r>
          </w:p>
        </w:tc>
        <w:tc>
          <w:tcPr>
            <w:tcW w:w="4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MOST RECENT SIX MONTHS: February,</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center"/>
              <w:ind w:right="739"/>
              <w:spacing w:after="0"/>
              <w:rPr>
                <w:sz w:val="20"/>
                <w:szCs w:val="20"/>
                <w:color w:val="auto"/>
              </w:rPr>
            </w:pPr>
            <w:r>
              <w:rPr>
                <w:rFonts w:ascii="Courier New" w:cs="Courier New" w:eastAsia="Courier New" w:hAnsi="Courier New"/>
                <w:sz w:val="16"/>
                <w:szCs w:val="16"/>
                <w:color w:val="auto"/>
              </w:rPr>
              <w:t>$61.38 $79.32 March,</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center"/>
              <w:ind w:right="759"/>
              <w:spacing w:after="0"/>
              <w:rPr>
                <w:sz w:val="20"/>
                <w:szCs w:val="20"/>
                <w:color w:val="auto"/>
              </w:rPr>
            </w:pPr>
            <w:r>
              <w:rPr>
                <w:rFonts w:ascii="Courier New" w:cs="Courier New" w:eastAsia="Courier New" w:hAnsi="Courier New"/>
                <w:sz w:val="16"/>
                <w:szCs w:val="16"/>
                <w:color w:val="auto"/>
              </w:rPr>
              <w:t>43.50 69.35 April,</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center"/>
              <w:ind w:right="759"/>
              <w:spacing w:after="0"/>
              <w:rPr>
                <w:sz w:val="20"/>
                <w:szCs w:val="20"/>
                <w:color w:val="auto"/>
              </w:rPr>
            </w:pPr>
            <w:r>
              <w:rPr>
                <w:rFonts w:ascii="Courier New" w:cs="Courier New" w:eastAsia="Courier New" w:hAnsi="Courier New"/>
                <w:sz w:val="16"/>
                <w:szCs w:val="16"/>
                <w:color w:val="auto"/>
              </w:rPr>
              <w:t>40.60 60.35 May,</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center"/>
              <w:ind w:right="739"/>
              <w:spacing w:after="0"/>
              <w:rPr>
                <w:sz w:val="20"/>
                <w:szCs w:val="20"/>
                <w:color w:val="auto"/>
              </w:rPr>
            </w:pPr>
            <w:r>
              <w:rPr>
                <w:rFonts w:ascii="Courier New" w:cs="Courier New" w:eastAsia="Courier New" w:hAnsi="Courier New"/>
                <w:sz w:val="16"/>
                <w:szCs w:val="16"/>
                <w:color w:val="auto"/>
              </w:rPr>
              <w:t>58.50 66.15 June,</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4160" w:type="dxa"/>
            <w:vAlign w:val="bottom"/>
            <w:gridSpan w:val="2"/>
          </w:tcPr>
          <w:p>
            <w:pPr>
              <w:jc w:val="center"/>
              <w:ind w:right="739"/>
              <w:spacing w:after="0"/>
              <w:rPr>
                <w:sz w:val="20"/>
                <w:szCs w:val="20"/>
                <w:color w:val="auto"/>
              </w:rPr>
            </w:pPr>
            <w:r>
              <w:rPr>
                <w:rFonts w:ascii="Courier New" w:cs="Courier New" w:eastAsia="Courier New" w:hAnsi="Courier New"/>
                <w:sz w:val="16"/>
                <w:szCs w:val="16"/>
                <w:color w:val="auto"/>
              </w:rPr>
              <w:t>52.80 66.50 July,</w:t>
            </w:r>
          </w:p>
        </w:tc>
      </w:tr>
      <w:tr>
        <w:trPr>
          <w:trHeight w:val="188"/>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2001..................................................</w:t>
            </w:r>
          </w:p>
        </w:tc>
        <w:tc>
          <w:tcPr>
            <w:tcW w:w="250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37.00</w:t>
            </w:r>
          </w:p>
        </w:tc>
        <w:tc>
          <w:tcPr>
            <w:tcW w:w="250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55.75</w:t>
            </w:r>
          </w:p>
        </w:tc>
      </w:tr>
    </w:tbl>
    <w:p>
      <w:pPr>
        <w:spacing w:after="0" w:line="380"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As of August 10, 2001 there were 221 holders of record of our ordinary shares. The last reported sale price of our ordinary shares on August 14, 2001 was $41.55 per share.</w:t>
      </w:r>
    </w:p>
    <w:p>
      <w:pPr>
        <w:spacing w:after="0" w:line="18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You are advised to obtain a current market quotation for our ordinary shares.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THE ISSUE</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will pay all costs and expenses incurred by us in connection with the registration of the sale of the notes and the ordinary shares pursuant to this prospectus. We will not be responsible for any commissions, underwriting discounts or similar charges on sales of the ordinary shares or notes.</w:t>
      </w:r>
    </w:p>
    <w:p>
      <w:pPr>
        <w:sectPr>
          <w:pgSz w:w="11900" w:h="16838" w:orient="portrait"/>
          <w:cols w:equalWidth="0" w:num="1">
            <w:col w:w="10219"/>
          </w:cols>
          <w:pgMar w:left="240" w:top="305" w:right="1440" w:bottom="375"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5" w:right="1440" w:bottom="375"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5960" w:type="dxa"/>
            <w:vAlign w:val="bottom"/>
          </w:tcPr>
          <w:p>
            <w:pPr>
              <w:jc w:val="right"/>
              <w:ind w:right="5399"/>
              <w:spacing w:after="0"/>
              <w:rPr>
                <w:sz w:val="20"/>
                <w:szCs w:val="20"/>
                <w:color w:val="auto"/>
              </w:rPr>
            </w:pPr>
            <w:r>
              <w:rPr>
                <w:rFonts w:ascii="Courier New" w:cs="Courier New" w:eastAsia="Courier New" w:hAnsi="Courier New"/>
                <w:sz w:val="16"/>
                <w:szCs w:val="16"/>
                <w:color w:val="auto"/>
              </w:rPr>
              <w:t>21</w:t>
            </w:r>
          </w:p>
        </w:tc>
        <w:tc>
          <w:tcPr>
            <w:tcW w:w="880" w:type="dxa"/>
            <w:vAlign w:val="bottom"/>
          </w:tcPr>
          <w:p>
            <w:pPr>
              <w:spacing w:after="0"/>
              <w:rPr>
                <w:sz w:val="15"/>
                <w:szCs w:val="15"/>
                <w:color w:val="auto"/>
              </w:rPr>
            </w:pPr>
          </w:p>
        </w:tc>
      </w:tr>
      <w:tr>
        <w:trPr>
          <w:trHeight w:val="752"/>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Securities and Exchange Commission registration fee.........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Legal fees and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Registrar and Transfer Agent fees and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Accounting fees and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Printing, EDGAR formatting and mailing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Miscellaneous...............................................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8"/>
        </w:trPr>
        <w:tc>
          <w:tcPr>
            <w:tcW w:w="59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$195,000</w:t>
            </w:r>
          </w:p>
        </w:tc>
      </w:tr>
      <w:tr>
        <w:trPr>
          <w:trHeight w:val="188"/>
        </w:trPr>
        <w:tc>
          <w:tcPr>
            <w:tcW w:w="59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596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19</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CAPITALIZATION</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our capitalization as of June 30, 2001:</w:t>
      </w:r>
    </w:p>
    <w:p>
      <w:pPr>
        <w:spacing w:after="0" w:line="195" w:lineRule="exact"/>
        <w:rPr>
          <w:sz w:val="20"/>
          <w:szCs w:val="20"/>
          <w:color w:val="auto"/>
        </w:rPr>
      </w:pPr>
    </w:p>
    <w:p>
      <w:pPr>
        <w:jc w:val="center"/>
        <w:ind w:right="4839"/>
        <w:spacing w:after="0" w:line="248" w:lineRule="auto"/>
        <w:rPr>
          <w:sz w:val="20"/>
          <w:szCs w:val="20"/>
          <w:color w:val="auto"/>
        </w:rPr>
      </w:pPr>
      <w:r>
        <w:rPr>
          <w:rFonts w:ascii="Courier New" w:cs="Courier New" w:eastAsia="Courier New" w:hAnsi="Courier New"/>
          <w:sz w:val="16"/>
          <w:szCs w:val="16"/>
          <w:color w:val="auto"/>
        </w:rPr>
        <w:t>AS OF JUNE 30, 2001 -------------- (UNAUDITED) (IN THOUSANDS) ACTUAL ------ Current portion of capital lease obligations................ $ 9,522 Capital lease obligations, less current portion............. 23,183 ---------- Total capital lease obligations................... 32,705 2% Convertible Notes due June 1, 2008....................... 500,000 Shareholders' equity: Preferred Shares, par value</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L0.01 per share; 25,000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w:t>
      </w:r>
    </w:p>
    <w:p>
      <w:pPr>
        <w:spacing w:after="0" w:line="7" w:lineRule="exact"/>
        <w:rPr>
          <w:sz w:val="20"/>
          <w:szCs w:val="20"/>
          <w:color w:val="auto"/>
        </w:rPr>
      </w:pPr>
    </w:p>
    <w:p>
      <w:pPr>
        <w:ind w:left="540" w:right="4899" w:hanging="491"/>
        <w:spacing w:after="0" w:line="248" w:lineRule="auto"/>
        <w:tabs>
          <w:tab w:leader="none" w:pos="34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Shares, par value L0.01 per share; 550,000 shares authorized; 222,486 shares issued and</w:t>
      </w:r>
    </w:p>
    <w:p>
      <w:pPr>
        <w:spacing w:after="0" w:line="1"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on an actual basis(1)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(2)..................................... 3,558</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Additional paid-in</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capital................................ 1,803,597</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Accumulated other comprehensive</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loss...................... (2,535) Unearned</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compensation.....................................</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(370) Accumulated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deficit.......................................</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(311,097) ---------- Total shareholders'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equity........................ 1,493,153 ----------</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Total capitalization..............................</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$2,025,858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599" w:hanging="400"/>
        <w:spacing w:after="0" w:line="252"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12,857,655 ordinary shares reserved for issuance upon the exercise of stock options that have been granted to employees.</w:t>
      </w:r>
    </w:p>
    <w:p>
      <w:pPr>
        <w:spacing w:after="0" w:line="183"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Non-voting ordinary shares comprise 50,000,000 of the authorized ordinary shares and 10,781,798 of the issued and outstanding ordinary shares.</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UNAUDITED PRO FORMA CONDENSED COMBINED STATEMENTS OF OPERATIONS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1999.</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87" w:lineRule="exact"/>
        <w:rPr>
          <w:sz w:val="20"/>
          <w:szCs w:val="20"/>
          <w:color w:val="auto"/>
        </w:rPr>
      </w:pPr>
    </w:p>
    <w:p>
      <w:pPr>
        <w:ind w:left="680" w:right="239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consolidated financial statements of Amdocs as of and for the fiscal year ended September 30, 2000;</w:t>
      </w:r>
    </w:p>
    <w:p>
      <w:pPr>
        <w:spacing w:after="0" w:line="183"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of ITDS as of and for the two month period ended November 30, 1999; and</w:t>
      </w:r>
    </w:p>
    <w:p>
      <w:pPr>
        <w:spacing w:after="0" w:line="183"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of Solect as of and for the six month period ended January 31, 2000.</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the acquisition of ITDS, we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$189.0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374"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connection with the acquisition of Solect, we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5" w:right="1440" w:bottom="1440" w:gutter="0" w:footer="0" w:header="0"/>
        </w:sectPr>
      </w:pPr>
    </w:p>
    <w:bookmarkStart w:id="25" w:name="page26"/>
    <w:bookmarkEnd w:id="25"/>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unaudited pro forma condensed combined statements of operations do not include the realization of cost savings from operating efficiencies, synergies or other restructurings resulting from the acquisitions.</w:t>
      </w:r>
    </w:p>
    <w:p>
      <w:pPr>
        <w:spacing w:after="0" w:line="185"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The following unaudited pro forma condensed combined statements of operations and notes thereto contain forward-looking statements that involve risks and uncertainties.</w:t>
      </w:r>
    </w:p>
    <w:p>
      <w:pPr>
        <w:spacing w:after="0" w:line="18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pro forma statement of operations has not been adjusted to give effect to the issue of the notes.</w:t>
      </w:r>
    </w:p>
    <w:p>
      <w:pPr>
        <w:spacing w:after="0" w:line="18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UNAUDITED PRO FORMA CONDENSED COMBINED STATEMENTS OF OPERATIONS</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FOR THE TWELVE MONTHS ENDED SEPTEMBER 30, 2000</w:t>
      </w:r>
    </w:p>
    <w:p>
      <w:pPr>
        <w:spacing w:after="0" w:line="19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ITDS SOLECT AMDOCS ITDS PRO</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FORMA SOLECT PRO FORMA PRO</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FORMA HISTORICAL HISTORICAL</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ADJUSTMENTS HISTORICAL</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ADJUSTMENTS COMBINED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 ----------- --------- (IN</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THOUSANDS, EXCEPT PER SHARE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DATA) (IN U.S. DOLLARS, UNLESS</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OTHERWISE STATED)</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Revenue.........................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$1,118,320 $23,289 $ -- $11,174</w:t>
      </w:r>
    </w:p>
    <w:p>
      <w:pPr>
        <w:spacing w:after="0" w:line="7" w:lineRule="exact"/>
        <w:rPr>
          <w:sz w:val="20"/>
          <w:szCs w:val="20"/>
          <w:color w:val="auto"/>
        </w:rPr>
      </w:pPr>
    </w:p>
    <w:p>
      <w:pPr>
        <w:jc w:val="both"/>
        <w:ind w:left="380" w:right="7479" w:firstLine="56"/>
        <w:spacing w:after="0" w:line="248" w:lineRule="auto"/>
        <w:tabs>
          <w:tab w:leader="none" w:pos="62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$1,152,783 Cost of revenue.................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645,524</w:t>
            </w:r>
          </w:p>
        </w:tc>
        <w:tc>
          <w:tcPr>
            <w:tcW w:w="2040" w:type="dxa"/>
            <w:vAlign w:val="bottom"/>
            <w:gridSpan w:val="4"/>
          </w:tcPr>
          <w:p>
            <w:pPr>
              <w:jc w:val="right"/>
              <w:ind w:right="99"/>
              <w:spacing w:after="0"/>
              <w:rPr>
                <w:sz w:val="20"/>
                <w:szCs w:val="20"/>
                <w:color w:val="auto"/>
              </w:rPr>
            </w:pPr>
            <w:r>
              <w:rPr>
                <w:rFonts w:ascii="Courier New" w:cs="Courier New" w:eastAsia="Courier New" w:hAnsi="Courier New"/>
                <w:sz w:val="16"/>
                <w:szCs w:val="16"/>
                <w:color w:val="auto"/>
              </w:rPr>
              <w:t>11,841 (1,120)(A2)</w:t>
            </w:r>
          </w:p>
        </w:tc>
      </w:tr>
      <w:tr>
        <w:trPr>
          <w:trHeight w:val="188"/>
        </w:trPr>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6,607 --</w:t>
            </w:r>
          </w:p>
        </w:tc>
        <w:tc>
          <w:tcPr>
            <w:tcW w:w="204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662,852 Research and</w:t>
            </w:r>
          </w:p>
        </w:tc>
      </w:tr>
      <w:tr>
        <w:trPr>
          <w:trHeight w:val="188"/>
        </w:trPr>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development........</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74,852</w:t>
            </w:r>
          </w:p>
        </w:tc>
      </w:tr>
      <w:tr>
        <w:trPr>
          <w:trHeight w:val="188"/>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5,384</w:t>
            </w:r>
          </w:p>
        </w:tc>
        <w:tc>
          <w:tcPr>
            <w:tcW w:w="10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-- 3,416</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w w:val="99"/>
              </w:rPr>
              <w:t>-- 83,652</w:t>
            </w:r>
          </w:p>
        </w:tc>
      </w:tr>
      <w:tr>
        <w:trPr>
          <w:trHeight w:val="188"/>
        </w:trPr>
        <w:tc>
          <w:tcPr>
            <w:tcW w:w="244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Selling, general and</w:t>
            </w:r>
          </w:p>
        </w:tc>
        <w:tc>
          <w:tcPr>
            <w:tcW w:w="480" w:type="dxa"/>
            <w:vAlign w:val="bottom"/>
          </w:tcPr>
          <w:p>
            <w:pPr>
              <w:spacing w:after="0"/>
              <w:rPr>
                <w:sz w:val="16"/>
                <w:szCs w:val="16"/>
                <w:color w:val="auto"/>
              </w:rPr>
            </w:pPr>
          </w:p>
        </w:tc>
      </w:tr>
      <w:tr>
        <w:trPr>
          <w:trHeight w:val="188"/>
        </w:trPr>
        <w:tc>
          <w:tcPr>
            <w:tcW w:w="176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4"/>
              </w:rPr>
              <w:t>administrative................</w:t>
            </w: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8"/>
        </w:trPr>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137,004</w:t>
            </w:r>
          </w:p>
        </w:tc>
        <w:tc>
          <w:tcPr>
            <w:tcW w:w="6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7"/>
              </w:rPr>
              <w:t>11,311</w:t>
            </w:r>
          </w:p>
        </w:tc>
        <w:tc>
          <w:tcPr>
            <w:tcW w:w="98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(575)(A1)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6,308</w:t>
            </w:r>
          </w:p>
        </w:tc>
      </w:tr>
      <w:tr>
        <w:trPr>
          <w:trHeight w:val="188"/>
        </w:trPr>
        <w:tc>
          <w:tcPr>
            <w:tcW w:w="14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(5,825)(A5)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148,223</w:t>
            </w:r>
          </w:p>
        </w:tc>
      </w:tr>
    </w:tbl>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Amortization of goodwill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purchased intangible assets...</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111,199 -- 787(A1) -- 4,565(B2)</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411(A2) 543(B3) 180(A3)</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98,631(B1) 22(A3) 202(B3)</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216,540 In process research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development and other indirect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acquisition related costs.....</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75,617 -- (19,876)(A6)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(55,741)(B5)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1,044,196</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28,536</w:t>
            </w:r>
          </w:p>
        </w:tc>
      </w:tr>
      <w:tr>
        <w:trPr>
          <w:trHeight w:val="188"/>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(25,996)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16,331</w:t>
            </w:r>
          </w:p>
        </w:tc>
        <w:tc>
          <w:tcPr>
            <w:tcW w:w="8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48,200</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1,111,267 ----------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 Operating income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4"/>
              </w:rPr>
              <w:t>(loss).........</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74,124 (5,247)</w:t>
            </w:r>
          </w:p>
        </w:tc>
      </w:tr>
      <w:tr>
        <w:trPr>
          <w:trHeight w:val="188"/>
        </w:trPr>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25,996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8"/>
              </w:rPr>
              <w:t>(5,157)</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(48,200)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41,516</w:t>
            </w:r>
          </w:p>
        </w:tc>
      </w:tr>
      <w:tr>
        <w:trPr>
          <w:trHeight w:val="188"/>
        </w:trPr>
        <w:tc>
          <w:tcPr>
            <w:tcW w:w="304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Other income (expenses),</w:t>
            </w:r>
          </w:p>
        </w:tc>
      </w:tr>
      <w:tr>
        <w:trPr>
          <w:trHeight w:val="188"/>
        </w:trPr>
        <w:tc>
          <w:tcPr>
            <w:tcW w:w="740" w:type="dxa"/>
            <w:vAlign w:val="bottom"/>
          </w:tcPr>
          <w:p>
            <w:pPr>
              <w:ind w:left="200"/>
              <w:spacing w:after="0"/>
              <w:rPr>
                <w:sz w:val="20"/>
                <w:szCs w:val="20"/>
                <w:color w:val="auto"/>
              </w:rPr>
            </w:pPr>
            <w:r>
              <w:rPr>
                <w:rFonts w:ascii="Courier New" w:cs="Courier New" w:eastAsia="Courier New" w:hAnsi="Courier New"/>
                <w:sz w:val="16"/>
                <w:szCs w:val="16"/>
                <w:color w:val="auto"/>
                <w:w w:val="77"/>
              </w:rPr>
              <w:t>net....</w:t>
            </w:r>
          </w:p>
        </w:tc>
        <w:tc>
          <w:tcPr>
            <w:tcW w:w="230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10,734 386 -- (797)</w:t>
            </w:r>
          </w:p>
        </w:tc>
      </w:tr>
      <w:tr>
        <w:trPr>
          <w:trHeight w:val="188"/>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704(B6)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11,027</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 Income (loss) before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taxes.........................</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84,858 (4,861) 25,996 (5,954)</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(47,496) 52,543 Income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taxes....................</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78,880 1,156 110(A4) 37 (2,124)</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(B4) 78,059 ----------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 Net income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(loss)...............</w:t>
            </w:r>
          </w:p>
        </w:tc>
        <w:tc>
          <w:tcPr>
            <w:tcW w:w="880" w:type="dxa"/>
            <w:vAlign w:val="bottom"/>
          </w:tcPr>
          <w:p>
            <w:pPr>
              <w:spacing w:after="0"/>
              <w:rPr>
                <w:sz w:val="15"/>
                <w:szCs w:val="15"/>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$ 5,978</w:t>
            </w:r>
          </w:p>
        </w:tc>
      </w:tr>
      <w:tr>
        <w:trPr>
          <w:trHeight w:val="188"/>
        </w:trPr>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$(6,017)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$ 25,886</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$(5,991)</w:t>
            </w:r>
          </w:p>
        </w:tc>
      </w:tr>
      <w:tr>
        <w:trPr>
          <w:trHeight w:val="188"/>
        </w:trPr>
        <w:tc>
          <w:tcPr>
            <w:tcW w:w="980" w:type="dxa"/>
            <w:vAlign w:val="bottom"/>
          </w:tcPr>
          <w:p>
            <w:pPr>
              <w:jc w:val="right"/>
              <w:ind w:right="25"/>
              <w:spacing w:after="0"/>
              <w:rPr>
                <w:sz w:val="20"/>
                <w:szCs w:val="20"/>
                <w:color w:val="auto"/>
              </w:rPr>
            </w:pPr>
            <w:r>
              <w:rPr>
                <w:rFonts w:ascii="Courier New" w:cs="Courier New" w:eastAsia="Courier New" w:hAnsi="Courier New"/>
                <w:sz w:val="16"/>
                <w:szCs w:val="16"/>
                <w:color w:val="auto"/>
                <w:w w:val="99"/>
              </w:rPr>
              <w:t>$(45,372)</w:t>
            </w:r>
          </w:p>
        </w:tc>
        <w:tc>
          <w:tcPr>
            <w:tcW w:w="2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(25,516) ==========</w:t>
            </w:r>
          </w:p>
        </w:tc>
      </w:tr>
    </w:tbl>
    <w:p>
      <w:pPr>
        <w:spacing w:after="0" w:line="4"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 ========== Basic</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earnings (loss) per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ind w:left="480" w:hanging="190"/>
        <w:spacing w:after="0"/>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0.03 $ (0.12) ==========</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Diluted earnings</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ind w:left="480" w:hanging="190"/>
        <w:spacing w:after="0"/>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0.03 $ (0.12) ==========</w:t>
      </w:r>
    </w:p>
    <w:p>
      <w:pPr>
        <w:spacing w:after="0" w:line="6" w:lineRule="exact"/>
        <w:rPr>
          <w:rFonts w:ascii="Courier New" w:cs="Courier New" w:eastAsia="Courier New" w:hAnsi="Courier New"/>
          <w:sz w:val="16"/>
          <w:szCs w:val="16"/>
          <w:color w:val="auto"/>
        </w:rPr>
      </w:pPr>
    </w:p>
    <w:p>
      <w:pPr>
        <w:jc w:val="both"/>
        <w:ind w:left="380" w:right="7439" w:hanging="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Basic weighted average number of shares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outstanding............ 212,005</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220,003 ========== ==========</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Diluted weighted average number</w:t>
      </w:r>
    </w:p>
    <w:p>
      <w:pPr>
        <w:sectPr>
          <w:pgSz w:w="11900" w:h="16850" w:orient="portrait"/>
          <w:cols w:equalWidth="0" w:num="1">
            <w:col w:w="10219"/>
          </w:cols>
          <w:pgMar w:left="240" w:top="305"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of shares outstanding.........</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216,935 220,003(C) ==========</w:t>
      </w:r>
    </w:p>
    <w:p>
      <w:pPr>
        <w:spacing w:after="0" w:line="7" w:lineRule="exact"/>
        <w:rPr>
          <w:sz w:val="20"/>
          <w:szCs w:val="20"/>
          <w:color w:val="auto"/>
        </w:rPr>
      </w:pPr>
    </w:p>
    <w:p>
      <w:pPr>
        <w:jc w:val="center"/>
        <w:ind w:right="7199"/>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See notes to Unaudited Pro Forma Condensed Combined Statements of Operations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for discussion of adjustments.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119"/>
          </w:cols>
          <w:pgMar w:left="340" w:top="142"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6"/>
          <w:szCs w:val="16"/>
          <w:color w:val="auto"/>
        </w:rPr>
        <w:t>NOTES TO UNAUDITED PRO FORMA CONDENSED COMBINED STATEMENTS OF OPERATIONS (IN 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ITDS TRANSACTION: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Amdocs acquired ITDS on November 30, 1999. Accordingly, the operations of ITDS are included in the historical results of Amdocs from that date. The amounts presented under the column headed ITDS Historical represent the historical results of ITDS for the two months ended November 30, 1999.</w:t>
      </w:r>
    </w:p>
    <w:p>
      <w:pPr>
        <w:spacing w:after="0" w:line="188" w:lineRule="exact"/>
        <w:rPr>
          <w:sz w:val="20"/>
          <w:szCs w:val="20"/>
          <w:color w:val="auto"/>
        </w:rPr>
      </w:pPr>
    </w:p>
    <w:p>
      <w:pPr>
        <w:ind w:right="2499" w:firstLine="489"/>
        <w:spacing w:after="0" w:line="250" w:lineRule="auto"/>
        <w:tabs>
          <w:tab w:leader="none" w:pos="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ITDS historical goodwill amortization and the amortization of goodwill resulting from the acquisition of ITDS for the two months ended November 30, 1999:</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expense relating to goodwill of $70,797 over 15</w:t>
            </w:r>
          </w:p>
        </w:tc>
        <w:tc>
          <w:tcPr>
            <w:tcW w:w="680" w:type="dxa"/>
            <w:vAlign w:val="bottom"/>
          </w:tcPr>
          <w:p>
            <w:pPr>
              <w:spacing w:after="0"/>
              <w:rPr>
                <w:sz w:val="15"/>
                <w:szCs w:val="15"/>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years.....................................................</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$ 787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Less historical amortization expense........................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(575)</w:t>
            </w:r>
          </w:p>
        </w:tc>
      </w:tr>
      <w:tr>
        <w:trPr>
          <w:trHeight w:val="188"/>
        </w:trPr>
        <w:tc>
          <w:tcPr>
            <w:tcW w:w="5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Additional goodwill amortization, net.......................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$ 212</w:t>
            </w:r>
          </w:p>
        </w:tc>
      </w:tr>
      <w:tr>
        <w:trPr>
          <w:trHeight w:val="188"/>
        </w:trPr>
        <w:tc>
          <w:tcPr>
            <w:tcW w:w="5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489"/>
        <w:spacing w:after="0" w:line="249"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ITDS historical amortization of intellectual property and core technology and the amortization of the core technology resulting from the valuation at the time of the acquisition for the two months ended November 30, 1999:</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20"/>
                <w:szCs w:val="20"/>
                <w:color w:val="auto"/>
              </w:rPr>
            </w:pPr>
            <w:r>
              <w:rPr>
                <w:rFonts w:ascii="Courier New" w:cs="Courier New" w:eastAsia="Courier New" w:hAnsi="Courier New"/>
                <w:sz w:val="16"/>
                <w:szCs w:val="16"/>
                <w:color w:val="auto"/>
              </w:rPr>
              <w:t>Amortization expense relating to core technology of</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5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$12,342 over 5 years....................................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411</w:t>
            </w:r>
          </w:p>
        </w:tc>
      </w:tr>
      <w:tr>
        <w:trPr>
          <w:trHeight w:val="188"/>
        </w:trPr>
        <w:tc>
          <w:tcPr>
            <w:tcW w:w="5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Less historical amortization expense......................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(1,120)</w:t>
            </w:r>
          </w:p>
        </w:tc>
      </w:tr>
      <w:tr>
        <w:trPr>
          <w:trHeight w:val="188"/>
        </w:trPr>
        <w:tc>
          <w:tcPr>
            <w:tcW w:w="576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Reduction of amortization expense related to core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5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technology, net.........................................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(709)</w:t>
            </w:r>
          </w:p>
        </w:tc>
      </w:tr>
      <w:tr>
        <w:trPr>
          <w:trHeight w:val="188"/>
        </w:trPr>
        <w:tc>
          <w:tcPr>
            <w:tcW w:w="576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489"/>
        <w:spacing w:after="0" w:line="252" w:lineRule="auto"/>
        <w:tabs>
          <w:tab w:leader="none" w:pos="8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amortization of the workforce-in-place and customer list for the two months ended November 30, 1999, as follows: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expense relating to workforce-in-place of</w:t>
      </w:r>
    </w:p>
    <w:p>
      <w:pPr>
        <w:spacing w:after="0" w:line="7" w:lineRule="exact"/>
        <w:rPr>
          <w:sz w:val="20"/>
          <w:szCs w:val="20"/>
          <w:color w:val="auto"/>
        </w:rPr>
      </w:pPr>
    </w:p>
    <w:p>
      <w:pPr>
        <w:ind w:left="200"/>
        <w:spacing w:after="0"/>
        <w:tabs>
          <w:tab w:leader="dot" w:pos="6040" w:val="left"/>
        </w:tabs>
        <w:rPr>
          <w:sz w:val="20"/>
          <w:szCs w:val="20"/>
          <w:color w:val="auto"/>
        </w:rPr>
      </w:pPr>
      <w:r>
        <w:rPr>
          <w:rFonts w:ascii="Courier New" w:cs="Courier New" w:eastAsia="Courier New" w:hAnsi="Courier New"/>
          <w:sz w:val="16"/>
          <w:szCs w:val="16"/>
          <w:color w:val="auto"/>
        </w:rPr>
        <w:t>$5,407 over 5 years</w:t>
      </w:r>
      <w:r>
        <w:rPr>
          <w:sz w:val="20"/>
          <w:szCs w:val="20"/>
          <w:color w:val="auto"/>
        </w:rPr>
        <w:tab/>
      </w:r>
      <w:r>
        <w:rPr>
          <w:rFonts w:ascii="Courier New" w:cs="Courier New" w:eastAsia="Courier New" w:hAnsi="Courier New"/>
          <w:sz w:val="16"/>
          <w:szCs w:val="16"/>
          <w:color w:val="auto"/>
        </w:rPr>
        <w:t>$180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expense relating to customer base of $647 over</w:t>
      </w:r>
    </w:p>
    <w:p>
      <w:pPr>
        <w:spacing w:after="0" w:line="7" w:lineRule="exact"/>
        <w:rPr>
          <w:sz w:val="20"/>
          <w:szCs w:val="20"/>
          <w:color w:val="auto"/>
        </w:rPr>
      </w:pPr>
    </w:p>
    <w:p>
      <w:pPr>
        <w:ind w:left="200"/>
        <w:spacing w:after="0"/>
        <w:tabs>
          <w:tab w:leader="dot" w:pos="6240" w:val="left"/>
        </w:tabs>
        <w:rPr>
          <w:sz w:val="20"/>
          <w:szCs w:val="20"/>
          <w:color w:val="auto"/>
        </w:rPr>
      </w:pPr>
      <w:r>
        <w:rPr>
          <w:rFonts w:ascii="Courier New" w:cs="Courier New" w:eastAsia="Courier New" w:hAnsi="Courier New"/>
          <w:sz w:val="16"/>
          <w:szCs w:val="16"/>
          <w:color w:val="auto"/>
        </w:rPr>
        <w:t>5 years</w:t>
      </w:r>
      <w:r>
        <w:rPr>
          <w:sz w:val="20"/>
          <w:szCs w:val="20"/>
          <w:color w:val="auto"/>
        </w:rPr>
        <w:tab/>
      </w:r>
      <w:r>
        <w:rPr>
          <w:rFonts w:ascii="Courier New" w:cs="Courier New" w:eastAsia="Courier New" w:hAnsi="Courier New"/>
          <w:sz w:val="16"/>
          <w:szCs w:val="16"/>
          <w:color w:val="auto"/>
        </w:rPr>
        <w:t>22</w:t>
      </w:r>
    </w:p>
    <w:p>
      <w:pPr>
        <w:spacing w:after="0" w:line="383" w:lineRule="exact"/>
        <w:rPr>
          <w:sz w:val="20"/>
          <w:szCs w:val="20"/>
          <w:color w:val="auto"/>
        </w:rPr>
      </w:pPr>
    </w:p>
    <w:p>
      <w:pPr>
        <w:ind w:right="2499" w:firstLine="489"/>
        <w:spacing w:after="0" w:line="250"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effect resulting from the differences between the values assigned to core technology, workforce-in-place and customer list and the respective tax basis of such assets.</w:t>
      </w:r>
    </w:p>
    <w:p>
      <w:pPr>
        <w:spacing w:after="0" w:line="185"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elimination of ITDS transaction costs.</w:t>
      </w:r>
    </w:p>
    <w:p>
      <w:pPr>
        <w:spacing w:after="0" w:line="194" w:lineRule="exact"/>
        <w:rPr>
          <w:rFonts w:ascii="Courier New" w:cs="Courier New" w:eastAsia="Courier New" w:hAnsi="Courier New"/>
          <w:sz w:val="16"/>
          <w:szCs w:val="16"/>
          <w:color w:val="auto"/>
        </w:rPr>
      </w:pPr>
    </w:p>
    <w:p>
      <w:pPr>
        <w:ind w:right="2699" w:firstLine="489"/>
        <w:spacing w:after="0" w:line="250" w:lineRule="auto"/>
        <w:tabs>
          <w:tab w:leader="none" w:pos="8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elimination of in process research and development expenses included in Amdocs' historical financial statements as a result of the ITDS acquisition.</w:t>
      </w:r>
    </w:p>
    <w:p>
      <w:pPr>
        <w:spacing w:after="0" w:line="185"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SOLECT TRANSACTION: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Amdocs acquired Solect on April 5, 2000. Accordingly, Solect's operations are included in the historical results of Amdocs from that date. The amounts presented under the column headed Solect Historical represent the historical results of Solect for the six months ended January 31, 2000. There were no substantial changes in Solect's financial position or results of operations during the two month period ended March 31, 2000.</w:t>
      </w:r>
    </w:p>
    <w:p>
      <w:pPr>
        <w:spacing w:after="0" w:line="187" w:lineRule="exact"/>
        <w:rPr>
          <w:sz w:val="20"/>
          <w:szCs w:val="20"/>
          <w:color w:val="auto"/>
        </w:rPr>
      </w:pPr>
    </w:p>
    <w:p>
      <w:pPr>
        <w:ind w:right="2699" w:firstLine="489"/>
        <w:spacing w:after="0" w:line="252" w:lineRule="auto"/>
        <w:tabs>
          <w:tab w:leader="none" w:pos="8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amortization of goodwill resulting from the acquisition for the six months ended January 31, 2000:</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expense relating to goodwill of $986,312 over</w:t>
            </w:r>
          </w:p>
        </w:tc>
        <w:tc>
          <w:tcPr>
            <w:tcW w:w="780" w:type="dxa"/>
            <w:vAlign w:val="bottom"/>
          </w:tcPr>
          <w:p>
            <w:pPr>
              <w:spacing w:after="0"/>
              <w:rPr>
                <w:sz w:val="15"/>
                <w:szCs w:val="15"/>
                <w:color w:val="auto"/>
              </w:rPr>
            </w:pPr>
          </w:p>
        </w:tc>
      </w:tr>
      <w:tr>
        <w:trPr>
          <w:trHeight w:val="188"/>
        </w:trPr>
        <w:tc>
          <w:tcPr>
            <w:tcW w:w="5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 years.................................................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$98,631</w:t>
            </w:r>
          </w:p>
        </w:tc>
      </w:tr>
    </w:tbl>
    <w:p>
      <w:pPr>
        <w:spacing w:after="0" w:line="200" w:lineRule="exact"/>
        <w:rPr>
          <w:sz w:val="20"/>
          <w:szCs w:val="20"/>
          <w:color w:val="auto"/>
        </w:rPr>
      </w:pPr>
    </w:p>
    <w:p>
      <w:pPr>
        <w:sectPr>
          <w:pgSz w:w="11900" w:h="16838" w:orient="portrait"/>
          <w:cols w:equalWidth="0" w:num="1">
            <w:col w:w="10219"/>
          </w:cols>
          <w:pgMar w:left="240" w:top="305" w:right="1440" w:bottom="376" w:gutter="0" w:footer="0" w:header="0"/>
        </w:sectPr>
      </w:pP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5" w:right="1440" w:bottom="376"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UNAUDITED PRO FORMA CONDENSED COMBINED STATEMENTS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195" w:lineRule="exact"/>
        <w:rPr>
          <w:sz w:val="20"/>
          <w:szCs w:val="20"/>
          <w:color w:val="auto"/>
        </w:rPr>
      </w:pPr>
    </w:p>
    <w:p>
      <w:pPr>
        <w:ind w:right="2699" w:firstLine="489"/>
        <w:spacing w:after="0" w:line="250" w:lineRule="auto"/>
        <w:tabs>
          <w:tab w:leader="none" w:pos="8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amortization of the core technology resulting from the valuation at the time of the acquisition for the six months ended January 31, 2000:</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Amortization expense relating to core technology of $18,259</w:t>
            </w:r>
          </w:p>
        </w:tc>
        <w:tc>
          <w:tcPr>
            <w:tcW w:w="680" w:type="dxa"/>
            <w:vAlign w:val="bottom"/>
          </w:tcPr>
          <w:p>
            <w:pPr>
              <w:spacing w:after="0"/>
              <w:rPr>
                <w:sz w:val="15"/>
                <w:szCs w:val="15"/>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over 2 years..............................................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$4,565</w:t>
            </w:r>
          </w:p>
        </w:tc>
      </w:tr>
    </w:tbl>
    <w:p>
      <w:pPr>
        <w:spacing w:after="0" w:line="380" w:lineRule="exact"/>
        <w:rPr>
          <w:sz w:val="20"/>
          <w:szCs w:val="20"/>
          <w:color w:val="auto"/>
        </w:rPr>
      </w:pPr>
    </w:p>
    <w:p>
      <w:pPr>
        <w:ind w:right="2499" w:firstLine="489"/>
        <w:spacing w:after="0" w:line="252" w:lineRule="auto"/>
        <w:tabs>
          <w:tab w:leader="none" w:pos="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amortization of the workforce-in-place and customers base for the six months ended January 31, 2000, as follows: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4740" w:type="dxa"/>
            <w:vAlign w:val="bottom"/>
          </w:tcPr>
          <w:p>
            <w:pPr>
              <w:ind w:left="60"/>
              <w:spacing w:after="0"/>
              <w:rPr>
                <w:sz w:val="20"/>
                <w:szCs w:val="20"/>
                <w:color w:val="auto"/>
              </w:rPr>
            </w:pPr>
            <w:r>
              <w:rPr>
                <w:rFonts w:ascii="Courier New" w:cs="Courier New" w:eastAsia="Courier New" w:hAnsi="Courier New"/>
                <w:sz w:val="16"/>
                <w:szCs w:val="16"/>
                <w:color w:val="auto"/>
              </w:rPr>
              <w:t>expense relating to workforce-in-place of</w:t>
            </w:r>
          </w:p>
        </w:tc>
        <w:tc>
          <w:tcPr>
            <w:tcW w:w="500" w:type="dxa"/>
            <w:vAlign w:val="bottom"/>
          </w:tcPr>
          <w:p>
            <w:pPr>
              <w:spacing w:after="0"/>
              <w:rPr>
                <w:sz w:val="15"/>
                <w:szCs w:val="15"/>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$3,259</w:t>
            </w:r>
          </w:p>
        </w:tc>
        <w:tc>
          <w:tcPr>
            <w:tcW w:w="51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over 3 years.......................................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r>
      <w:tr>
        <w:trPr>
          <w:trHeight w:val="188"/>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474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expense relating to customer base of $1,211</w:t>
            </w:r>
          </w:p>
        </w:tc>
        <w:tc>
          <w:tcPr>
            <w:tcW w:w="50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over 3</w:t>
            </w:r>
          </w:p>
        </w:tc>
        <w:tc>
          <w:tcPr>
            <w:tcW w:w="51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years..............................................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bl>
    <w:p>
      <w:pPr>
        <w:spacing w:after="0" w:line="380" w:lineRule="exact"/>
        <w:rPr>
          <w:sz w:val="20"/>
          <w:szCs w:val="20"/>
          <w:color w:val="auto"/>
        </w:rPr>
      </w:pPr>
    </w:p>
    <w:p>
      <w:pPr>
        <w:ind w:right="2599" w:firstLine="489"/>
        <w:spacing w:after="0" w:line="250" w:lineRule="auto"/>
        <w:tabs>
          <w:tab w:leader="none" w:pos="8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effect resulting from the differences between the values assigned to core technology, workforce-in-place and customer base and their respective tax basis.</w:t>
      </w:r>
    </w:p>
    <w:p>
      <w:pPr>
        <w:spacing w:after="0" w:line="185" w:lineRule="exact"/>
        <w:rPr>
          <w:rFonts w:ascii="Courier New" w:cs="Courier New" w:eastAsia="Courier New" w:hAnsi="Courier New"/>
          <w:sz w:val="16"/>
          <w:szCs w:val="16"/>
          <w:color w:val="auto"/>
        </w:rPr>
      </w:pPr>
    </w:p>
    <w:p>
      <w:pPr>
        <w:ind w:right="2599" w:firstLine="489"/>
        <w:spacing w:after="0" w:line="250" w:lineRule="auto"/>
        <w:tabs>
          <w:tab w:leader="none" w:pos="8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elimination of in process research and development and other indirect acquisition related costs included in the historical financial statements of Amdocs as a result of the Solect acquisition.</w:t>
      </w:r>
    </w:p>
    <w:p>
      <w:pPr>
        <w:spacing w:after="0" w:line="185" w:lineRule="exact"/>
        <w:rPr>
          <w:rFonts w:ascii="Courier New" w:cs="Courier New" w:eastAsia="Courier New" w:hAnsi="Courier New"/>
          <w:sz w:val="16"/>
          <w:szCs w:val="16"/>
          <w:color w:val="auto"/>
        </w:rPr>
      </w:pPr>
    </w:p>
    <w:p>
      <w:pPr>
        <w:ind w:right="2599" w:firstLine="489"/>
        <w:spacing w:after="0" w:line="252" w:lineRule="auto"/>
        <w:tabs>
          <w:tab w:leader="none" w:pos="8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decrease in interest expenses related to Solect's debentures that converted to common stock prior to the closing.</w:t>
      </w:r>
    </w:p>
    <w:p>
      <w:pPr>
        <w:spacing w:after="0" w:line="18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LOSS PER SHARE</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amount of shares used in the diluted loss per share calculation does not include any stock options due to their anti-dilutive effect.</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5"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DESCRIPTION OF THE NOTES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issued the notes under an indenture between us and United States Trust Company of New York, as trustee. The indenture and the notes are governed by New York law. As this section is a summary, it does not describe every aspect of the notes and the indenture. The following summaries of provisions of the indenture do not purport to be complete and are subject to, and are qualified in their entirety by reference to, the detailed provisions of the notes and the indenture, including the definitions of terms. You may request copies of these documents by contacting us in writing.</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this section, references to "Amdocs", "we", "our", "us" or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 solely to Amdocs Limited and not its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The notes were issued in fully registered form, without coupons, in denominations of $1,000 principal amount and whole multiples of $1,000.</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notes are senior, unsecured general obligations of Amdocs. The notes are limited to $500 million aggregate principal amount or $600 million if the underwriters exercise in full their right to purchase additional notes to cover over-allotments. We are required to repay the principal amount of the notes in full on June 1, 2008, unless they are redeemed or repurchased on an earlier date. The notes rank equally with our other senior unsecured obligations.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notes bear interest at the rate per annum shown on the front cover of this prospectus from May 30, 2001. We will pay interest on the notes on June 1 and December 1 of each year, commencing on December 1, 2001. Interest payable per $1,000 principal amount of notes for the period from May 30, 2001 to December 1, 2001 will be approximately $10.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may convert the notes into our ordinary shares initially at the conversion rate stated on the front cover of this prospectus at any time before the close of business on June 1, 2008, unless the notes have been previously redeemed or repurchased. Holders of notes called for redemption or submitted for repurchase will be entitled to convert the notes up to and including the business day immediately preceding the date fixed for redemption or repurchase, as the case may be. The conversion rate may be adjusted as described below.</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may redeem the notes at our option at any time on or after June 1, 2006, in whole or in part, at a redemption price of 100% of principal amount plus accrued and unpaid interest to the redemption date. On June 1, 2004 and June 1, 2006, you will have the right to require us to repurchase any notes held by you as described below under "-- Repurchase Rights". In addition, if we undergo a change in control, you will have the right to require us to repurchase your notes as described below under "-- Repurchase at Option of Holders Upon a Change In Control".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have the option to convert any portion of the principal amount of any note that is an integral multiple of $1,000 into our ordinary shares of our common stock at any time on or prior to the close of business on the maturity date, unless the notes have been previously redeemed or repurchased. The conversion rate will be equal to 10.8587 shares per $1,000 principal amount of notes. The conversion rate is equivalent to a conversion price of approximately $92.09 per share.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You may convert all or part of any note by delivering the note at the Corporate Trust Office of the trustee in the Borough of Manhattan, The City of New York, accompanied by a duly signed and completed conversion notice, a copy of which may be obtained from the trustee. The conversion</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5"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date will be the date on which the note and the duly signed and completed conversion notice are so delivered.</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promptly as practicable on or after the conversion date, we will issue and deliver to the trustee a certificate or certificates for the number of full ordinary shares issuable upon conversion, together with payment in lieu of any fraction of a share. The certificate or certificates will then be sent by the trustee to the conversion agent for delivery to the holder of the note being converted. Our ordinary shares issuable upon conversion of the notes will be fully paid and nonassessable and will rank equally with our other ordinary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you surrender a note for conversion on a date that is not an interest payment date, you will not be entitled to receive any interest for the period from the immediately preceding interest payment date to the conversion date, except as described below in this paragraph. Any note surrendered for conversion during the period from the close of business on any regular record date to the opening of business on the next succeeding interest payment date, except notes, or portions thereof, called for redemption on a redemption date or to be repurchased on a repurchase date for which the right to convert would terminate during such period, must be accompanied by payment of an amount equal to the interest payable on such interest payment date on the principal amount of notes being surrendered for conversion. In the case of any note that has been converted after any regular record date but before the next succeeding interest payment date, interest payable on such interest payment date shall be payable on such interest payment date notwithstanding such conversion, and such interest shall be paid to the holder of such note on such regular record date.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 other payment or adjustment for interest, or for any dividends in respect of our ordinary shares, will be made upon conversion. Holders of our ordinary shares issued upon conversion will not be entitled to receive any dividends payable to holders of our ordinary shares as of any record time or date before the close of business on the conversion date. We will not issue fractional shares upon conversion. Instead, we will pay cash based on the market price of our ordinary shares at the close of business on the conversion date.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You will not be required to pay any taxes or duties relating to the issue or delivery of our ordinary shares on conversion, but you will be required to pay any tax or duty relating to any transfer involved in the issue or delivery of our ordinary shares in a name other than yours. Certificates representing ordinary shares will not be issued or delivered unless all taxes and duties, if any, payable by you have been paid.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conversion rate will be subject to adjustment for, among other things:</w:t>
      </w:r>
    </w:p>
    <w:p>
      <w:pPr>
        <w:spacing w:after="0" w:line="195" w:lineRule="exact"/>
        <w:rPr>
          <w:sz w:val="20"/>
          <w:szCs w:val="20"/>
          <w:color w:val="auto"/>
        </w:rPr>
      </w:pPr>
    </w:p>
    <w:p>
      <w:pPr>
        <w:ind w:left="680" w:right="2979" w:hanging="191"/>
        <w:spacing w:after="0" w:line="252"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other distributions payable in our ordinary shares on shares of our capital stock;</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ordinary shares of rights, options or warrants entitling them to subscribe for or purchase our ordinary shares at less than the then current market price of such ordinary shares as of the record date for shareholders entitled to receive such rights, options or warrants;</w:t>
      </w:r>
    </w:p>
    <w:p>
      <w:pPr>
        <w:spacing w:after="0" w:line="187"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subdivisions, combinations and reclassifications of our ordinary shares;</w:t>
      </w:r>
    </w:p>
    <w:p>
      <w:pPr>
        <w:spacing w:after="0" w:line="194"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to all holders of our ordinary shares of evidences of our indebtedness, shares of capital stock, cash or assets, including securities, but excluding:</w:t>
      </w:r>
    </w:p>
    <w:p>
      <w:pPr>
        <w:spacing w:after="0" w:line="185" w:lineRule="exact"/>
        <w:rPr>
          <w:rFonts w:ascii="Courier New" w:cs="Courier New" w:eastAsia="Courier New" w:hAnsi="Courier New"/>
          <w:sz w:val="16"/>
          <w:szCs w:val="16"/>
          <w:color w:val="auto"/>
        </w:rPr>
      </w:pPr>
    </w:p>
    <w:p>
      <w:pPr>
        <w:ind w:left="980" w:right="2499" w:hanging="393"/>
        <w:spacing w:after="0" w:line="252" w:lineRule="auto"/>
        <w:tabs>
          <w:tab w:leader="none" w:pos="9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dividends, rights, options, warrants and distributions referred to above;</w:t>
      </w:r>
    </w:p>
    <w:p>
      <w:pPr>
        <w:spacing w:after="0" w:line="183"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distributions paid exclusively in cash; and</w:t>
      </w:r>
    </w:p>
    <w:p>
      <w:pPr>
        <w:spacing w:after="0" w:line="194"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upon mergers or consolidations discussed below;</w:t>
      </w:r>
    </w:p>
    <w:p>
      <w:pPr>
        <w:spacing w:after="0" w:line="194"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consisting exclusively of cash, excluding any cash portion of distributions referred to in the bullet point immediately above, or cash distributed upon a merger or</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5"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left="680" w:right="2599"/>
        <w:spacing w:after="0" w:line="250" w:lineRule="auto"/>
        <w:rPr>
          <w:sz w:val="20"/>
          <w:szCs w:val="20"/>
          <w:color w:val="auto"/>
        </w:rPr>
      </w:pPr>
      <w:r>
        <w:rPr>
          <w:rFonts w:ascii="Courier New" w:cs="Courier New" w:eastAsia="Courier New" w:hAnsi="Courier New"/>
          <w:sz w:val="16"/>
          <w:szCs w:val="16"/>
          <w:color w:val="auto"/>
        </w:rPr>
        <w:t>consolidation to which the next succeeding bullet point applies, to all holders of our ordinary shares in an aggregate amount that, combined together with:</w:t>
      </w:r>
    </w:p>
    <w:p>
      <w:pPr>
        <w:spacing w:after="0" w:line="185" w:lineRule="exact"/>
        <w:rPr>
          <w:sz w:val="20"/>
          <w:szCs w:val="20"/>
          <w:color w:val="auto"/>
        </w:rPr>
      </w:pPr>
    </w:p>
    <w:p>
      <w:pPr>
        <w:ind w:left="980" w:right="2499" w:hanging="393"/>
        <w:spacing w:after="0" w:line="252" w:lineRule="auto"/>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all-cash distributions made within the preceding 365-day period in respect of which no adjustment has been made; and</w:t>
      </w:r>
    </w:p>
    <w:p>
      <w:pPr>
        <w:spacing w:after="0" w:line="183" w:lineRule="exact"/>
        <w:rPr>
          <w:rFonts w:ascii="Courier New" w:cs="Courier New" w:eastAsia="Courier New" w:hAnsi="Courier New"/>
          <w:sz w:val="16"/>
          <w:szCs w:val="16"/>
          <w:color w:val="auto"/>
        </w:rPr>
      </w:pPr>
    </w:p>
    <w:p>
      <w:pPr>
        <w:ind w:left="980" w:right="2499" w:hanging="393"/>
        <w:spacing w:after="0" w:line="249" w:lineRule="auto"/>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and the fair market value of other consideration payable in connection with any tender offer by us or any of our subsidiaries for our ordinary shares concluded within the preceding 365-day period in respect of which no adjustment has been made,</w:t>
      </w:r>
    </w:p>
    <w:p>
      <w:pPr>
        <w:spacing w:after="0" w:line="188" w:lineRule="exact"/>
        <w:rPr>
          <w:sz w:val="20"/>
          <w:szCs w:val="20"/>
          <w:color w:val="auto"/>
        </w:rPr>
      </w:pPr>
    </w:p>
    <w:p>
      <w:pPr>
        <w:ind w:left="580" w:right="2399"/>
        <w:spacing w:after="0" w:line="250" w:lineRule="auto"/>
        <w:rPr>
          <w:sz w:val="20"/>
          <w:szCs w:val="20"/>
          <w:color w:val="auto"/>
        </w:rPr>
      </w:pPr>
      <w:r>
        <w:rPr>
          <w:rFonts w:ascii="Courier New" w:cs="Courier New" w:eastAsia="Courier New" w:hAnsi="Courier New"/>
          <w:sz w:val="16"/>
          <w:szCs w:val="16"/>
          <w:color w:val="auto"/>
        </w:rPr>
        <w:t>exceeds 10% of our market capitalization, being the product of the current market price per ordinary share on the record date for such distribution and the number of ordinary shares then outstanding; and</w:t>
      </w:r>
    </w:p>
    <w:p>
      <w:pPr>
        <w:spacing w:after="0" w:line="185" w:lineRule="exact"/>
        <w:rPr>
          <w:sz w:val="20"/>
          <w:szCs w:val="20"/>
          <w:color w:val="auto"/>
        </w:rPr>
      </w:pPr>
    </w:p>
    <w:p>
      <w:pPr>
        <w:ind w:left="680" w:right="2879" w:hanging="191"/>
        <w:spacing w:after="0" w:line="250" w:lineRule="auto"/>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successful completion of a tender offer made by us or any of our subsidiaries for our ordinary shares which involves an aggregate consideration that, together with:</w:t>
      </w:r>
    </w:p>
    <w:p>
      <w:pPr>
        <w:spacing w:after="0" w:line="185" w:lineRule="exact"/>
        <w:rPr>
          <w:rFonts w:ascii="Courier New" w:cs="Courier New" w:eastAsia="Courier New" w:hAnsi="Courier New"/>
          <w:sz w:val="16"/>
          <w:szCs w:val="16"/>
          <w:color w:val="auto"/>
        </w:rPr>
      </w:pPr>
    </w:p>
    <w:p>
      <w:pPr>
        <w:ind w:left="980" w:right="2699" w:hanging="393"/>
        <w:spacing w:after="0" w:line="249" w:lineRule="auto"/>
        <w:tabs>
          <w:tab w:leader="none" w:pos="9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and other consideration payable in a tender offer by us or any of our subsidiaries for our ordinary shares expiring within the 365-day period preceding the expiration of that tender offer in respect of which no adjustment has been made; and</w:t>
      </w:r>
    </w:p>
    <w:p>
      <w:pPr>
        <w:spacing w:after="0" w:line="187" w:lineRule="exact"/>
        <w:rPr>
          <w:rFonts w:ascii="Courier New" w:cs="Courier New" w:eastAsia="Courier New" w:hAnsi="Courier New"/>
          <w:sz w:val="16"/>
          <w:szCs w:val="16"/>
          <w:color w:val="auto"/>
        </w:rPr>
      </w:pPr>
    </w:p>
    <w:p>
      <w:pPr>
        <w:ind w:left="980" w:right="2499" w:hanging="393"/>
        <w:spacing w:after="0" w:line="249" w:lineRule="auto"/>
        <w:tabs>
          <w:tab w:leader="none" w:pos="9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all cash distributions referred to in the immediately preceding bullet point above to all holders of our ordinary shares within the 365-day period preceding the expiration of that tender offer in respect of which no adjustments have been made,</w:t>
      </w:r>
    </w:p>
    <w:p>
      <w:pPr>
        <w:spacing w:after="0" w:line="188" w:lineRule="exact"/>
        <w:rPr>
          <w:sz w:val="20"/>
          <w:szCs w:val="20"/>
          <w:color w:val="auto"/>
        </w:rPr>
      </w:pPr>
    </w:p>
    <w:p>
      <w:pPr>
        <w:ind w:left="580" w:right="2499"/>
        <w:spacing w:after="0" w:line="252" w:lineRule="auto"/>
        <w:rPr>
          <w:sz w:val="20"/>
          <w:szCs w:val="20"/>
          <w:color w:val="auto"/>
        </w:rPr>
      </w:pPr>
      <w:r>
        <w:rPr>
          <w:rFonts w:ascii="Courier New" w:cs="Courier New" w:eastAsia="Courier New" w:hAnsi="Courier New"/>
          <w:sz w:val="16"/>
          <w:szCs w:val="16"/>
          <w:color w:val="auto"/>
        </w:rPr>
        <w:t>exceeds 10% of our market capitalization on the expiration of such tender offer.</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reserve the right to effect such increases in the conversion rate in addition to those required by the foregoing provisions as we consider to be advisable so that any event treated for U.S.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adjustments.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we consolidate or merge with or into another entity or another entity is merged into us, or in case of any sale or transfer of all or substantially all of our assets, each note then outstanding will become convertible only into the kind and amount of securities, cash and other property receivable upon such consolidation, merger, sale or transfer by a holder of the number of ordinary shares into which the notes were convertible immediately prior to the consolidation or merger or sale or transfer. The preceding sentence will not apply to a merger that does not result in any reclassification, conversion, exchange or cancellation of our ordinary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may increase the conversion rate for any period of at least 20 days, upon at least 15 days notice, if our board of directors determines that the increase would be in our best interest. The board of directors' determination in this regard will be conclusive. We will give holders of notes at least 15 days' notice of such an increase in the conversion rate. No such increase, however, will be taken into account for purposes of determining whether the closing price of our ordinary shares exceeds the conversion price by 105% in connection with an event that otherwise would be a change in control as defined below.</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If at any time we make a distribution of property to our shareholders that would be taxable to such shareholders as a dividend for U.S. federal income tax purposes, such as distributions of evidences of indebtedness or assets by us, but generally not share dividends of ordinary shares on our ordinary shares or rights to subscribe for ordinary shares, and, pursuant to the anti-dilution provisions of the indenture, the number of shares into which notes are convertible is increased, that increase may be deemed for U.S. federal income tax purposes to be the payment of a taxable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5"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right="3759"/>
        <w:spacing w:after="0" w:line="252" w:lineRule="auto"/>
        <w:rPr>
          <w:sz w:val="20"/>
          <w:szCs w:val="20"/>
          <w:color w:val="auto"/>
        </w:rPr>
      </w:pPr>
      <w:r>
        <w:rPr>
          <w:rFonts w:ascii="Courier New" w:cs="Courier New" w:eastAsia="Courier New" w:hAnsi="Courier New"/>
          <w:sz w:val="16"/>
          <w:szCs w:val="16"/>
          <w:color w:val="auto"/>
        </w:rPr>
        <w:t>dividend to holders of notes. See "Certain U.S. Federal Income Tax Considerations -- U.S. Holders".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RIGHTS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You have the right to require us to repurchase the notes on June 1, 2004 and June 1, 2006. We will be required to repurchase any outstanding notes for which you deliver a valid written repurchase notice to the paying agent. This notice must be delivered during the period beginning at any time from the opening of business on the date that is 20 business days prior to the relevant repurchase date until the close of business on the last day prior to the repurchase date. Under the terms of the indenture, we will have the right to pay the repurchase price of the notes at any time during the five business days following the repurchase date. If the repurchase notice is given and withdrawn during the period, we will not be obligated to repurchase the related notes. Our repurchase obligation is subject to some additional conditions.</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repurchase price payable will be equal to 100% of the principal amount plus accrued and unpaid cash interest, if any, on such repurchase date.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may choose to pay the repurchase price in cash or in our ordinary shares or a combination of cash and ordinary shares. For a discussion of the tax treatment of a holder receiving cash, ordinary shares or any combination thereof, see "Certain U.S. Federal Income Tax Considerations".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we choose to pay the repurchase price in whole or in part in ordinary shares or a combination of cash and ordinary shares, we will be required to give notice on a date not less than 20 business days prior to each repurchase date to all holders at their addresses shown in the register of the registrar, and to beneficial owners as required by applicable law (i.e. if no notice is given, we will pay the repurchase price with cash), stating, among other things:</w:t>
      </w:r>
    </w:p>
    <w:p>
      <w:pPr>
        <w:spacing w:after="0" w:line="187" w:lineRule="exact"/>
        <w:rPr>
          <w:sz w:val="20"/>
          <w:szCs w:val="20"/>
          <w:color w:val="auto"/>
        </w:rPr>
      </w:pPr>
    </w:p>
    <w:p>
      <w:pPr>
        <w:ind w:left="680" w:right="2599" w:hanging="191"/>
        <w:spacing w:after="0" w:line="250"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we will pay the repurchase price of the notes in cash, in our ordinary shares, or any combination thereof, specifying the percentages of each;</w:t>
      </w:r>
    </w:p>
    <w:p>
      <w:pPr>
        <w:spacing w:after="0" w:line="185"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elect to pay with our ordinary shares, the method of calculating the price of our ordinary shares; and</w:t>
      </w:r>
    </w:p>
    <w:p>
      <w:pPr>
        <w:spacing w:after="0" w:line="183"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that holders must follow to require us to repurchase their notes.</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If we pay with ordinary shares, they will be valued at 100% of the average closing sales price for the five trading days ending on the third day prior to repurchase.</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Simultaneously with such notice of repurchase, we will disseminate a press release through Dow Jones &amp; Company, Inc. or Bloomberg Business News containing this information or publish the information on our website or through such other public medium as we may use at that time.</w:t>
      </w:r>
    </w:p>
    <w:p>
      <w:pPr>
        <w:spacing w:after="0" w:line="188"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A holder's notice electing to require us to repurchase our notes must state:</w:t>
      </w:r>
    </w:p>
    <w:p>
      <w:pPr>
        <w:spacing w:after="0" w:line="183" w:lineRule="exact"/>
        <w:rPr>
          <w:sz w:val="20"/>
          <w:szCs w:val="20"/>
          <w:color w:val="auto"/>
        </w:rPr>
      </w:pPr>
    </w:p>
    <w:p>
      <w:pPr>
        <w:ind w:left="680" w:right="2399" w:hanging="191"/>
        <w:spacing w:after="0" w:line="250"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certificated notes have been issued, the notes certificate numbers, or if not certificated, your notice must comply with appropriate DTC procedures;</w:t>
      </w:r>
    </w:p>
    <w:p>
      <w:pPr>
        <w:spacing w:after="0" w:line="185" w:lineRule="exact"/>
        <w:rPr>
          <w:rFonts w:ascii="Courier New" w:cs="Courier New" w:eastAsia="Courier New" w:hAnsi="Courier New"/>
          <w:sz w:val="16"/>
          <w:szCs w:val="16"/>
          <w:color w:val="auto"/>
        </w:rPr>
      </w:pPr>
    </w:p>
    <w:p>
      <w:pPr>
        <w:ind w:left="680" w:right="3079" w:hanging="191"/>
        <w:spacing w:after="0" w:line="252"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principal amount of notes to be repurchased, in multiples of $1,000;</w:t>
      </w:r>
    </w:p>
    <w:p>
      <w:pPr>
        <w:spacing w:after="0" w:line="183"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notes are to be repurchased by us pursuant to the applicable provisions of the notes; and</w:t>
      </w:r>
    </w:p>
    <w:p>
      <w:pPr>
        <w:spacing w:after="0" w:line="183"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we elect, pursuant to the notice that we are required to give, to pay the repurchase price in our ordinary shares, in whole or in part, but the repurchase price is ultimately to be paid to the holder entirely in cash because any of the conditions to payment of the repurchase price or portion of the repurchase price in our ordinary shares is not satisfied prior to the close of business on the last day prior to the repurchase date, as described below, whether the holder elects: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5"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31</w:t>
      </w:r>
    </w:p>
    <w:p>
      <w:pPr>
        <w:spacing w:after="0" w:line="195" w:lineRule="exact"/>
        <w:rPr>
          <w:sz w:val="20"/>
          <w:szCs w:val="20"/>
          <w:color w:val="auto"/>
        </w:rPr>
      </w:pPr>
    </w:p>
    <w:p>
      <w:pPr>
        <w:ind w:left="780" w:right="2879" w:hanging="193"/>
        <w:spacing w:after="0" w:line="252" w:lineRule="auto"/>
        <w:tabs>
          <w:tab w:leader="none" w:pos="7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withdraw the repurchase notice as to some or all of the notes to which it relates, or</w:t>
      </w:r>
    </w:p>
    <w:p>
      <w:pPr>
        <w:spacing w:after="0" w:line="183" w:lineRule="exact"/>
        <w:rPr>
          <w:rFonts w:ascii="Courier New" w:cs="Courier New" w:eastAsia="Courier New" w:hAnsi="Courier New"/>
          <w:sz w:val="16"/>
          <w:szCs w:val="16"/>
          <w:color w:val="auto"/>
        </w:rPr>
      </w:pPr>
    </w:p>
    <w:p>
      <w:pPr>
        <w:ind w:left="780" w:right="2499" w:hanging="193"/>
        <w:spacing w:after="0" w:line="252" w:lineRule="auto"/>
        <w:tabs>
          <w:tab w:leader="none" w:pos="7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receive cash in respect of the entire repurchase price for all notes or portions of notes subject to the repurchase notice.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the holder fails to indicate the holder's choice with respect to the election described in the final bullet point above, the holder will be deemed to have elected to receive cash in respect of the entire repurchase price for all notes subject to the repurchase notice in these circumstances. For a discussion of the tax treatment of a holder receiving cash instead of our ordinary shares, see "Certain U.S. Federal Income Tax Considerations".</w:t>
      </w:r>
    </w:p>
    <w:p>
      <w:pPr>
        <w:spacing w:after="0" w:line="187"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You may withdraw any repurchase notice by a written notice of withdrawal delivered to the paying agent prior to the close of business on the last day prior to the repurchase date. The notice of withdrawal must state:</w:t>
      </w:r>
    </w:p>
    <w:p>
      <w:pPr>
        <w:spacing w:after="0" w:line="185" w:lineRule="exact"/>
        <w:rPr>
          <w:sz w:val="20"/>
          <w:szCs w:val="20"/>
          <w:color w:val="auto"/>
        </w:rPr>
      </w:pPr>
    </w:p>
    <w:p>
      <w:pPr>
        <w:ind w:left="680" w:hanging="191"/>
        <w:spacing w:after="0"/>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withdrawn notes;</w:t>
      </w:r>
    </w:p>
    <w:p>
      <w:pPr>
        <w:spacing w:after="0" w:line="194" w:lineRule="exact"/>
        <w:rPr>
          <w:rFonts w:ascii="Courier New" w:cs="Courier New" w:eastAsia="Courier New" w:hAnsi="Courier New"/>
          <w:sz w:val="16"/>
          <w:szCs w:val="16"/>
          <w:color w:val="auto"/>
        </w:rPr>
      </w:pPr>
    </w:p>
    <w:p>
      <w:pPr>
        <w:ind w:left="680" w:right="2699" w:hanging="191"/>
        <w:spacing w:after="0" w:line="250"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certificated notes have been issued, the certificate numbers of the withdrawn notes, or if not certificated, your notice must comply with appropriate DTC procedures; and</w:t>
      </w:r>
    </w:p>
    <w:p>
      <w:pPr>
        <w:spacing w:after="0" w:line="185"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if any, which remains subject to the repurchase notice.</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we elect to pay the repurchase price, in whole or in part, in our ordinary shares, the number of shares to be delivered by us will be equal to the portion of the repurchase price to be paid in our ordinary shares divided by the market price of one ordinary share as determined by us in our repurchase notice. We will pay cash based on the market price for all fractional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"market price" means the average of the sale price of our ordinary shares for the five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five trading day period and ending on the repurchase date, of some events that would result in an adjustment of the conversion rate with respect to our ordinary shares.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"sale price" of our ordinary shares on any date means the closing per share sale price (or if no closing sale price is reported, the average of the bid and ask prices, or, if more than one in either case, the average of the average bid and the average asked prices) on that date as reported in composite transactions for the principal U.S. securities exchange on which our ordinary shares are traded or, if our ordinary shares are not listed on a U.S. national or regional securities exchange, as reported by the NASDAQ system.</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the market price of our ordinary shares is determined prior to the applicable repurchase date, holders of notes bear the market risk with respect to the value of our ordinary shares to be received from the date the market price is determined to the repurchase date. We may pay the repurchase price or any portion of the repurchase price in ordinary shares only if the information necessary to calculate the market price is published in a daily newspaper of national circulation.</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Upon determination of the actual number of ordinary shares to be paid upon redemption of the notes, we will disseminate a press release through Dow Jones &amp; Company, Inc. or Bloomberg Business News containing this information or publish the information on our website or through such other public medium as we may use at that time.</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 holder must either effect book-entry transfer or deliver the notes, together with necessary endorsements, to the office of the paying agent after delivery of the repurchase notice to receive payment of the repurchase price. You will receive payment on the repurchase date or the time of book-entry transfer or the delivery of the notes. If the paying agent holds money or securities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5"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32</w:t>
      </w:r>
    </w:p>
    <w:p>
      <w:pPr>
        <w:spacing w:after="0" w:line="19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sufficient to pay the repurchase price of the notes on the business day following the repurchase date, then:</w:t>
      </w:r>
    </w:p>
    <w:p>
      <w:pPr>
        <w:spacing w:after="0" w:line="183" w:lineRule="exact"/>
        <w:rPr>
          <w:sz w:val="20"/>
          <w:szCs w:val="20"/>
          <w:color w:val="auto"/>
        </w:rPr>
      </w:pPr>
    </w:p>
    <w:p>
      <w:pPr>
        <w:ind w:left="680" w:hanging="191"/>
        <w:spacing w:after="0"/>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will cease to be outstanding;</w:t>
      </w:r>
    </w:p>
    <w:p>
      <w:pPr>
        <w:spacing w:after="0" w:line="194" w:lineRule="exact"/>
        <w:rPr>
          <w:rFonts w:ascii="Courier New" w:cs="Courier New" w:eastAsia="Courier New" w:hAnsi="Courier New"/>
          <w:sz w:val="16"/>
          <w:szCs w:val="16"/>
          <w:color w:val="auto"/>
        </w:rPr>
      </w:pPr>
    </w:p>
    <w:p>
      <w:pPr>
        <w:ind w:left="680" w:right="3079" w:hanging="191"/>
        <w:spacing w:after="0" w:line="252"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including any interest payable pursuant to an interest adjustment (including any cash interest) will cease to accrue; and</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rights of the holder will terminate.</w:t>
      </w:r>
    </w:p>
    <w:p>
      <w:pPr>
        <w:spacing w:after="0" w:line="195"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This will be the case whether or not book-entry transfer of the note is made or whether or not the note is delivered to the paying agent.</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which may be applicable at the time. We will file Schedule TO or any other schedule required in connection with any offer by us to repurchase the notes at your option.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 BY AMDOCS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On or after June 1, 2006, we may redeem the notes in whole or in part, at our option, at a redemption price of 100% of principal amount plus accrued interest to, but excluding, the redemption date.</w:t>
      </w:r>
    </w:p>
    <w:p>
      <w:pPr>
        <w:spacing w:after="0" w:line="18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No sinking fund is provided for the notes, which means that the indenture does not require us to redeem or retire the notes periodically.</w:t>
      </w:r>
    </w:p>
    <w:p>
      <w:pPr>
        <w:spacing w:after="0" w:line="183"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may, to the extent permitted by applicable law, at any time purchase notes in the open market, by tender at any price or by private agreement. Any note that we purchase may, to the extent permitted by applicable law, be re-issued or resold or may, at our option, be surrendered to the trustee for cancellation. Any notes surrendered for cancellation may not be re-issued or resold and will be cancelled promptly.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AND CONVERSION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person in whose name the note, or any predecessor note, is registered at the close of business on May 15 or November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375" w:lineRule="exact"/>
        <w:rPr>
          <w:sz w:val="20"/>
          <w:szCs w:val="20"/>
          <w:color w:val="auto"/>
        </w:rPr>
      </w:pPr>
    </w:p>
    <w:p>
      <w:pPr>
        <w:ind w:left="680" w:right="2699" w:hanging="191"/>
        <w:spacing w:after="0" w:line="249" w:lineRule="auto"/>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187"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its participants or indirect participants.</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5"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33</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Notes may be surrendered for conversion at the Corporate Trust Office of the trustee in the Borough of Manhattan, New York. Notes surrendered for conversion must be accompanied by appropriate notices and any payments in respect of interest or taxes, as applicable, as described above under "-- Conversion Rights".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New York for surrender of notes for conversion. Notice of any termination or appointment and of any change in the office through which any paying agent or conversion agent will act will be given in accordance with "-- Notices" below.</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you will then look only to us for payment.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OPTION OF HOLDERS UPON A CHANGE IN CONTROL</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If a "change in control" as defined below occurs, you will have the right, at your option, to require us to repurchase all of your notes not previously called for redemption, or any portion of the principal amount thereof, that is equal to $1,000 or an integral multiple of $1,000. The price we are required to pay is 100% of the principal amount of the notes to be repurchased, together with interest accrued to, but excluding, the repurchase date.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At our option, instead of paying the repurchase price in cash, we may pay the repurchase price in our ordinary shares valued at 95% of the average of the closing prices of our ordinary shares for the five trading days immediately preceding and including the third trading day prior to the repurchase date. We may only pay the repurchase price in our ordinary shares if we satisfy conditions provided in the indenture.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Within 30 days after the occurrence of a change in control, we are obligated to give to you notice of the change in control and of the repurchase right arising as a result of the change in control. We must also deliver a copy of this notice to the trustee. To exercise the repurchase right, you must deliver on or before the 30th day after the date of our notice irrevocable written notice to the trustee of your exercise of your repurchase right, together with the notes with respect to which that right is being exercised. We are required to repurchase the notes on the date that is 45 days after the date of our notice.</w:t>
      </w:r>
    </w:p>
    <w:p>
      <w:pPr>
        <w:spacing w:after="0" w:line="187"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A change in control will be deemed to have occurred at the time after the notes are originally issued that any of the following occurs:</w:t>
      </w:r>
    </w:p>
    <w:p>
      <w:pPr>
        <w:spacing w:after="0" w:line="183" w:lineRule="exact"/>
        <w:rPr>
          <w:sz w:val="20"/>
          <w:szCs w:val="20"/>
          <w:color w:val="auto"/>
        </w:rPr>
      </w:pPr>
    </w:p>
    <w:p>
      <w:pPr>
        <w:ind w:left="680" w:right="2399" w:hanging="191"/>
        <w:spacing w:after="0" w:line="249" w:lineRule="auto"/>
        <w:tabs>
          <w:tab w:leader="none" w:pos="6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defined below, acquires beneficial ownership, directly or indirectly, through a purchase, merger or other acquisition transaction or series of transactions, of shares of our capital stock entitling that person to exercise 50% or more of the total voting power of all shares of our capital stock that is entitled to vote generally in elections of directors, other than an acquisition by us, any of our subsidiaries or any of our employee benefit plans; or</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5"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34</w:t>
      </w:r>
    </w:p>
    <w:p>
      <w:pPr>
        <w:spacing w:after="0" w:line="195" w:lineRule="exact"/>
        <w:rPr>
          <w:sz w:val="20"/>
          <w:szCs w:val="20"/>
          <w:color w:val="auto"/>
        </w:rPr>
      </w:pPr>
    </w:p>
    <w:p>
      <w:pPr>
        <w:ind w:left="680" w:right="2699" w:hanging="191"/>
        <w:spacing w:after="0" w:line="249" w:lineRule="auto"/>
        <w:tabs>
          <w:tab w:leader="none" w:pos="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merge or consolidate with or into any other person, any merger of another person into us or we convey, sell, transfer or lease all or substantially all of our assets to another person, other than any such transaction:</w:t>
      </w:r>
    </w:p>
    <w:p>
      <w:pPr>
        <w:spacing w:after="0" w:line="187" w:lineRule="exact"/>
        <w:rPr>
          <w:rFonts w:ascii="Courier New" w:cs="Courier New" w:eastAsia="Courier New" w:hAnsi="Courier New"/>
          <w:sz w:val="16"/>
          <w:szCs w:val="16"/>
          <w:color w:val="auto"/>
        </w:rPr>
      </w:pPr>
    </w:p>
    <w:p>
      <w:pPr>
        <w:ind w:left="780" w:right="2699" w:hanging="193"/>
        <w:spacing w:after="0" w:line="252" w:lineRule="auto"/>
        <w:tabs>
          <w:tab w:leader="none" w:pos="7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does not result in any reclassification, conversion, exchange or cancellation of outstanding shares of our capital stock;</w:t>
      </w:r>
    </w:p>
    <w:p>
      <w:pPr>
        <w:spacing w:after="0" w:line="183" w:lineRule="exact"/>
        <w:rPr>
          <w:rFonts w:ascii="Courier New" w:cs="Courier New" w:eastAsia="Courier New" w:hAnsi="Courier New"/>
          <w:sz w:val="16"/>
          <w:szCs w:val="16"/>
          <w:color w:val="auto"/>
        </w:rPr>
      </w:pPr>
    </w:p>
    <w:p>
      <w:pPr>
        <w:ind w:left="780" w:right="2599" w:hanging="193"/>
        <w:spacing w:after="0" w:line="249" w:lineRule="auto"/>
        <w:tabs>
          <w:tab w:leader="none" w:pos="7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which the holders of 50% or more of the total voting power of all shares of our capital stock entitled to vote generally in elections of directors immediately prior to such transaction have the entitlement to exercise, directly or indirectly, 50% or more of the total voting power of all shares of capital stock entitled to vote generally in the election of directors of the continuing or surviving corporation immediately after such transaction; or</w:t>
      </w:r>
    </w:p>
    <w:p>
      <w:pPr>
        <w:spacing w:after="0" w:line="187" w:lineRule="exact"/>
        <w:rPr>
          <w:rFonts w:ascii="Courier New" w:cs="Courier New" w:eastAsia="Courier New" w:hAnsi="Courier New"/>
          <w:sz w:val="16"/>
          <w:szCs w:val="16"/>
          <w:color w:val="auto"/>
        </w:rPr>
      </w:pPr>
    </w:p>
    <w:p>
      <w:pPr>
        <w:ind w:left="780" w:right="2399" w:hanging="193"/>
        <w:spacing w:after="0" w:line="249" w:lineRule="auto"/>
        <w:tabs>
          <w:tab w:leader="none" w:pos="7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effected solely to change our jurisdiction of incorporation and results in a reclassification, conversion or exchange of outstanding ordinary shares into solely ordinary shares or other common stock of the surviving entity.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However, a change in control will not be deemed to have occurred if either:</w:t>
      </w:r>
    </w:p>
    <w:p>
      <w:pPr>
        <w:spacing w:after="0" w:line="195" w:lineRule="exact"/>
        <w:rPr>
          <w:sz w:val="20"/>
          <w:szCs w:val="20"/>
          <w:color w:val="auto"/>
        </w:rPr>
      </w:pPr>
    </w:p>
    <w:p>
      <w:pPr>
        <w:ind w:left="680" w:right="2499" w:hanging="191"/>
        <w:spacing w:after="0" w:line="249"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price per share of our ordinary shares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or asset sale, equals or exceeds 105% of the conversion price of the notes in effect on each of those five trading days; or</w:t>
      </w:r>
    </w:p>
    <w:p>
      <w:pPr>
        <w:spacing w:after="0" w:line="187"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consideration, excluding cash payments for fractional shares and cash payments made pursuant to dissenters' appraisal rights, in a merger or consolidation otherwise constituting a change in control under the first and second bullet points in the preceding paragraph above consists of ordinary shares or other common stock traded on a national securities exchange or quoted on the Nasdaq National Market, or will be so traded or quoted immediately following such merger or consolidation, and as a result of such merger or consolidation the notes become convertible solely into such ordinary shares or other common stock.</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 purposes of these provisions:</w:t>
      </w:r>
    </w:p>
    <w:p>
      <w:pPr>
        <w:spacing w:after="0" w:line="195" w:lineRule="exact"/>
        <w:rPr>
          <w:sz w:val="20"/>
          <w:szCs w:val="20"/>
          <w:color w:val="auto"/>
        </w:rPr>
      </w:pPr>
    </w:p>
    <w:p>
      <w:pPr>
        <w:ind w:left="680" w:hanging="191"/>
        <w:spacing w:after="0"/>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price is equal to $1,000 divided by the conversion rate;</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 person is a "beneficial owner" will be determined in accordance with Rule 13d-3 under the Exchange Act; and</w:t>
      </w:r>
    </w:p>
    <w:p>
      <w:pPr>
        <w:spacing w:after="0" w:line="183"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includes any syndicate or group that would be deemed to be a person under Section 13(d)(3) of the Exchange Act.</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rules and regulations promulgated under the Exchange Act require the dissemination of prescribed information to security holders in the event of an issuer tender offer and may apply if the repurchase option becomes available to you. We will comply with these rules to the extent they apply to us at that time.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definition of change in control includes a phrase relating to the conveyance, transfer, sale, lease or disposition of all or substantially all of our assets. There is no precise, established definition of the phrase "substantially all" under applicable law. Accordingly, your ability to require us to repurchase your notes as a result of conveyance, transfer, sale, lease or other disposition of less than all of our assets may be uncertain.</w:t>
      </w:r>
    </w:p>
    <w:p>
      <w:pPr>
        <w:spacing w:after="0" w:line="187"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The foregoing provisions would not necessarily provide you with the protection if we are involved in a highly leveraged or other transaction that may adversely affect you.</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5"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35</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ability to repurchase notes upon the occurrence of a change in control is subject to important limitations. Some of the events constituting a change in control could result in an event of default under, or be prohibited or limited by, the terms of our then existing borrowing arrangements. Further, although we have the right to repurchase the notes with our ordinary shares, subject to certain conditions, we cannot assure you that we would have the financial resources, or would be able to arrange financing, to pay the repurchase price in cash for all the notes that might be delivered by holders of notes seeking to exercise the repurchase right. If we were to fail to repurchase the notes when required following a change in control, an event of default under the indenture would occur, whether or not such repurchase is permitted by the terms of our then existing borrowing arrangements. Any such default may, in turn, cause a default under our other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MERGERS AND SALES OF ASSETS BY AMDOCS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may not consolidate with or merge into any other person or convey, transfer, sell or lease our properties and assets substantially as an entirety to any person, and we may not permit any person to consolidate with or merge into us or convey, transfer, sell or lease such person's properties and assets substantially as an entirety to us unless:</w:t>
      </w:r>
    </w:p>
    <w:p>
      <w:pPr>
        <w:spacing w:after="0" w:line="187" w:lineRule="exact"/>
        <w:rPr>
          <w:sz w:val="20"/>
          <w:szCs w:val="20"/>
          <w:color w:val="auto"/>
        </w:rPr>
      </w:pPr>
    </w:p>
    <w:p>
      <w:pPr>
        <w:ind w:left="680" w:right="2399" w:hanging="191"/>
        <w:spacing w:after="0" w:line="248" w:lineRule="auto"/>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spacing w:after="0" w:line="2" w:lineRule="exact"/>
        <w:rPr>
          <w:rFonts w:ascii="Courier New" w:cs="Courier New" w:eastAsia="Courier New" w:hAnsi="Courier New"/>
          <w:sz w:val="16"/>
          <w:szCs w:val="16"/>
          <w:color w:val="auto"/>
        </w:rPr>
      </w:pPr>
    </w:p>
    <w:p>
      <w:pPr>
        <w:ind w:left="680" w:right="2399" w:firstLine="4"/>
        <w:spacing w:after="0" w:line="249" w:lineRule="auto"/>
        <w:tabs>
          <w:tab w:leader="none" w:pos="107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of, premium, if any, and interest on the notes and the performance of our other covenants under the indenture;</w:t>
      </w:r>
    </w:p>
    <w:p>
      <w:pPr>
        <w:spacing w:after="0" w:line="186"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the transaction, no event of default, and no event that, after notice or lapse of time or both, would become an event of default, will have occurred and be continuing; and</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requirements as described in the indenture are met.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will be events of default under the indenture:</w:t>
      </w:r>
    </w:p>
    <w:p>
      <w:pPr>
        <w:spacing w:after="0" w:line="195" w:lineRule="exact"/>
        <w:rPr>
          <w:sz w:val="20"/>
          <w:szCs w:val="20"/>
          <w:color w:val="auto"/>
        </w:rPr>
      </w:pPr>
    </w:p>
    <w:p>
      <w:pPr>
        <w:ind w:left="680" w:hanging="191"/>
        <w:spacing w:after="0"/>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pay principal of or premium, if any, on any note when due;</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pay any interest on any note when due, which failure continues for 30 days;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provide notice of a change in control;</w:t>
      </w:r>
    </w:p>
    <w:p>
      <w:pPr>
        <w:spacing w:after="0" w:line="194"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perform any other covenant in the indenture, which failure continues for 60 days after written notice as provided in the indenture;</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under any bonds, debentures, notes or other evidences of indebtedness for money borrowed, or any guarantee thereof, by us or any of our significant subsidiaries in an aggregate principal amount in excess of $50 million is not paid when due either at its stated maturity or upon acceleration thereof, and such indebtedness is not discharged, or such acceleration is not rescinded or annulled, within a period of 30 days after notice as provided in the indenture; and</w:t>
      </w:r>
    </w:p>
    <w:p>
      <w:pPr>
        <w:spacing w:after="0" w:line="187"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events of bankruptcy, insolvency or reorganization involving us or any of our significant subsidiaries.</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in case an event of default shall occur and be continuing, the trustee will be under no obligation to exercise any of its</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5"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36</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rights or powers under the indenture at the request or direction of any holder, unless the holder shall have furnished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an event of default other than an event of default arising from events of insolvency, bankruptcy or reorganization occurs and is continuing, either the trustee or the holders of at least 25% in principal amount of the outstanding notes may accelerate the maturity of all notes. However, after such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 Meetings, Modification and Waiver" below.</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You will not have any right to institute any proceeding with respect to the indenture, or for any remedy under the indenture, unless:</w:t>
      </w:r>
    </w:p>
    <w:p>
      <w:pPr>
        <w:spacing w:after="0" w:line="183" w:lineRule="exact"/>
        <w:rPr>
          <w:sz w:val="20"/>
          <w:szCs w:val="20"/>
          <w:color w:val="auto"/>
        </w:rPr>
      </w:pPr>
    </w:p>
    <w:p>
      <w:pPr>
        <w:ind w:left="680" w:hanging="191"/>
        <w:spacing w:after="0"/>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give the trustee written notice of a continuing event of default;</w:t>
      </w:r>
    </w:p>
    <w:p>
      <w:pPr>
        <w:spacing w:after="0" w:line="194" w:lineRule="exact"/>
        <w:rPr>
          <w:rFonts w:ascii="Courier New" w:cs="Courier New" w:eastAsia="Courier New" w:hAnsi="Courier New"/>
          <w:sz w:val="16"/>
          <w:szCs w:val="16"/>
          <w:color w:val="auto"/>
        </w:rPr>
      </w:pPr>
    </w:p>
    <w:p>
      <w:pPr>
        <w:ind w:left="680" w:right="3079" w:hanging="191"/>
        <w:spacing w:after="0" w:line="250"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the outstanding notes have made written request and offered reasonable indemnity to the trustee to institute proceedings;</w:t>
      </w:r>
    </w:p>
    <w:p>
      <w:pPr>
        <w:spacing w:after="0" w:line="185"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not received from the holders of a majority in aggregate principal amount of the outstanding notes a direction inconsistent with the written request; and</w:t>
      </w:r>
    </w:p>
    <w:p>
      <w:pPr>
        <w:spacing w:after="0" w:line="185"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failed to institute such proceeding within 60 days of the written request.</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However, these limitations do not apply to a suit instituted by you for the enforcement of payment of the principal of, premium, if any, or interest on your note on or after the respective due dates expressed in your note or your right to convert your note in accordance with the indenture.</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We will be required to furnish to the trustee annually a statement as to our performance of certain of our obligations under the indenture and as to any default in such performance.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WITHHOLDING TAXES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amounts payable (whether in respect of principal, interest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which would have been receivable by such holder in the absence of such withholding or deduction; except that no such additional amounts shall be payable in relation to any payment in respect of any of the notes:</w:t>
      </w:r>
    </w:p>
    <w:p>
      <w:pPr>
        <w:spacing w:after="0" w:line="187" w:lineRule="exact"/>
        <w:rPr>
          <w:sz w:val="20"/>
          <w:szCs w:val="20"/>
          <w:color w:val="auto"/>
        </w:rPr>
      </w:pPr>
    </w:p>
    <w:p>
      <w:pPr>
        <w:ind w:left="680" w:right="2399" w:hanging="191"/>
        <w:spacing w:after="0" w:line="249"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without limitation,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5"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37</w:t>
      </w:r>
    </w:p>
    <w:p>
      <w:pPr>
        <w:spacing w:after="0" w:line="195" w:lineRule="exact"/>
        <w:rPr>
          <w:sz w:val="20"/>
          <w:szCs w:val="20"/>
          <w:color w:val="auto"/>
        </w:rPr>
      </w:pPr>
    </w:p>
    <w:p>
      <w:pPr>
        <w:ind w:left="680" w:right="2499" w:hanging="191"/>
        <w:spacing w:after="0" w:line="249"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87"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inheritance, gift, estate, personal property, sales, or transfer or similar taxes duties, levies, assessments or similar governmental charges; or</w:t>
      </w:r>
    </w:p>
    <w:p>
      <w:pPr>
        <w:spacing w:after="0" w:line="185"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taxes, duties, levies, assessments or governmental charges that are payable otherwise than by withholding from payments in respect of such note.</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we become subject generally at any time to any taxing jurisdiction other than or in addition to Guernsey, references in this section to Guernsey shall be read and construed as references to such other jurisdiction(s) and/or to Guernsey.</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be required to be made, or be made, in connection with any European Union directive on the taxation of savings implementing the conclusions of the ECOFIN Council meeting of November 26-27, 2000,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Proposed European Union Tax Directive".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Any reference in this section to "principal" and/or "interest" in respect of the notes shall be deemed also to refer to any additional amounts which may be payable under this section. Unless the context otherwise requires, any reference in this section to "principal" shall include any premium payable in respect of a note, any redemption amount and any other amounts in the nature of principal payable pursuant to this section and "interest" shall include all amounts payable pursuant to this section and any other amounts in the nature of interest payable pursuant to this section.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MODIFICATION AND WAIVER</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indenture contains provisions for convening meetings of the holders of notes to consider matters affecting their interests.</w:t>
      </w:r>
    </w:p>
    <w:p>
      <w:pPr>
        <w:spacing w:after="0" w:line="183"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Certain limited modifications of the indenture may be made without the necessity of obtaining the consent of the holders of the notes. Other modifications and amendments of the indenture may be made, and certain past defaults by us may be waived, either:</w:t>
      </w:r>
    </w:p>
    <w:p>
      <w:pPr>
        <w:spacing w:after="0" w:line="188" w:lineRule="exact"/>
        <w:rPr>
          <w:sz w:val="20"/>
          <w:szCs w:val="20"/>
          <w:color w:val="auto"/>
        </w:rPr>
      </w:pPr>
    </w:p>
    <w:p>
      <w:pPr>
        <w:ind w:left="680" w:right="2699" w:hanging="191"/>
        <w:spacing w:after="0" w:line="252" w:lineRule="auto"/>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written consent of the holders of not less than a majority in aggregate principal amount of the notes at the time outstanding; or</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adoption of a resolution, at a meeting of holders of the notes at which a quorum is present, by the holders of at least 66 2/3% in aggregate principal amount of the notes represented at such meeting.</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quorum at any meeting called to adopt a resolution will be persons holding or representing a majority in aggregate principal amount of the notes at the time outstanding and, at any reconvened meeting adjourned for lack of a quorum, 25% of such aggregate principal amount.</w:t>
      </w:r>
    </w:p>
    <w:p>
      <w:pPr>
        <w:spacing w:after="0" w:line="188"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However, a modification or amendment requires the consent of the holder of each outstanding note affected if it would:</w:t>
      </w:r>
    </w:p>
    <w:p>
      <w:pPr>
        <w:spacing w:after="0" w:line="183" w:lineRule="exact"/>
        <w:rPr>
          <w:sz w:val="20"/>
          <w:szCs w:val="20"/>
          <w:color w:val="auto"/>
        </w:rPr>
      </w:pPr>
    </w:p>
    <w:p>
      <w:pPr>
        <w:ind w:left="680" w:hanging="191"/>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or interest of a note;</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or any premium or interest on, any note;</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5"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38</w:t>
      </w:r>
    </w:p>
    <w:p>
      <w:pPr>
        <w:spacing w:after="0" w:line="195" w:lineRule="exact"/>
        <w:rPr>
          <w:sz w:val="20"/>
          <w:szCs w:val="20"/>
          <w:color w:val="auto"/>
        </w:rPr>
      </w:pPr>
    </w:p>
    <w:p>
      <w:pPr>
        <w:ind w:left="680" w:hanging="191"/>
        <w:spacing w:after="0"/>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payable upon a redemption or mandatory repurchase;</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provisions with respect to the repurchase rights of holders of notes in a manner adverse to the holders;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place or currency of payment on a note;</w:t>
      </w:r>
    </w:p>
    <w:p>
      <w:pPr>
        <w:spacing w:after="0" w:line="194"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to institute suit for the enforcement of any payment on any note;</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 to maintain an office or agency in New York City;</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the right to convert the notes;</w:t>
      </w:r>
    </w:p>
    <w:p>
      <w:pPr>
        <w:spacing w:after="0" w:line="194"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above-stated percentage of the principal amount of the holders whose consent is needed to modify or amend the indenture;</w:t>
      </w:r>
    </w:p>
    <w:p>
      <w:pPr>
        <w:spacing w:after="0" w:line="183" w:lineRule="exact"/>
        <w:rPr>
          <w:rFonts w:ascii="Courier New" w:cs="Courier New" w:eastAsia="Courier New" w:hAnsi="Courier New"/>
          <w:sz w:val="16"/>
          <w:szCs w:val="16"/>
          <w:color w:val="auto"/>
        </w:rPr>
      </w:pPr>
    </w:p>
    <w:p>
      <w:pPr>
        <w:ind w:left="680" w:right="2879" w:hanging="191"/>
        <w:spacing w:after="0" w:line="250" w:lineRule="auto"/>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of the principal amount of the holders whose consent is needed to waive compliance with certain provisions of the indenture or to waive certain defaults; or</w:t>
      </w:r>
    </w:p>
    <w:p>
      <w:pPr>
        <w:spacing w:after="0" w:line="185"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required for the adoption of a resolution or the quorum required at any meeting of holders of notes at which a resolution is adopted.</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notes may waive compliance by us with certain restrictive provisions of the indenture by written consent. Holders of at least 66 2/3% in aggregate of the principal amount of notes represented at a meeting may also waive compliance by us with certain restrictive provisions of the indenture by the adoption of a resolution at the meeting if a quorum of holders are present and certain other conditions are met. The holders of a majority in aggregate principal amount of the outstanding notes also may waive by written consent any past default under the indenture, except a default in the payment of principal, premium, if any, or interest.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entered into a registration rights agreement with the initial purchaser (the "registration rights agreement"). Pursuant to the registration rights agreement we have filed, for the benefit of the holders of the notes and our ordinary shares issuable upon conversion of the notes (together, the "registrable securities"), shelf registration statement, of which this prospectus forms a part, with the SEC covering the registrable securities, and we will use our reasonable efforts to keep the registration statement effective until expiration of the "effectiveness period", which occurs on the earliest of:</w:t>
      </w:r>
    </w:p>
    <w:p>
      <w:pPr>
        <w:spacing w:after="0" w:line="187" w:lineRule="exact"/>
        <w:rPr>
          <w:sz w:val="20"/>
          <w:szCs w:val="20"/>
          <w:color w:val="auto"/>
        </w:rPr>
      </w:pPr>
    </w:p>
    <w:p>
      <w:pPr>
        <w:ind w:left="780" w:right="2879" w:hanging="193"/>
        <w:spacing w:after="0" w:line="252" w:lineRule="auto"/>
        <w:tabs>
          <w:tab w:leader="none" w:pos="7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all registrable securities under the shelf registration statement;</w:t>
      </w:r>
    </w:p>
    <w:p>
      <w:pPr>
        <w:spacing w:after="0" w:line="183" w:lineRule="exact"/>
        <w:rPr>
          <w:rFonts w:ascii="Courier New" w:cs="Courier New" w:eastAsia="Courier New" w:hAnsi="Courier New"/>
          <w:sz w:val="16"/>
          <w:szCs w:val="16"/>
          <w:color w:val="auto"/>
        </w:rPr>
      </w:pPr>
    </w:p>
    <w:p>
      <w:pPr>
        <w:ind w:left="780" w:right="2499" w:hanging="193"/>
        <w:spacing w:after="0" w:line="252" w:lineRule="auto"/>
        <w:tabs>
          <w:tab w:leader="none" w:pos="7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Securities Act Rule 144(k) period with respect to all registrable securities held by non-affiliates of Amdocs; and</w:t>
      </w:r>
    </w:p>
    <w:p>
      <w:pPr>
        <w:spacing w:after="0" w:line="183" w:lineRule="exact"/>
        <w:rPr>
          <w:rFonts w:ascii="Courier New" w:cs="Courier New" w:eastAsia="Courier New" w:hAnsi="Courier New"/>
          <w:sz w:val="16"/>
          <w:szCs w:val="16"/>
          <w:color w:val="auto"/>
        </w:rPr>
      </w:pPr>
    </w:p>
    <w:p>
      <w:pPr>
        <w:ind w:left="780" w:hanging="193"/>
        <w:spacing w:after="0"/>
        <w:tabs>
          <w:tab w:leader="none" w:pos="7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years from the effective date of the shelf registration statement.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will provide to each holder of registrable securities copies of this prospectus, notify each holder that the shelf registration statement has become effective and take certain other actions required to permit public resales of the registrable securities. We may suspend the holder's use of the registration statement for a period not to exceed 30 days in any 90 day period, and not to exceed an aggregate of 90 days in any 360-day period, for reasons relating to the acquisition or divestiture of our assets, pending corporate developments and other events.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Liquidated damages will accrue if:</w:t>
      </w:r>
    </w:p>
    <w:p>
      <w:pPr>
        <w:spacing w:after="0" w:line="195" w:lineRule="exact"/>
        <w:rPr>
          <w:sz w:val="20"/>
          <w:szCs w:val="20"/>
          <w:color w:val="auto"/>
        </w:rPr>
      </w:pPr>
    </w:p>
    <w:p>
      <w:pPr>
        <w:ind w:left="680" w:right="2399" w:hanging="191"/>
        <w:spacing w:after="0" w:line="249" w:lineRule="auto"/>
        <w:tabs>
          <w:tab w:leader="none" w:pos="6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shelf registration statement ceases to be effective, or we otherwise prevent or restrict holders of registrable securities from making sales under the shelf registration statement, for more than 30 days, whether or not consecutive, during any 90-day period; or</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ectPr>
          <w:pgSz w:w="11900" w:h="16838" w:orient="portrait"/>
          <w:cols w:equalWidth="0" w:num="1">
            <w:col w:w="10219"/>
          </w:cols>
          <w:pgMar w:left="240" w:top="305" w:right="1440" w:bottom="1127"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5" w:right="1440" w:bottom="1127"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39</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either event, we will pay liquidated damages at a rate of 0.50% per annum from the 31st day of the 90-day period or the 91st day of the 12-month period. Liquidated damages will be paid semi-annually in arrears, with the first semi-annual payment due on the first interest payment date following the date on which the liquidated damages began to accrue. Liquidated damages for any day accrue either on the principal amount of the notes or based on the conversion price of ordinary shares issued upon conversion of the notes. The liquidated damages will continue to accrue until the earlier of the following:</w:t>
      </w:r>
    </w:p>
    <w:p>
      <w:pPr>
        <w:spacing w:after="0" w:line="187" w:lineRule="exact"/>
        <w:rPr>
          <w:sz w:val="20"/>
          <w:szCs w:val="20"/>
          <w:color w:val="auto"/>
        </w:rPr>
      </w:pPr>
    </w:p>
    <w:p>
      <w:pPr>
        <w:ind w:left="680" w:right="2499" w:hanging="191"/>
        <w:spacing w:after="0" w:line="249" w:lineRule="auto"/>
        <w:tabs>
          <w:tab w:leader="none" w:pos="6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the shelf registration statement again becomes effective or the holders of registrable securities are again able to make sales under the shelf registration statement, depending on which event triggered the increase in interest rate; or</w:t>
      </w:r>
    </w:p>
    <w:p>
      <w:pPr>
        <w:spacing w:after="0" w:line="187"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the effectiveness period expires.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 holder who elects to sell any registrable securities pursuant to the shelf registration statement will be required to be named as a selling security holder in this prospectus, may be required to deliver a prospectus to purchasers, may be subject to certain civil liability provisions under the Securities Act in connection with those sales and will be bound by the provisions of the registration rights agreement that apply to a holder making such an election, including certain indemnification provisions.</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mailed the notice and questionnaire to the holders of registrable securities not less than 30 calendar days prior to the time we intend in good faith to have the shelf registration statement declared effective (the "effective time").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holder of registrable securities was not entitled to be named as a selling security holder in the shelf registration statement of which this prospectus forms part as of the effective time, and a holder of registrable securities is not entitled to use this prospectus for offers and resales of registrable securities at any time, unless such holder returned a completed and signed notice and questionnaire to us by the deadline for response set forth in the notice and questionnaire. Holders of registrable securities had, however, at least 20 business days from the date on which the notice and questionnaire was first mailed to them to return a completed and signed notice and questionnaire to us.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Beneficial owners of registrable securities who did not return a notice and questionnaire by the questionnaire deadline described above may receive another notice and questionnaire from us upon request. Following our receipt of a completed and signed notice and questionnaire, we will include the registrable securities covered thereby in the shelf registration statement, subject to restrictions on the timing and number of supplements to the shelf registration statement provided in the registration rights agreement.</w:t>
      </w:r>
    </w:p>
    <w:p>
      <w:pPr>
        <w:spacing w:after="0" w:line="187"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New York Stock Exchange, Inc. authorized the listing of the ordinary shares issuable upon conversion of the notes on May 29, 2001.</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This summary of certain provisions of the registration rights agreement may not contain all the information important to you. Holders may request from us a copy of the registration rights agreement by contacting us in writing.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Notice to holders of the registered notes will be given by mail to the addresses as they appear in the security register. Notices will be deemed to have been given on the date of such mailing.</w:t>
      </w:r>
    </w:p>
    <w:p>
      <w:pPr>
        <w:spacing w:after="0" w:line="18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Notice of a redemption of notes will be given not less than 30 nor more than 60 days prior to the redemption date and will specify the redemption date. A notice of redemption of the notes will be irrevocable.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REPLACEMENT OF NOTES</w:t>
      </w:r>
    </w:p>
    <w:p>
      <w:pPr>
        <w:spacing w:after="0" w:line="195" w:lineRule="exact"/>
        <w:rPr>
          <w:sz w:val="20"/>
          <w:szCs w:val="20"/>
          <w:color w:val="auto"/>
        </w:rPr>
      </w:pPr>
    </w:p>
    <w:p>
      <w:pPr>
        <w:jc w:val="both"/>
        <w:ind w:right="2399" w:firstLine="489"/>
        <w:spacing w:after="0" w:line="248" w:lineRule="auto"/>
        <w:rPr>
          <w:sz w:val="20"/>
          <w:szCs w:val="20"/>
          <w:color w:val="auto"/>
        </w:rPr>
      </w:pPr>
      <w:r>
        <w:rPr>
          <w:rFonts w:ascii="Courier New" w:cs="Courier New" w:eastAsia="Courier New" w:hAnsi="Courier New"/>
          <w:sz w:val="16"/>
          <w:szCs w:val="16"/>
          <w:color w:val="auto"/>
        </w:rPr>
        <w:t>We will replace any note that becomes mutilated, destroyed, stolen or lost at the expense of the holder upon delivery to the trustee of the mutilated notes or evidence of the loss, theft or destruction</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5"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40</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satisfactory to us and the trustee. In the case of a lost, stolen or destroyed note, indemnity satisfactory to the trustee and us may be required at the expense of the holder of the note before a replacement note will be issued.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STAMP AND OTHER TAXES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will pay all stamp and other duties, if any, that may be imposed by the United States or any political subdivision thereof or taxing authority thereof or therein with respect to the issuance of the notes or of ordinary shares upon conversion of the notes.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799" w:firstLine="489"/>
        <w:spacing w:after="0" w:line="252" w:lineRule="auto"/>
        <w:rPr>
          <w:sz w:val="20"/>
          <w:szCs w:val="20"/>
          <w:color w:val="auto"/>
        </w:rPr>
      </w:pPr>
      <w:r>
        <w:rPr>
          <w:rFonts w:ascii="Courier New" w:cs="Courier New" w:eastAsia="Courier New" w:hAnsi="Courier New"/>
          <w:sz w:val="16"/>
          <w:szCs w:val="16"/>
          <w:color w:val="auto"/>
        </w:rPr>
        <w:t>The indenture and the notes are governed by and construed in accordance with the laws of the State of New York.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notes are represented by one or more global securities (each a "global security"). Each global security will be deposited with, or on behalf of, DTC and be registered in the name of a nominee of DTC. Except under circumstances described below, the notes will not be issued in definitive form.</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DTC has credited on its book-entry registration and transfer system the accounts of persons designated by the initial purchaser with the respective principal amounts of the notes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is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So long as DTC or its nominee is the registered owner of a global security, DTC or its nominee, as the case may be, will be considered the sole owner or holder of the notes represented by that global security for all purposes under the indenture. Except as provided below, owners of beneficial interests in a global security will not be entitled to have the notes represented by that global security registered in their names, will not receive or be entitled to receive physical delivery of the notes in definitive form and will not be considered the owners or holders thereof under the Indenture. Principal and interest payments, if any, on the notes registered in the name of DTC or its nominee will be made to DTC or its nominee, as the case may be, as the registered owner of the relevant global security. Neither us, the trustee, any paying agent or the registrar for the notes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expect that DTC or its nominee, upon receipt of any payment of principal or interest, if any,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these participants will be governed by standing instruc-</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5"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41</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tions and customary practices, as is the case with securities held for the accounts of customers in bearer form or registered in "street name", and will be the responsibility of the participants.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DTC is at any time unwilling or unable to continue as a depositary and a successor depositary is not appointed by us within 90 days, we will issue the notes in definitive form in exchange for the entire global security for the notes. In addition, we may at any time and in our sole discretion determine not to have the notes represented by a global security and, in such event, will issue the notes in definitive form in exchange for the entire global security relating to the notes. In any such instance, an owner of a beneficial interest in a global security will be entitled to physical delivery in definitive form of the notes represented by the global security equal in principal amount to the beneficial interest and to have the notes registered in its name. Notes so issued in definitive form will be issued as registered notes in denominations of $1,000 and integral multiples thereof, unless otherwise specified by us.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5"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42</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DESCRIPTION OF SHARE CAPITAL</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SHARES</w:t>
      </w:r>
    </w:p>
    <w:p>
      <w:pPr>
        <w:spacing w:after="0" w:line="195" w:lineRule="exact"/>
        <w:rPr>
          <w:sz w:val="20"/>
          <w:szCs w:val="20"/>
          <w:color w:val="auto"/>
        </w:rPr>
      </w:pPr>
    </w:p>
    <w:p>
      <w:pPr>
        <w:ind w:left="680" w:right="2599" w:hanging="191"/>
        <w:spacing w:after="0" w:line="252"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 the preferred shares may be issued from time to time in one or more series of any number of shares up to the amount authorized.</w:t>
      </w:r>
    </w:p>
    <w:p>
      <w:pPr>
        <w:spacing w:after="0" w:line="183"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7"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in the event of any liquidation, dissolution or winding-up of the Company, the holders of preferred shares are entitled to preference over classes of shares ranking junior to the preferred shares upon liquidation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86"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 AND NON-VOTING ORDINARY SHARES</w:t>
      </w:r>
    </w:p>
    <w:p>
      <w:pPr>
        <w:spacing w:after="0" w:line="195"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Except as otherwise provided by the Memorandum of Association and Articles of Association, the ordinary shares and non-voting ordinary shares are identical and entitle holders thereof to the same rights and privileges.</w:t>
      </w:r>
    </w:p>
    <w:p>
      <w:pPr>
        <w:spacing w:after="0" w:line="185" w:lineRule="exact"/>
        <w:rPr>
          <w:sz w:val="20"/>
          <w:szCs w:val="20"/>
          <w:color w:val="auto"/>
        </w:rPr>
      </w:pPr>
    </w:p>
    <w:p>
      <w:pPr>
        <w:ind w:left="680" w:right="2399" w:hanging="191"/>
        <w:spacing w:after="0" w:line="249" w:lineRule="auto"/>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 when and as dividends are declared on the shares of the Company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187" w:lineRule="exact"/>
        <w:rPr>
          <w:rFonts w:ascii="Courier New" w:cs="Courier New" w:eastAsia="Courier New" w:hAnsi="Courier New"/>
          <w:sz w:val="16"/>
          <w:szCs w:val="16"/>
          <w:color w:val="auto"/>
        </w:rPr>
      </w:pPr>
    </w:p>
    <w:p>
      <w:pPr>
        <w:ind w:left="680" w:right="2799" w:hanging="191"/>
        <w:spacing w:after="0" w:line="248" w:lineRule="auto"/>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0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43</w:t>
      </w:r>
    </w:p>
    <w:p>
      <w:pPr>
        <w:spacing w:after="0" w:line="195" w:lineRule="exact"/>
        <w:rPr>
          <w:sz w:val="20"/>
          <w:szCs w:val="20"/>
          <w:color w:val="auto"/>
        </w:rPr>
      </w:pPr>
    </w:p>
    <w:p>
      <w:pPr>
        <w:jc w:val="both"/>
        <w:ind w:left="380" w:right="2699" w:hanging="191"/>
        <w:spacing w:after="0" w:line="250" w:lineRule="auto"/>
        <w:tabs>
          <w:tab w:leader="none" w:pos="3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shareholders, and the holders of non-voting ordinary shares are not entitled to any voting rights.</w:t>
      </w:r>
    </w:p>
    <w:p>
      <w:pPr>
        <w:spacing w:after="0" w:line="185" w:lineRule="exact"/>
        <w:rPr>
          <w:rFonts w:ascii="Courier New" w:cs="Courier New" w:eastAsia="Courier New" w:hAnsi="Courier New"/>
          <w:sz w:val="16"/>
          <w:szCs w:val="16"/>
          <w:color w:val="auto"/>
        </w:rPr>
      </w:pPr>
    </w:p>
    <w:p>
      <w:pPr>
        <w:ind w:left="380" w:right="2499" w:hanging="191"/>
        <w:spacing w:after="0" w:line="249" w:lineRule="auto"/>
        <w:tabs>
          <w:tab w:leader="none" w:pos="3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Preferences -- the voting ordinary shares and non-voting ordinary shares are subject to all the powers, rights, privileges, preferences and priorities of the preferred shares as are set out in the Articles of Association.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919"/>
          </w:cols>
          <w:pgMar w:left="540" w:top="305"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44</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COMPARISON OF UNITED STATES AND GUERNSEY CORPORATE LAW</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discussion is a summary of the material differences between United States and Guernsey corporate law relevant to an investment in the notes and is based on the advice of Reboul, MacMurray, Hewitt, Maynard &amp; 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 See "Risk Factors -- The rights of shareholders of Guernsey corporations differ in some respects from those of shareholders of United States corporations".</w:t>
      </w:r>
    </w:p>
    <w:p>
      <w:pPr>
        <w:sectPr>
          <w:pgSz w:w="11900" w:h="16838" w:orient="portrait"/>
          <w:cols w:equalWidth="0" w:num="1">
            <w:col w:w="10219"/>
          </w:cols>
          <w:pgMar w:left="240" w:top="305" w:right="1440" w:bottom="1440" w:gutter="0" w:footer="0" w:header="0"/>
        </w:sectPr>
      </w:pP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5"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45</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TAXATION OF THE COMPANY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countries in which we operate and the relative magnitude of our activities in those countries. Our consolidated effective tax rate (calculated based on the income taxes out of the income before income taxes, excluding nonrecurring charges for write-offs of purchased in-process research and development and other indirect acquisition-related costs) for the nine months ended June 30, 2001 and for fiscal 2000 was 63% and 49%, respectively. This higher effective tax rate was attributable to amortization of goodwill related to our acquisitions of ITDS and Solect, much of which is not tax deductible. Excluding the impact of the ITDS and Solect acquisition-related charges, the effective tax rate for the nine months ended June 30, 2001 and for fiscal 2000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have been granted certain special tax benefits, discussed below, in Cyprus, Ireland and Israel. The loss of any such tax benefits could have an adverse effect on our effective tax rate.</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We qualify as an exempt company (i.e. our shareholders are not Guernsey residents and we do not carry on business in Guernsey) so we generally are not subject to taxation in Guernsey.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CYPRUS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Cypriot subsidiary, Amdocs Development Ltd., operates a development center. Corporations resident in Cyprus currently are subject to a maximum 25% income tax rate. The Government of Cyprus has issued a permit to our Cypriot subsidiary pursuant to which the activities to be conducted by it will be deemed to be offshore activities for the purpose of Cyprus taxation. As a result, our Cypriot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IRISH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Our Irish subsidiary, Amdocs Software Systems Ltd., operates a development center. The corporation tax rate on its trading activities is 20% in 2001 and will decline to 16% in 2002, and finally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is subject to a corporation tax rate in Ireland of 10% with respect to its manufacturing activities. This tax rate on manufacturing activities will be available to our Irish subsidiary until December 31, 2002. As of January 1, 2003, our Irish subsidiary will be subject to a single corporation tax rate of 12.5% on all of its trading and manufacturing activities.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5" w:right="1440" w:bottom="144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46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ISRAELI TAX CONSIDERATIONS</w:t>
      </w:r>
    </w:p>
    <w:p>
      <w:pPr>
        <w:spacing w:after="0" w:line="195" w:lineRule="exact"/>
        <w:rPr>
          <w:sz w:val="20"/>
          <w:szCs w:val="20"/>
          <w:color w:val="auto"/>
        </w:rPr>
      </w:pPr>
    </w:p>
    <w:p>
      <w:pPr>
        <w:jc w:val="both"/>
        <w:ind w:right="2979" w:firstLine="489"/>
        <w:spacing w:after="0" w:line="250" w:lineRule="auto"/>
        <w:rPr>
          <w:sz w:val="20"/>
          <w:szCs w:val="20"/>
          <w:color w:val="auto"/>
        </w:rPr>
      </w:pPr>
      <w:r>
        <w:rPr>
          <w:rFonts w:ascii="Courier New" w:cs="Courier New" w:eastAsia="Courier New" w:hAnsi="Courier New"/>
          <w:sz w:val="16"/>
          <w:szCs w:val="16"/>
          <w:color w:val="auto"/>
        </w:rPr>
        <w:t>Our Israeli subsidiary, Amdocs (Israel) Limited, operates our largest development center. Discussed below are certain Israeli tax considerations relating to our Israeli subsidiary: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GENERAL CORPORATE TAXATION IN ISRAEL</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LAW FOR THE ENCOURAGEMENT OF CAPITAL INVESTMENTS, 1959</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TAX BENEFITS. Taxable income derived from an Approved Enterprise is subject to a reduced corporate tax rate of 25% until the earlier of</w:t>
      </w:r>
    </w:p>
    <w:p>
      <w:pPr>
        <w:spacing w:after="0" w:line="183" w:lineRule="exact"/>
        <w:rPr>
          <w:sz w:val="20"/>
          <w:szCs w:val="20"/>
          <w:color w:val="auto"/>
        </w:rPr>
      </w:pPr>
    </w:p>
    <w:p>
      <w:pPr>
        <w:ind w:left="680" w:right="2399" w:hanging="191"/>
        <w:spacing w:after="0" w:line="250" w:lineRule="auto"/>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 consecutive years (or ten in the case of an FIC (as defined below)) commencing in the year in which the Approved Enterprise first generates taxable income,</w:t>
      </w:r>
    </w:p>
    <w:p>
      <w:pPr>
        <w:spacing w:after="0" w:line="185"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years from the year of commencement of production or</w:t>
      </w:r>
    </w:p>
    <w:p>
      <w:pPr>
        <w:spacing w:after="0" w:line="194"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fourteen years from the year of the approval of the Approved Enterprise status.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6"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5"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47</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5"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48</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CERTAIN U.S. FEDERAL INCOME TAX CONSIDERATIONS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following is a summary of certain U.S. federal income tax considerations relating to the purchase, ownership and disposition of the notes and ordinary shares into which notes may be converted, but does not purport to be a complete analysis of all the potential tax considerations relating thereto. This summary is based on laws, regulations, rulings and decisions now in effect, all of which are subject to change or differing interpretation possibly with retroactive effect. Except as specifically discussed below with regard to Non-U.S. Holders (as defined below), this summary applies only to U.S. Holders (as defined below) that are beneficial owners of notes and that will hold notes and, upon conversion, ordinary shares as "capital assets" (within the meaning of Section 1221 of the Internal Revenue Code of 1986, as amended (the "Code")). For purposes of this summary, "U.S. Holders" include (i) individual citizens or residents of the U.S., (ii) corporations, partnerships or other entities created or organized in or under the laws of the U.S. or of any political subdivision thereof (unless, in the case of a partnership, Treasury Regulations otherwise provide), (iii) estates, the incomes of which are subject to U.S. federal income taxation regardless of the source of such income or (iv) trusts subject to the primary supervision of a U.S. court and the control of one or more U.S. persons. Persons other than U.S. Holders ("Non-U.S. Holders") are subject to special U.S. federal income tax considerations, some of which are discussed below. This discussion does not address tax considerations applicable to an investor's particular circumstances or to investors that may be subject to special tax rules such as banks, holders subject to the alternative minimum tax, tax-exempt organizations, insurance companies, foreign persons or entities (except to the extent specifically set forth below), dealers in securities or currencies, persons that will hold notes as a position in a hedging transaction, "straddle" or "conversion transaction" for tax purposes or persons deemed to sell notes or ordinary shares under the constructive sale provisions of the Code. This summary discusses the tax considerations applicable to an initial purchaser of the notes who purchases the notes at their "issue price" as defined in Section 1273 of the Code and does not discuss the tax considerations applicable to subsequent purchasers of the notes. We have not sought any ruling from the Internal Revenue Service (the "IRS") or an opinion of counsel with respect to the statements made and the conclusions reached in the following summary, and there can be no assurance that the IRS will agree with such statements and conclusions. This summary does not consider the effect of the federal estate or gift tax laws or the tax laws of any applicable foreign, state, local or other jurisdiction.</w:t>
      </w:r>
    </w:p>
    <w:p>
      <w:pPr>
        <w:spacing w:after="0" w:line="212"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INVESTORS CONSIDERING THE PURCHASE OF NOTES SHOULD CONSULT THEIR TAX ADVISORS WITH RESPECT TO THE APPLICATION OF THE UNITED STATES FEDERAL INCOME TAX LAWS TO THEIR PARTICULAR SITUATIONS AS WELL AS ANY TAX CONSEQUENCES ARISING UNDER THE FEDERAL ESTATE OR GIFT TAX RULES OR UNDER THE LAWS OF ANY STATE, LOCAL OR FOREIGN TAXING JURISDICTION OR UNDER ANY APPLICABLE TAX TREATY.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HOLDERS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TAXATION OF INTEREST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Interest paid on the notes will be included in the income of a U.S. Holder as ordinary income at the time it is treated as received or accrued, in accordance with such holder's regular method of accounting for U.S. federal income tax purposes. Under Treasury Regulations, the possibility of an additional payment under a note may be disregarded for purposes of determining the amount of interest or original issue discount income to be recognized by a holder in respect of such note (or the timing of such recognition) if the likelihood of the payment, as of the date the notes are issued, is remote. Our failure to file or cause to be declared effective a shelf registration statement as described under "Description of the Notes -- Registration Rights" may result in the payment of predetermined liquidated damages in the manner described therein. In addition, a holder may require us to redeem any and all of his notes in the event of a fundamental change. We believe that the likelihood of a liquidated damages payment with respect to the notes is remote and do not intend</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5"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49</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to treat such possibility as affecting the yield to maturity of any note. Similarly, we intend to take the position that a "fundamental change" is remote under the Treasury Regulations, and likewise do not intend to treat the possibility of a "fundamental change" as affecting the yield to maturity of any note. In the event either contingency occurs, it would affect the amount and timing of the income that must be recognized by a U.S. Holder of notes. There can be no assurance that the IRS will agree with such positions.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SALE, EXCHANGE OR REDEMPTION OF THE NOTES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Upon the sale, exchange (other than a conversion) or redemption of a note, a U.S. Holder generally will recognize capital gain or loss equal to the difference between (i) the amount of cash proceeds and the fair market value of any property received on the sale, exchange or redemption (except to the extent such amount is attributable to accrued interest income not previously included in income, which will be taxable as ordinary income, or is attributable to accrued interest that was previously included in income which amount may be received without generating further income) and (ii) such holder's adjusted tax basis in the note. A U.S. Holder's adjusted tax basis in a note generally will equal the cost of the note to such holder. Such capital gain or loss will be long-term capital gain or loss if the U.S. Holder's holding period in the note is more than one year at the time of sale, exchange or redemption. Long-term capital gains recognized by certain noncorporate U.S. Holders, including individuals, will generally be subject to a maximum rate of tax of 20%. The deductibility of capital losses is subject to limitations.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CONVERSION OF THE NOTES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 U.S. Holder generally will not recognize any income, gain or loss upon conversion of a note into ordinary shares except with respect to cash received in lieu of a fractional ordinary share. A U.S. Holder's tax basis in the ordinary shares received on conversion of a note will be the same as such holder's adjusted tax basis in the note at the time of conversion (reduced by any basis allocable to a fractional share interest), and the holding period for the ordinary shares received on conversion will generally include the holding period of the note converted.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Cash received in lieu of a fractional ordinary share upon conversion will be treated as a payment in exchange for the fractional ordinary share. Accordingly, the receipt of cash in lieu of a fractional ordinary share generally will result in capital gain or loss (measured by the difference between the cash received for the fractional share and the holder's adjusted tax basis in the fractional share).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SALE OR EXCHANGE OF ORDINARY SHARES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Upon the sale or exchange of ordinary shares, a U.S. Holder generally will recognize capital gain or loss equal to the difference between (i) the amount of cash and the fair market value of any property received upon the sale or exchange and (ii) such U.S. Holder's adjusted tax basis in the ordinary shares. Such capital gain or loss will be long-term capital gain or loss if the U.S. Holder's holding period in the ordinary shares is more than one year at the time of the sale or exchange. Long-term capital gains recognized by certain non-corporate U.S. Holders, including individuals, will generally be subject to a maximum rate of tax of 20%. A U.S. Holder's basis and holding period in ordinary shares received upon conversion of a note are determined as discussed above under "Conversion of the Notes". The deductibility of capital losses is subject to limitations.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Distributions, if any, made on the ordinary shares after a conversion generally will be included in the income of a U.S. Holder as ordinary dividend income to the extent of our current or accumulated earnings and profits. Distributions in excess of our current and accumulated earnings and profits will be treated as a return of capital to the extent of the U.S. Holder's basis in the ordinary shares and thereafter as capital gain.</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5" w:right="1440" w:bottom="1440" w:gutter="0" w:footer="0" w:header="0"/>
          <w:type w:val="continuous"/>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50</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Holders of convertible debt instruments such as the notes may, in certain circumstances, be deemed to have received distributions of stock if the conversion price of such instruments is adjusted. Adjustments to the conversion price made pursuant to a bona fide reasonable adjustment formula which has the effect of preventing the dilution of the interest of the holders of the debt instruments, however, will generally not be considered to result in a constructive distribution of stock. Certain of the possible adjustments provided in the notes (including, without limitation, adjustments in respect of certain taxable dividends to our stockholders) will not qualify as being pursuant to a bona fide reasonable adjustment formula. If such adjustments are made, the U.S. Holders of the notes may be deemed to have received constructive distributions taxable as dividends to the extent of our current and accumulated earnings and profits even though they have not received any cash or property as a result of such adjustments.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TAX RULES APPLICABLE TO NON-U.S. 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Payments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BACKUP WITHHOLDING AND INFORMATION REPORTING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Holders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31% if the recipient of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Non-U.S. Holders</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 Non-U.S. Holder may be required to comply with certification procedures to establish that the holder is not a U.S. person in order to avoid backup withholding tax and information reporting requirements.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5"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51</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disposition of such notes and such ordinary shares. In addition, Guernsey would not impose a withholding tax on interest and dividends paid by us to the holders of such notes and such ordinary shares.</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There are no capital gains, gift or inheritance taxes levied by Guernsey, and the notes and ordinary shares generally would not be subject to any transfer taxes, stamp duties or similar charges on issuance or transfer.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EUROPEAN UNION TAX DIRECTIVE</w:t>
      </w:r>
    </w:p>
    <w:p>
      <w:pPr>
        <w:spacing w:after="0" w:line="195" w:lineRule="exact"/>
        <w:rPr>
          <w:sz w:val="20"/>
          <w:szCs w:val="20"/>
          <w:color w:val="auto"/>
        </w:rPr>
      </w:pPr>
    </w:p>
    <w:p>
      <w:pPr>
        <w:ind w:right="2599" w:firstLine="489"/>
        <w:spacing w:after="0" w:line="248" w:lineRule="auto"/>
        <w:rPr>
          <w:sz w:val="20"/>
          <w:szCs w:val="20"/>
          <w:color w:val="auto"/>
        </w:rPr>
      </w:pPr>
      <w:r>
        <w:rPr>
          <w:rFonts w:ascii="Courier New" w:cs="Courier New" w:eastAsia="Courier New" w:hAnsi="Courier New"/>
          <w:sz w:val="16"/>
          <w:szCs w:val="16"/>
          <w:color w:val="auto"/>
        </w:rPr>
        <w:t>The European Union is currently considering proposals for a new directive regarding the taxation of savings income. See "Description of the</w:t>
      </w:r>
    </w:p>
    <w:p>
      <w:pPr>
        <w:spacing w:after="0" w:line="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Notes -- Withholding Taxes". Subject to a number of important conditions being met, it is proposed that states that are members of the European Union ("Member States") be required to provide to the tax authorities of another Member State details of payments of interest or other similar income paid by an issuer within its jurisdiction to an individual resident in that other Member State, subject to the right of certain Member States to opt instead for a withholding tax system for a transitional period in relation to such payments. This directive contemplates that states that are not members of the European Union, such as Guernsey, will implement comparable information reporting or withholding tax arrangements. If Guernsey were to implement any such withholding tax arrangement, we would not make any additional payments to holders to compensate them for the amounts so withheld.</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5" w:right="1440" w:bottom="1440" w:gutter="0" w:footer="0" w:header="0"/>
        </w:sectPr>
      </w:pPr>
    </w:p>
    <w:bookmarkStart w:id="54" w:name="page55"/>
    <w:bookmarkEnd w:id="54"/>
    <w:p>
      <w:pPr>
        <w:spacing w:after="0" w:line="2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52</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SELLING 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notes were originally issued by us and sold by Goldman, Sachs &amp; Co., as the initial purchaser, in a transaction exempt from the registration requirements of the Securities Act to persons reasonably believed by the initial purchaser to be qualified institutional buyers. Selling holders, including their transferees, pledgees or donees or their successors, may from time to time offer and sell any or all the notes and ordinary shares issuable upon conversion of the notes.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table sets forth, as of August 14, 2001, information regarding the beneficial ownership of the notes and ordinary shares issuable upon conversion of the notes by the selling holders. The information is based on information provided by or on behalf of the selling holders.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holders may offer all, some or none of the notes or ordinary shares issuable upon conversion of the notes. Thus, we cannot estimate the amount of the notes or the ordinary shares issuable upon conversion of the notes that will be held by the selling holders upon termination of any sales. The column showing ownership after completion of the offering assumes that the selling holders will sell all of the securities offered by this prospectus. In addition, the selling holders identified below may have sold, transferred or otherwise disposed of all or a portion of their notes since the date on which they provided the information about their notes in transactions exempt from the registration requirements of the Securities Act. Except as indicated below, none of the selling 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37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AFTER</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right="9139" w:hanging="106"/>
        <w:spacing w:after="0" w:line="248" w:lineRule="auto"/>
        <w:tabs>
          <w:tab w:leader="none" w:pos="29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 OFFERING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OFFERED(1)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PERCENT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0" w:hanging="295"/>
        <w:spacing w:after="0"/>
        <w:tabs>
          <w:tab w:leader="none" w:pos="3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hanging="286"/>
        <w:spacing w:after="0"/>
        <w:tabs>
          <w:tab w:leader="none" w:pos="3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center"/>
        <w:ind w:left="40" w:right="9039" w:hanging="45"/>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AIG/National Union Fire Insurance $ 550,000 5,972 5,972 0 * c/o Froley Revy Investment Company, Inc. 10900 Wilshire</w:t>
      </w:r>
    </w:p>
    <w:p>
      <w:pPr>
        <w:sectPr>
          <w:pgSz w:w="11900" w:h="16858" w:orient="portrait"/>
          <w:cols w:equalWidth="0" w:num="1">
            <w:col w:w="10219"/>
          </w:cols>
          <w:pgMar w:left="240" w:top="305" w:right="1440" w:bottom="0" w:gutter="0" w:footer="0" w:header="0"/>
        </w:sectPr>
      </w:pPr>
    </w:p>
    <w:bookmarkStart w:id="55" w:name="page56"/>
    <w:bookmarkEnd w:id="55"/>
    <w:p>
      <w:pPr>
        <w:ind w:left="100"/>
        <w:spacing w:after="0"/>
        <w:rPr>
          <w:sz w:val="20"/>
          <w:szCs w:val="20"/>
          <w:color w:val="auto"/>
        </w:rPr>
      </w:pPr>
      <w:r>
        <w:rPr>
          <w:rFonts w:ascii="Courier New" w:cs="Courier New" w:eastAsia="Courier New" w:hAnsi="Courier New"/>
          <w:sz w:val="16"/>
          <w:szCs w:val="16"/>
          <w:color w:val="auto"/>
        </w:rPr>
        <w:t>Blvd. Ste</w:t>
      </w:r>
    </w:p>
    <w:p>
      <w:pPr>
        <w:spacing w:after="0" w:line="7" w:lineRule="exact"/>
        <w:rPr>
          <w:sz w:val="20"/>
          <w:szCs w:val="20"/>
          <w:color w:val="auto"/>
        </w:rPr>
      </w:pPr>
    </w:p>
    <w:p>
      <w:pPr>
        <w:ind w:left="600" w:hanging="399"/>
        <w:spacing w:after="0"/>
        <w:tabs>
          <w:tab w:leader="none" w:pos="6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90024</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Arkansas</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PERS</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1,200,000</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13,030</w:t>
      </w:r>
    </w:p>
    <w:p>
      <w:pPr>
        <w:spacing w:after="0" w:line="6" w:lineRule="exact"/>
        <w:rPr>
          <w:rFonts w:ascii="Courier New" w:cs="Courier New" w:eastAsia="Courier New" w:hAnsi="Courier New"/>
          <w:sz w:val="16"/>
          <w:szCs w:val="16"/>
          <w:color w:val="auto"/>
        </w:rPr>
      </w:pPr>
    </w:p>
    <w:p>
      <w:pPr>
        <w:jc w:val="center"/>
        <w:ind w:left="60" w:right="9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13,030 0 * c/o Froley Revy Investment Company, Inc. 10900 Wilshire Blvd. Ste</w:t>
      </w:r>
    </w:p>
    <w:p>
      <w:pPr>
        <w:spacing w:after="0" w:line="5" w:lineRule="exact"/>
        <w:rPr>
          <w:rFonts w:ascii="Courier New" w:cs="Courier New" w:eastAsia="Courier New" w:hAnsi="Courier New"/>
          <w:sz w:val="16"/>
          <w:szCs w:val="16"/>
          <w:color w:val="auto"/>
        </w:rPr>
      </w:pPr>
    </w:p>
    <w:p>
      <w:pPr>
        <w:ind w:left="600" w:hanging="399"/>
        <w:spacing w:after="0"/>
        <w:tabs>
          <w:tab w:leader="none" w:pos="6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jc w:val="center"/>
        <w:ind w:left="60" w:right="9099" w:hanging="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 90024 Bank Austria Cayman Islands,</w:t>
      </w:r>
    </w:p>
    <w:p>
      <w:pPr>
        <w:spacing w:after="0" w:line="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LTD</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8,000,000</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86,869</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86,869 0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666 Third</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Avenue 26th</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Floor New</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York, NY</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10019</w:t>
      </w:r>
    </w:p>
    <w:p>
      <w:pPr>
        <w:spacing w:after="0" w:line="383"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179"/>
          </w:cols>
          <w:pgMar w:left="280" w:top="142" w:right="1440" w:bottom="1440" w:gutter="0" w:footer="0" w:header="0"/>
        </w:sectPr>
      </w:pPr>
    </w:p>
    <w:bookmarkStart w:id="56" w:name="page57"/>
    <w:bookmarkEnd w:id="56"/>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53</w:t>
      </w:r>
    </w:p>
    <w:p>
      <w:pPr>
        <w:spacing w:after="0" w:line="19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AFTER</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40" w:right="9139" w:hanging="146"/>
        <w:spacing w:after="0" w:line="248" w:lineRule="auto"/>
        <w:tabs>
          <w:tab w:leader="none" w:pos="28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OFFERED(1)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PERCENT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0" w:hanging="295"/>
        <w:spacing w:after="0"/>
        <w:tabs>
          <w:tab w:leader="none" w:pos="3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hanging="286"/>
        <w:spacing w:after="0"/>
        <w:tabs>
          <w:tab w:leader="none" w:pos="38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Bay County</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PERS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150,000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1,628 1,628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 *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Froley Revy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Company,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Inc. 10900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Wilshire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Blvd. Ste</w:t>
      </w:r>
    </w:p>
    <w:p>
      <w:pPr>
        <w:spacing w:after="0" w:line="7" w:lineRule="exact"/>
        <w:rPr>
          <w:sz w:val="20"/>
          <w:szCs w:val="20"/>
          <w:color w:val="auto"/>
        </w:rPr>
      </w:pPr>
    </w:p>
    <w:p>
      <w:pPr>
        <w:ind w:left="640" w:hanging="399"/>
        <w:spacing w:after="0"/>
        <w:tabs>
          <w:tab w:leader="none" w:pos="6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jc w:val="center"/>
        <w:ind w:right="9039" w:firstLine="4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 90024 Bear Stearns &amp; Co. Inc. 6,000,000 65,152 65,152 0 * 245 Park Avenue 13th Floor -- Global Fund Management New York, NY 10167 Boilermakers Blacksmith Pension Trust 1,550,000 16,830 16,830 0 * c/o Froley Revy Investment Company, Inc. 10900 Wilshire Blvd. Ste</w:t>
      </w:r>
    </w:p>
    <w:p>
      <w:pPr>
        <w:spacing w:after="0" w:line="18" w:lineRule="exact"/>
        <w:rPr>
          <w:rFonts w:ascii="Courier New" w:cs="Courier New" w:eastAsia="Courier New" w:hAnsi="Courier New"/>
          <w:sz w:val="16"/>
          <w:szCs w:val="16"/>
          <w:color w:val="auto"/>
        </w:rPr>
      </w:pPr>
    </w:p>
    <w:p>
      <w:pPr>
        <w:ind w:left="640" w:hanging="399"/>
        <w:spacing w:after="0"/>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90024</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CALAMOS</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Market</w:t>
      </w:r>
    </w:p>
    <w:p>
      <w:pPr>
        <w:spacing w:after="0" w:line="6" w:lineRule="exact"/>
        <w:rPr>
          <w:rFonts w:ascii="Courier New" w:cs="Courier New" w:eastAsia="Courier New" w:hAnsi="Courier New"/>
          <w:sz w:val="16"/>
          <w:szCs w:val="16"/>
          <w:color w:val="auto"/>
        </w:rPr>
      </w:pPr>
    </w:p>
    <w:p>
      <w:pPr>
        <w:jc w:val="center"/>
        <w:ind w:left="100" w:right="9139" w:firstLine="14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Neutral Fund -- 4,500,000 48,864 48,864 0 *</w:t>
      </w:r>
    </w:p>
    <w:p>
      <w:pPr>
        <w:spacing w:after="0" w:line="3"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CALAMOS</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Trust c/o</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CALAMOS</w:t>
      </w:r>
    </w:p>
    <w:p>
      <w:pPr>
        <w:sectPr>
          <w:pgSz w:w="11900" w:h="16850" w:orient="portrait"/>
          <w:cols w:equalWidth="0" w:num="1">
            <w:col w:w="10219"/>
          </w:cols>
          <w:pgMar w:left="240" w:top="305" w:right="1440" w:bottom="0" w:gutter="0" w:footer="0" w:header="0"/>
        </w:sectPr>
      </w:pPr>
    </w:p>
    <w:bookmarkStart w:id="57" w:name="page58"/>
    <w:bookmarkEnd w:id="57"/>
    <w:p>
      <w:pPr>
        <w:spacing w:after="0" w:line="3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Asset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Management,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 1111</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East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Warrenville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Road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Naperville,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IL 60353-</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1493</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Circlet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(IMA)</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Limited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 * c/o</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Camden</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Asset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Management,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LP 2049</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Century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Park East,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Suite 330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Los</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Angeles, CA</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90067</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Commerzbank</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21,000,000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228,032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228,032 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2nd Floor,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Sherbourne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House, 119-</w:t>
      </w:r>
    </w:p>
    <w:p>
      <w:pPr>
        <w:spacing w:after="0" w:line="7" w:lineRule="exact"/>
        <w:rPr>
          <w:sz w:val="20"/>
          <w:szCs w:val="20"/>
          <w:color w:val="auto"/>
        </w:rPr>
      </w:pPr>
    </w:p>
    <w:p>
      <w:pPr>
        <w:jc w:val="right"/>
        <w:ind w:left="60" w:right="9139" w:hanging="6"/>
        <w:spacing w:after="0" w:line="248" w:lineRule="auto"/>
        <w:tabs>
          <w:tab w:leader="none" w:pos="4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Cannon St. London</w:t>
      </w:r>
    </w:p>
    <w:p>
      <w:pPr>
        <w:spacing w:after="0" w:line="1"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EC4N 5AT</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Group</w:t>
      </w:r>
    </w:p>
    <w:p>
      <w:pPr>
        <w:spacing w:after="0" w:line="6" w:lineRule="exact"/>
        <w:rPr>
          <w:rFonts w:ascii="Courier New" w:cs="Courier New" w:eastAsia="Courier New" w:hAnsi="Courier New"/>
          <w:sz w:val="16"/>
          <w:szCs w:val="16"/>
          <w:color w:val="auto"/>
        </w:rPr>
      </w:pPr>
    </w:p>
    <w:p>
      <w:pPr>
        <w:jc w:val="center"/>
        <w:ind w:left="200" w:right="92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Capital Markets Funds 580,000</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6,298 6,298</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 * c/o</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CALAMOS</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Asset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Management,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 1111</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East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Warrenville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Road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Naperville,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IL 60353-</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1493</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Deutsche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Banc Alex</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Brown Inc.</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50,250,000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545,649</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545,649 0 *</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1251 Avenue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of the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Americas</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New York,</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NY 10020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First Union</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National</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Bank</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11,600,000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125,960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125,960 0 *</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3739</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Research</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Drive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Charlotte,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NC 28262-</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0675</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Goldman</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Sachs and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22,500,000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244,320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244,320 0 *</w:t>
      </w:r>
    </w:p>
    <w:p>
      <w:pPr>
        <w:spacing w:after="0" w:line="7" w:lineRule="exact"/>
        <w:rPr>
          <w:sz w:val="20"/>
          <w:szCs w:val="20"/>
          <w:color w:val="auto"/>
        </w:rPr>
      </w:pPr>
    </w:p>
    <w:p>
      <w:pPr>
        <w:ind w:left="440" w:hanging="386"/>
        <w:spacing w:after="0"/>
        <w:tabs>
          <w:tab w:leader="none" w:pos="4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Maiden</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Lane 8th</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Floor New</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York, NY</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10038</w:t>
      </w:r>
    </w:p>
    <w:p>
      <w:pPr>
        <w:sectPr>
          <w:pgSz w:w="11900" w:h="16875" w:orient="portrait"/>
          <w:cols w:equalWidth="0" w:num="1">
            <w:col w:w="10179"/>
          </w:cols>
          <w:pgMar w:left="280" w:top="142" w:right="1440" w:bottom="0" w:gutter="0" w:footer="0" w:header="0"/>
        </w:sectPr>
      </w:pPr>
    </w:p>
    <w:bookmarkStart w:id="58" w:name="page59"/>
    <w:bookmarkEnd w:id="58"/>
    <w:p>
      <w:pPr>
        <w:ind w:left="270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9019"/>
          </w:cols>
          <w:pgMar w:left="1440" w:top="518" w:right="1440" w:bottom="1440" w:gutter="0" w:footer="0" w:header="0"/>
        </w:sectPr>
      </w:pPr>
    </w:p>
    <w:bookmarkStart w:id="59" w:name="page60"/>
    <w:bookmarkEnd w:id="59"/>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54</w:t>
      </w:r>
    </w:p>
    <w:p>
      <w:pPr>
        <w:spacing w:after="0" w:line="19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AFTER</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right="9139" w:hanging="106"/>
        <w:spacing w:after="0" w:line="248" w:lineRule="auto"/>
        <w:tabs>
          <w:tab w:leader="none" w:pos="298"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 OFFERING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OFFERED(1)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PERCENT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0" w:hanging="295"/>
        <w:spacing w:after="0"/>
        <w:tabs>
          <w:tab w:leader="none" w:pos="3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hanging="286"/>
        <w:spacing w:after="0"/>
        <w:tabs>
          <w:tab w:leader="none" w:pos="3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Jersey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(IMA) LTD.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$ 1,000,000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10,858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10,858 0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Capital 101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Hudson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Street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Suite 3700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Jersey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City, NJ</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07302 KD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Offshore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Fund CV</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 *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Kellner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DiLeo &amp; Co.</w:t>
      </w:r>
    </w:p>
    <w:p>
      <w:pPr>
        <w:spacing w:after="0" w:line="7" w:lineRule="exact"/>
        <w:rPr>
          <w:sz w:val="20"/>
          <w:szCs w:val="20"/>
          <w:color w:val="auto"/>
        </w:rPr>
      </w:pPr>
    </w:p>
    <w:p>
      <w:pPr>
        <w:ind w:left="540" w:hanging="397"/>
        <w:spacing w:after="0"/>
        <w:tabs>
          <w:tab w:leader="none" w:pos="5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Avenue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Suite 1000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New York,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NY 10022</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Kellner,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DiLeo &amp;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 * 900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Third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Avenue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Suite 1000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New York,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NY 10022</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LDG Limited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 * 48 Par-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La-Ville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Road Suite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780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Hamilton,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HM 11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Bermuda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Fund LLC</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0 *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Capital 101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Hudson</w:t>
      </w:r>
    </w:p>
    <w:p>
      <w:pPr>
        <w:sectPr>
          <w:pgSz w:w="11900" w:h="16850" w:orient="portrait"/>
          <w:cols w:equalWidth="0" w:num="1">
            <w:col w:w="10219"/>
          </w:cols>
          <w:pgMar w:left="240" w:top="305" w:right="1440" w:bottom="0" w:gutter="0" w:footer="0" w:header="0"/>
        </w:sectPr>
      </w:pPr>
    </w:p>
    <w:bookmarkStart w:id="60" w:name="page61"/>
    <w:bookmarkEnd w:id="60"/>
    <w:p>
      <w:pPr>
        <w:jc w:val="center"/>
        <w:ind w:right="9099"/>
        <w:spacing w:after="0"/>
        <w:rPr>
          <w:sz w:val="20"/>
          <w:szCs w:val="20"/>
          <w:color w:val="auto"/>
        </w:rPr>
      </w:pPr>
      <w:r>
        <w:rPr>
          <w:rFonts w:ascii="Courier New" w:cs="Courier New" w:eastAsia="Courier New" w:hAnsi="Courier New"/>
          <w:sz w:val="16"/>
          <w:szCs w:val="16"/>
          <w:color w:val="auto"/>
        </w:rPr>
        <w:t>Street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Suite 3700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Jersey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City, NJ</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07302</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Funds L.P.</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21,717</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21,717 0 *</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Capital 101</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Hudson</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Street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Suite 3700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Jersey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City, NJ</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07302</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Global</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Volatility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Fund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1,500,000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16,288</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16,288 0 *</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L.P. c/o</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LibertyView</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Capital 101</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Hudson</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Street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Suite 3700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Jersey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City, NJ</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07302 MFS</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Total</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Return Fund</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5,000,000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54,293</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54,293 0 *</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 Froley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Revy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 10900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Wilshire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Blvd. Ste</w:t>
      </w:r>
    </w:p>
    <w:p>
      <w:pPr>
        <w:spacing w:after="0" w:line="7" w:lineRule="exact"/>
        <w:rPr>
          <w:sz w:val="20"/>
          <w:szCs w:val="20"/>
          <w:color w:val="auto"/>
        </w:rPr>
      </w:pPr>
    </w:p>
    <w:p>
      <w:pPr>
        <w:ind w:left="600" w:hanging="399"/>
        <w:spacing w:after="0"/>
        <w:tabs>
          <w:tab w:leader="none" w:pos="6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jc w:val="center"/>
        <w:ind w:right="90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 90024 Ondeo Nalco 150,000 1,628 1,628 0 * c/o Froley Revy Investment Company, Inc. 10900 Wilshire Blvd. Ste</w:t>
      </w:r>
    </w:p>
    <w:p>
      <w:pPr>
        <w:spacing w:after="0" w:line="7" w:lineRule="exact"/>
        <w:rPr>
          <w:rFonts w:ascii="Courier New" w:cs="Courier New" w:eastAsia="Courier New" w:hAnsi="Courier New"/>
          <w:sz w:val="16"/>
          <w:szCs w:val="16"/>
          <w:color w:val="auto"/>
        </w:rPr>
      </w:pPr>
    </w:p>
    <w:p>
      <w:pPr>
        <w:ind w:left="600" w:hanging="399"/>
        <w:spacing w:after="0"/>
        <w:tabs>
          <w:tab w:leader="none" w:pos="6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90024</w:t>
      </w:r>
    </w:p>
    <w:p>
      <w:pPr>
        <w:spacing w:after="0" w:line="383"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179"/>
          </w:cols>
          <w:pgMar w:left="280" w:top="142"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55</w:t>
      </w:r>
    </w:p>
    <w:p>
      <w:pPr>
        <w:spacing w:after="0" w:line="19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AFTER</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40" w:right="9139" w:hanging="146"/>
        <w:spacing w:after="0" w:line="248" w:lineRule="auto"/>
        <w:tabs>
          <w:tab w:leader="none" w:pos="28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OFFERED(1)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PERCENT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0" w:hanging="295"/>
        <w:spacing w:after="0"/>
        <w:tabs>
          <w:tab w:leader="none" w:pos="3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hanging="286"/>
        <w:spacing w:after="0"/>
        <w:tabs>
          <w:tab w:leader="none" w:pos="38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RCG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Latitude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Master Fund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$ 2,000,000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21,717</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21,717 0 *</w:t>
      </w:r>
    </w:p>
    <w:p>
      <w:pPr>
        <w:spacing w:after="0" w:line="7" w:lineRule="exact"/>
        <w:rPr>
          <w:sz w:val="20"/>
          <w:szCs w:val="20"/>
          <w:color w:val="auto"/>
        </w:rPr>
      </w:pPr>
    </w:p>
    <w:p>
      <w:pPr>
        <w:ind w:left="40" w:right="9099" w:firstLine="103"/>
        <w:spacing w:after="0" w:line="248" w:lineRule="auto"/>
        <w:tabs>
          <w:tab w:leader="none" w:pos="52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Avenue 26th Floor New</w:t>
      </w:r>
    </w:p>
    <w:p>
      <w:pPr>
        <w:spacing w:after="0" w:line="1" w:lineRule="exact"/>
        <w:rPr>
          <w:rFonts w:ascii="Courier New" w:cs="Courier New" w:eastAsia="Courier New" w:hAnsi="Courier New"/>
          <w:sz w:val="16"/>
          <w:szCs w:val="16"/>
          <w:color w:val="auto"/>
        </w:rPr>
      </w:pPr>
    </w:p>
    <w:p>
      <w:pPr>
        <w:jc w:val="center"/>
        <w:ind w:left="40" w:right="9099" w:firstLine="14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York, NY 10019 SG Cowen Securities Corp. 10,500,000 114,016 114,016 0 * Financial Square New York, NY 10005 St. Albans Partner Ltd. 2,500,000 27,146 27,146 0 * c/o Camden Asset Management, LP 2049 Century Park East, Suite 330 Los Angeles, CA 90067 Starvest Combined Portfolio 600,000 6,515 6,515 0 * c/o Froley Revy Investment Company, Inc. 10900 Wilshire Blvd. Ste 900 Los Angeles, CA 90024 Starvest Managed</w:t>
      </w:r>
    </w:p>
    <w:p>
      <w:pPr>
        <w:sectPr>
          <w:pgSz w:w="11900" w:h="16838" w:orient="portrait"/>
          <w:cols w:equalWidth="0" w:num="1">
            <w:col w:w="10219"/>
          </w:cols>
          <w:pgMar w:left="240" w:top="305" w:right="1440" w:bottom="0" w:gutter="0" w:footer="0" w:header="0"/>
        </w:sectPr>
      </w:pPr>
    </w:p>
    <w:bookmarkStart w:id="62" w:name="page63"/>
    <w:bookmarkEnd w:id="62"/>
    <w:p>
      <w:pPr>
        <w:ind w:left="100"/>
        <w:spacing w:after="0"/>
        <w:rPr>
          <w:sz w:val="20"/>
          <w:szCs w:val="20"/>
          <w:color w:val="auto"/>
        </w:rPr>
      </w:pPr>
      <w:r>
        <w:rPr>
          <w:rFonts w:ascii="Courier New" w:cs="Courier New" w:eastAsia="Courier New" w:hAnsi="Courier New"/>
          <w:sz w:val="16"/>
          <w:szCs w:val="16"/>
          <w:color w:val="auto"/>
        </w:rPr>
        <w:t>Portfolio</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70,000 760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760 0 *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Froley Revy</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 10900</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Wilshire</w:t>
      </w:r>
    </w:p>
    <w:p>
      <w:pPr>
        <w:spacing w:after="0" w:line="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Blvd. Ste</w:t>
      </w:r>
    </w:p>
    <w:p>
      <w:pPr>
        <w:spacing w:after="0" w:line="7" w:lineRule="exact"/>
        <w:rPr>
          <w:sz w:val="20"/>
          <w:szCs w:val="20"/>
          <w:color w:val="auto"/>
        </w:rPr>
      </w:pPr>
    </w:p>
    <w:p>
      <w:pPr>
        <w:ind w:left="600" w:hanging="399"/>
        <w:spacing w:after="0"/>
        <w:tabs>
          <w:tab w:leader="none" w:pos="60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jc w:val="both"/>
        <w:ind w:right="90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 90024 State of Oregon -</w:t>
      </w:r>
    </w:p>
    <w:p>
      <w:pPr>
        <w:spacing w:after="0" w:line="1" w:lineRule="exact"/>
        <w:rPr>
          <w:rFonts w:ascii="Courier New" w:cs="Courier New" w:eastAsia="Courier New" w:hAnsi="Courier New"/>
          <w:sz w:val="16"/>
          <w:szCs w:val="16"/>
          <w:color w:val="auto"/>
        </w:rPr>
      </w:pPr>
    </w:p>
    <w:p>
      <w:pPr>
        <w:jc w:val="both"/>
        <w:ind w:left="100" w:right="9199" w:firstLine="52"/>
        <w:spacing w:after="0" w:line="248" w:lineRule="auto"/>
        <w:tabs>
          <w:tab w:leader="none" w:pos="3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5,500,000</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59,722</w:t>
      </w:r>
    </w:p>
    <w:p>
      <w:pPr>
        <w:spacing w:after="0" w:line="6" w:lineRule="exact"/>
        <w:rPr>
          <w:rFonts w:ascii="Courier New" w:cs="Courier New" w:eastAsia="Courier New" w:hAnsi="Courier New"/>
          <w:sz w:val="16"/>
          <w:szCs w:val="16"/>
          <w:color w:val="auto"/>
        </w:rPr>
      </w:pPr>
    </w:p>
    <w:p>
      <w:pPr>
        <w:jc w:val="center"/>
        <w:ind w:left="60" w:right="9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59,722 0 * c/o Froley Revy Investment Company, Inc. 10900 Wilshire Blvd. Ste</w:t>
      </w:r>
    </w:p>
    <w:p>
      <w:pPr>
        <w:spacing w:after="0" w:line="5" w:lineRule="exact"/>
        <w:rPr>
          <w:rFonts w:ascii="Courier New" w:cs="Courier New" w:eastAsia="Courier New" w:hAnsi="Courier New"/>
          <w:sz w:val="16"/>
          <w:szCs w:val="16"/>
          <w:color w:val="auto"/>
        </w:rPr>
      </w:pPr>
    </w:p>
    <w:p>
      <w:pPr>
        <w:ind w:left="600" w:hanging="399"/>
        <w:spacing w:after="0"/>
        <w:tabs>
          <w:tab w:leader="none" w:pos="60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Angeles, CA</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90024 TD</w:t>
      </w:r>
    </w:p>
    <w:p>
      <w:pPr>
        <w:spacing w:after="0" w:line="6" w:lineRule="exact"/>
        <w:rPr>
          <w:rFonts w:ascii="Courier New" w:cs="Courier New" w:eastAsia="Courier New" w:hAnsi="Courier New"/>
          <w:sz w:val="16"/>
          <w:szCs w:val="16"/>
          <w:color w:val="auto"/>
        </w:rPr>
      </w:pPr>
    </w:p>
    <w:p>
      <w:pPr>
        <w:jc w:val="center"/>
        <w:ind w:right="909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(USA) Inc. 38,500,000 418,059 418,059 0 *</w:t>
      </w:r>
    </w:p>
    <w:p>
      <w:pPr>
        <w:spacing w:after="0" w:line="3" w:lineRule="exact"/>
        <w:rPr>
          <w:rFonts w:ascii="Courier New" w:cs="Courier New" w:eastAsia="Courier New" w:hAnsi="Courier New"/>
          <w:sz w:val="16"/>
          <w:szCs w:val="16"/>
          <w:color w:val="auto"/>
        </w:rPr>
      </w:pPr>
    </w:p>
    <w:p>
      <w:pPr>
        <w:ind w:left="500" w:hanging="299"/>
        <w:spacing w:after="0"/>
        <w:tabs>
          <w:tab w:leader="none" w:pos="50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w:t>
      </w:r>
    </w:p>
    <w:p>
      <w:pPr>
        <w:spacing w:after="0" w:line="6" w:lineRule="exact"/>
        <w:rPr>
          <w:rFonts w:ascii="Courier New" w:cs="Courier New" w:eastAsia="Courier New" w:hAnsi="Courier New"/>
          <w:sz w:val="16"/>
          <w:szCs w:val="16"/>
          <w:color w:val="auto"/>
        </w:rPr>
      </w:pPr>
    </w:p>
    <w:p>
      <w:pPr>
        <w:jc w:val="center"/>
        <w:ind w:right="90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52nd Street 21st Floor New York, NY 10009 TQA Master Fund, LTD. 3,000,000 32,576 32,576 0 * 405 Lexington Avenue 45th Floor New York, NY 10174 TQA Master Plus Fund, LTD. 7,500,000 81,440 81,440 0 * 405 Lexington Avenue 45th Floor New York, NY 10174</w:t>
      </w:r>
    </w:p>
    <w:p>
      <w:pPr>
        <w:spacing w:after="0" w:line="373"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179"/>
          </w:cols>
          <w:pgMar w:left="280" w:top="142" w:right="1440" w:bottom="1440" w:gutter="0" w:footer="0" w:header="0"/>
        </w:sectPr>
      </w:pPr>
    </w:p>
    <w:bookmarkStart w:id="63" w:name="page64"/>
    <w:bookmarkEnd w:id="63"/>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56</w:t>
      </w:r>
    </w:p>
    <w:p>
      <w:pPr>
        <w:spacing w:after="0" w:line="19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OWNED AFTER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BENEFICIALLY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ORDINARY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OWNED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SHARES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ADDRESS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OFFERED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OFFERING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OFFERED(1)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PERCENT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640" w:hanging="593"/>
        <w:spacing w:after="0"/>
        <w:tabs>
          <w:tab w:leader="none" w:pos="6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Zurich</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Institutional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Benchmark</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Master $</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500,000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5,429 5,429</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0 * Fund One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Chase Plaza</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44th Floor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New York, NY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10005 Any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other holder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notes or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future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transferee,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pledgee,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donee or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successor of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any holder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289,300,000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3,141,437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3,141,437 0</w:t>
      </w:r>
    </w:p>
    <w:p>
      <w:pPr>
        <w:spacing w:after="0" w:line="7" w:lineRule="exact"/>
        <w:rPr>
          <w:sz w:val="20"/>
          <w:szCs w:val="20"/>
          <w:color w:val="auto"/>
        </w:rPr>
      </w:pPr>
    </w:p>
    <w:p>
      <w:pPr>
        <w:ind w:left="240" w:hanging="193"/>
        <w:spacing w:after="0"/>
        <w:tabs>
          <w:tab w:leader="none" w:pos="24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$500,000,000</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5,429,350</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5,429,350 0</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Indicates less than 1%.</w:t>
      </w:r>
    </w:p>
    <w:p>
      <w:pPr>
        <w:spacing w:after="0" w:line="195" w:lineRule="exact"/>
        <w:rPr>
          <w:sz w:val="20"/>
          <w:szCs w:val="20"/>
          <w:color w:val="auto"/>
        </w:rPr>
      </w:pPr>
    </w:p>
    <w:p>
      <w:pPr>
        <w:ind w:left="400" w:right="2399" w:hanging="400"/>
        <w:spacing w:after="0" w:line="250" w:lineRule="auto"/>
        <w:tabs>
          <w:tab w:leader="none" w:pos="4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w:t>
      </w:r>
    </w:p>
    <w:p>
      <w:pPr>
        <w:spacing w:after="0" w:line="185" w:lineRule="exact"/>
        <w:rPr>
          <w:rFonts w:ascii="Courier New" w:cs="Courier New" w:eastAsia="Courier New" w:hAnsi="Courier New"/>
          <w:sz w:val="16"/>
          <w:szCs w:val="16"/>
          <w:color w:val="auto"/>
        </w:rPr>
      </w:pPr>
    </w:p>
    <w:p>
      <w:pPr>
        <w:ind w:left="400" w:right="2879" w:hanging="400"/>
        <w:spacing w:after="0" w:line="252" w:lineRule="auto"/>
        <w:tabs>
          <w:tab w:leader="none" w:pos="4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holders will be set forth in prospectus supplements, if required.</w:t>
      </w:r>
    </w:p>
    <w:p>
      <w:pPr>
        <w:spacing w:after="0" w:line="183"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any other holders of notes, or any future transferees, pledgees, donees or successors of or from any other holders of notes, do not beneficially own any ordinary shares other than the ordinary shares issuable upon conversion of the notes at the initial conversion rate.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Information concerning the selling holders may change from time to time and any changed information will be set forth in supplements to this prospectus if necessary. In addition, the per share conversion price, and therefore the number of ordinary shares issuable upon conversion of the notes, is subject to</w:t>
      </w:r>
    </w:p>
    <w:p>
      <w:pPr>
        <w:sectPr>
          <w:pgSz w:w="11900" w:h="16857" w:orient="portrait"/>
          <w:cols w:equalWidth="0" w:num="1">
            <w:col w:w="10219"/>
          </w:cols>
          <w:pgMar w:left="240" w:top="305" w:right="1440" w:bottom="0" w:gutter="0" w:footer="0" w:header="0"/>
        </w:sectPr>
      </w:pPr>
    </w:p>
    <w:bookmarkStart w:id="64" w:name="page65"/>
    <w:bookmarkEnd w:id="64"/>
    <w:p>
      <w:pPr>
        <w:jc w:val="both"/>
        <w:ind w:right="2699"/>
        <w:spacing w:after="0" w:line="250" w:lineRule="auto"/>
        <w:rPr>
          <w:sz w:val="20"/>
          <w:szCs w:val="20"/>
          <w:color w:val="auto"/>
        </w:rPr>
      </w:pPr>
      <w:r>
        <w:rPr>
          <w:rFonts w:ascii="Courier New" w:cs="Courier New" w:eastAsia="Courier New" w:hAnsi="Courier New"/>
          <w:sz w:val="16"/>
          <w:szCs w:val="16"/>
          <w:color w:val="auto"/>
        </w:rPr>
        <w:t>adjustment. As a result, the aggregate principal amount of the notes and the number of shares of ordinary shares issuable upon conversion of the notes may increase or decrease.</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142"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57</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PLAN OF DISTRIBUTION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holders and any of their pledgees, assignees, donees, other transferees and successors-in-interest may, from time to time, sell any or all of their notes or ordinary shares issuable upon conversion of the notes at fixed prices, at prevailing market prices at the time of sale, at prices related to such prevailing market prices, at varying prices determined at the time of sale or at negotiated prices. These sales may be effected in transactions on any national securities exchange or quotation service on which the notes or the ordinary shares issuable upon conversion of the notes may be listed or quoted at the time of the sale. The selling holders may use any one or more of the following methods when selling the notes or the ordinary shares issuable upon conversion of the notes.:</w:t>
      </w:r>
    </w:p>
    <w:p>
      <w:pPr>
        <w:spacing w:after="0" w:line="187" w:lineRule="exact"/>
        <w:rPr>
          <w:sz w:val="20"/>
          <w:szCs w:val="20"/>
          <w:color w:val="auto"/>
        </w:rPr>
      </w:pPr>
    </w:p>
    <w:p>
      <w:pPr>
        <w:ind w:left="680" w:right="3579" w:hanging="191"/>
        <w:spacing w:after="0" w:line="252" w:lineRule="auto"/>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brokerage transactions and transactions in which the broker-dealer solicits purchasers;</w:t>
      </w:r>
    </w:p>
    <w:p>
      <w:pPr>
        <w:spacing w:after="0" w:line="183" w:lineRule="exact"/>
        <w:rPr>
          <w:rFonts w:ascii="Courier New" w:cs="Courier New" w:eastAsia="Courier New" w:hAnsi="Courier New"/>
          <w:sz w:val="16"/>
          <w:szCs w:val="16"/>
          <w:color w:val="auto"/>
        </w:rPr>
      </w:pPr>
    </w:p>
    <w:p>
      <w:pPr>
        <w:jc w:val="both"/>
        <w:ind w:left="680" w:right="2399" w:hanging="191"/>
        <w:spacing w:after="0" w:line="250" w:lineRule="auto"/>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 trades in which the broker-dealer will attempt to sell the notes or the ordinary shares as agent but may position and resell a portion of the block as principal to facilitate the transaction;</w:t>
      </w:r>
    </w:p>
    <w:p>
      <w:pPr>
        <w:spacing w:after="0" w:line="185"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by a broker-dealer as principal and resale by the broker-dealer for its account;</w:t>
      </w:r>
    </w:p>
    <w:p>
      <w:pPr>
        <w:spacing w:after="0" w:line="183"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exchange distribution in accordance with the rules of the applicable exchange;</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privately negotiated transactions;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sales;</w:t>
      </w:r>
    </w:p>
    <w:p>
      <w:pPr>
        <w:spacing w:after="0" w:line="194" w:lineRule="exact"/>
        <w:rPr>
          <w:rFonts w:ascii="Courier New" w:cs="Courier New" w:eastAsia="Courier New" w:hAnsi="Courier New"/>
          <w:sz w:val="16"/>
          <w:szCs w:val="16"/>
          <w:color w:val="auto"/>
        </w:rPr>
      </w:pPr>
    </w:p>
    <w:p>
      <w:pPr>
        <w:ind w:left="680" w:right="2799" w:hanging="191"/>
        <w:spacing w:after="0" w:line="252" w:lineRule="auto"/>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may agree with the selling holders to sell a specified number of ordinary shares at a stipulated price per share;</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any such methods of sale; and</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method permitted pursuant to applicable law.</w:t>
      </w:r>
    </w:p>
    <w:p>
      <w:pPr>
        <w:spacing w:after="0" w:line="195"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The selling holders may also sell notes or ordinary shares issuable upon conversion of the notes under Rule 144A of the Securities Act, if available, rather than under the prospectus.</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selling holders may also engage in short sales against the box, puts and calls and other transactions in our securities or derivatives of our securities and may sell or deliver shares in connection with these trades. The selling holders may pledge their notes or ordinary shares to their brokers under the margin provisions of customer agreements. If a selling holder defaults on a margin loan, the broker, may, from time to time, offer and sell the pledged notes or ordinary shares.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Our ordinary shares are listed for trading on the New York Stock Exchange. While the notes are eligible for trading in the PORTAL market, we do not expect the notes to remain eligible for trading on that market. We do not intend to list the notes for trading on any national securities exchange or on the NASDAQ National Market. We cannot assure you that a trading market for the notes will develop. If a trading market for the notes fails to develop, the trading price of the notes may decline.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Broker-dealers engaged by the selling holders may arrange for other broker-dealers to participate in sales. Broker-dealers may receive commissions or discounts from the selling holders (or, if any broker-dealer acts as agent for the purchaser of notes or ordinary shares, from the purchaser) in amounts to be negotiated.</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selling holders and any broker-dealers or agents that are involved in selling the notes or the ordinary shares issuable upon conversion of the notes may be deemed to be "underwriters" within the meaning of the Securities Act of 1933 in connection with the sales. In such event, any commissions received by such broker-dealers or agents and any profit on the resale of the notes or ordinary shares issuable upon conversion of the notes purchased by them may be deemed to be underwriting commissions or discounts under the Securities Act.</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are required to pay all fees and expenses incident to the registration of the notes and the ordinary shares issuable upon conversion of the notes, except that all selling commissions and fees and other expenses incurred by the selling holders will be borne by such holders.</w:t>
      </w:r>
    </w:p>
    <w:p>
      <w:pPr>
        <w:sectPr>
          <w:pgSz w:w="11900" w:h="16838" w:orient="portrait"/>
          <w:cols w:equalWidth="0" w:num="1">
            <w:col w:w="10219"/>
          </w:cols>
          <w:pgMar w:left="240" w:top="305" w:right="1440" w:bottom="939"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5" w:right="1440" w:bottom="939" w:gutter="0" w:footer="0" w:header="0"/>
          <w:type w:val="continuous"/>
        </w:sectPr>
      </w:pPr>
    </w:p>
    <w:bookmarkStart w:id="66" w:name="page67"/>
    <w:bookmarkEnd w:id="66"/>
    <w:p>
      <w:pPr>
        <w:ind w:left="300"/>
        <w:spacing w:after="0"/>
        <w:rPr>
          <w:sz w:val="20"/>
          <w:szCs w:val="20"/>
          <w:color w:val="auto"/>
        </w:rPr>
      </w:pPr>
      <w:r>
        <w:rPr>
          <w:rFonts w:ascii="Courier New" w:cs="Courier New" w:eastAsia="Courier New" w:hAnsi="Courier New"/>
          <w:sz w:val="16"/>
          <w:szCs w:val="16"/>
          <w:color w:val="auto"/>
        </w:rPr>
        <w:t>58</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LEGAL MATTERS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validity of the notes and the ordinary shares issuable upon conversion of the notes were passed upon for us by Carey Langlois, Island of Guernsey. Certain legal matters in connection with the offering have passed upon for us by Reboul, MacMurray, Hewitt, Maynard &amp; Kristol, New York, New York.</w:t>
      </w:r>
    </w:p>
    <w:p>
      <w:pPr>
        <w:spacing w:after="0" w:line="1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Ernst &amp; Young LLP, independent auditors, have audited the Consolidated Financial Statements and Schedule of Amdocs as set forth in their report included in our Annual Report on Form 20-F/A for the year ended September 30, 2000, which is incorporated by reference in this prospectus. The Consolidated Financial Statements and Schedule of Amdocs Limited are incorporated by reference in reliance on Ernst &amp; Young LLP's report, given on their authority as experts in accounting and auditing.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Ernst &amp; Young LLP, independent auditors, have audited the Financial Statements and Schedules of ITDS as set forth in their report included in our Registration Statement on Form F-3/A (No. 333-86609) dated October 4, 1999 and incorporated herein by reference in this prospectus from our Report of Foreign Private Issuer on Form 6-K dated December 13, 1999. The Financial Statements and Schedule of ITDS are incorporated by reference in reliance on Ernst &amp; Young LLP's report, given on their authority as experts in accounting and auditing.</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Ernst &amp; Young LLP, independent auditors, have audited the Consolidated Financial Statements of Solect as set forth in their report included in our Report of Foreign Private Issuer on Form 6-K/A dated June 8, 2000, which is incorporated by reference in this prospectus. The Consolidated Financial Statements of Solect are incorporated by reference in reliance on Ernst &amp; Young LLP's report, given on their authority as experts in accounting and auditing.</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AVAILABLE INFORMATION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are subject to the informational requirements of the Exchange Act and in accordance therewith file reports and other information with the SEC.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w:t>
      </w:r>
    </w:p>
    <w:p>
      <w:pPr>
        <w:spacing w:after="0" w:line="18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ENFORCEABILITY OF CIVIL LIABILITIES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We are incorporated under the laws of the Island of Guernsey. Several of our directors and officers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05"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59</w:t>
      </w:r>
    </w:p>
    <w:p>
      <w:pPr>
        <w:spacing w:after="0" w:line="19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jurisdiction (according to the rules of private international law currently prevailing in Guernsey) which recognizes and enforces similar Guernsey judgments, provided that:</w:t>
      </w:r>
    </w:p>
    <w:p>
      <w:pPr>
        <w:spacing w:after="0" w:line="185" w:lineRule="exact"/>
        <w:rPr>
          <w:sz w:val="20"/>
          <w:szCs w:val="20"/>
          <w:color w:val="auto"/>
        </w:rPr>
      </w:pPr>
    </w:p>
    <w:p>
      <w:pPr>
        <w:ind w:left="680" w:right="2399" w:hanging="191"/>
        <w:spacing w:after="0" w:line="252" w:lineRule="auto"/>
        <w:tabs>
          <w:tab w:leader="none" w:pos="6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adequate service of process has been effected and the defendant has had a reasonable opportunity to be heard;</w:t>
      </w:r>
    </w:p>
    <w:p>
      <w:pPr>
        <w:spacing w:after="0" w:line="183"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judgments or the enforcement thereof are not contrary to the law, public policy, security or sovereignty of Guernsey;</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judgments were not obtained by fraudulent means and do not conflict with any other valid judgment in the same matter between the same parties; and</w:t>
      </w:r>
    </w:p>
    <w:p>
      <w:pPr>
        <w:spacing w:after="0" w:line="185"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an action between the same parties in the same matter is not pending in any Guernsey court at the time the lawsuit is instituted in the foreign court.</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305" w:right="1440" w:bottom="1440" w:gutter="0" w:footer="0" w:header="0"/>
        </w:sectPr>
      </w:pPr>
    </w:p>
    <w:bookmarkStart w:id="68" w:name="page69"/>
    <w:bookmarkEnd w:id="68"/>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60</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 AND FINANCIAL STATEMENT SCHEDULES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 ----</w:t>
      </w:r>
    </w:p>
    <w:p>
      <w:pPr>
        <w:spacing w:after="0" w:line="7" w:lineRule="exact"/>
        <w:rPr>
          <w:sz w:val="20"/>
          <w:szCs w:val="20"/>
          <w:color w:val="auto"/>
        </w:rPr>
      </w:pPr>
    </w:p>
    <w:p>
      <w:pPr>
        <w:ind w:left="480" w:hanging="386"/>
        <w:spacing w:after="0"/>
        <w:tabs>
          <w:tab w:leader="none" w:pos="4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Agreement</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Plan of</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Merger dated as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of September 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1999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Ivan Acquisition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Corp. and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International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Telecommunication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Data Systems,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(Exhibit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2.1 to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Current Report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on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September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10, 1999) 2.2</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Combination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February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28, 2000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Solect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 Group</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(Denmark) ApS.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Holdings ULC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Current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Report on Form</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6-K dated March</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 2000) 2.3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Securityholders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Voting Agreement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February 28,</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2000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Solect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 Group</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(Denmark) ApS.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Holdings ULC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2.2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Current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Report on Form</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6-K dated March</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 2000) 4.1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Specimen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certificate for</w:t>
      </w:r>
    </w:p>
    <w:p>
      <w:pPr>
        <w:sectPr>
          <w:pgSz w:w="11900" w:h="16850" w:orient="portrait"/>
          <w:cols w:equalWidth="0" w:num="1">
            <w:col w:w="10219"/>
          </w:cols>
          <w:pgMar w:left="240" w:top="305" w:right="1440" w:bottom="0" w:gutter="0" w:footer="0" w:header="0"/>
        </w:sectPr>
      </w:pPr>
    </w:p>
    <w:bookmarkStart w:id="69" w:name="page70"/>
    <w:bookmarkEnd w:id="69"/>
    <w:p>
      <w:pPr>
        <w:jc w:val="center"/>
        <w:ind w:right="8619"/>
        <w:spacing w:after="0"/>
        <w:rPr>
          <w:sz w:val="20"/>
          <w:szCs w:val="20"/>
          <w:color w:val="auto"/>
        </w:rPr>
      </w:pPr>
      <w:r>
        <w:rPr>
          <w:rFonts w:ascii="Courier New" w:cs="Courier New" w:eastAsia="Courier New" w:hAnsi="Courier New"/>
          <w:sz w:val="16"/>
          <w:szCs w:val="16"/>
          <w:color w:val="auto"/>
        </w:rPr>
        <w:t>the ordinary</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shares of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4.1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Number 333-8826)</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4.2 Stock Option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Incentive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Plan,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amended,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4.2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 4.3</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Note Purchase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September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22, 1997, among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European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 Ltd.,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WCAS Capital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Partners III,</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L.P., as Agent,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the several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Purchasers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 Schedule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thereto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4.3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 4.4</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Amended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Restated Credit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June 29,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1998, among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European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Limited,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subsidiaries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Initial Lenders,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Initial Issuing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and Swing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Line Bank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NationsBank,</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Administrative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and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of Nova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Scotia,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Syndication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4.4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7, 1999;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333-75151)</w:t>
      </w:r>
    </w:p>
    <w:p>
      <w:pPr>
        <w:sectPr>
          <w:pgSz w:w="11900" w:h="16838" w:orient="portrait"/>
          <w:cols w:equalWidth="0" w:num="1">
            <w:col w:w="10179"/>
          </w:cols>
          <w:pgMar w:left="280" w:top="142" w:right="1440" w:bottom="1114" w:gutter="0" w:footer="0" w:header="0"/>
        </w:sectPr>
      </w:pPr>
    </w:p>
    <w:p>
      <w:pPr>
        <w:spacing w:after="0" w:line="38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79"/>
          </w:cols>
          <w:pgMar w:left="280" w:top="142" w:right="1440" w:bottom="1114" w:gutter="0" w:footer="0" w:header="0"/>
          <w:type w:val="continuous"/>
        </w:sectPr>
      </w:pPr>
    </w:p>
    <w:bookmarkStart w:id="70" w:name="page71"/>
    <w:bookmarkEnd w:id="70"/>
    <w:p>
      <w:pPr>
        <w:ind w:left="300"/>
        <w:spacing w:after="0"/>
        <w:rPr>
          <w:sz w:val="20"/>
          <w:szCs w:val="20"/>
          <w:color w:val="auto"/>
        </w:rPr>
      </w:pPr>
      <w:r>
        <w:rPr>
          <w:rFonts w:ascii="Courier New" w:cs="Courier New" w:eastAsia="Courier New" w:hAnsi="Courier New"/>
          <w:sz w:val="16"/>
          <w:szCs w:val="16"/>
          <w:color w:val="auto"/>
        </w:rPr>
        <w:t>61</w:t>
      </w:r>
    </w:p>
    <w:p>
      <w:pPr>
        <w:spacing w:after="0" w:line="19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DESCRIPTION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820" w:hanging="577"/>
        <w:spacing w:after="0"/>
        <w:tabs>
          <w:tab w:leader="none" w:pos="8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dated</w:t>
      </w:r>
    </w:p>
    <w:p>
      <w:pPr>
        <w:spacing w:after="0" w:line="6" w:lineRule="exact"/>
        <w:rPr>
          <w:rFonts w:ascii="Courier New" w:cs="Courier New" w:eastAsia="Courier New" w:hAnsi="Courier New"/>
          <w:sz w:val="16"/>
          <w:szCs w:val="16"/>
          <w:color w:val="auto"/>
        </w:rPr>
      </w:pPr>
    </w:p>
    <w:p>
      <w:pPr>
        <w:jc w:val="center"/>
        <w:ind w:right="8859" w:firstLine="96"/>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16, 1999, to the Amended and Restated Credit Agreement among European Software Marketing Ltd., the other subsidiaries of Amdocs named therein, the Lenders, Initial Issuing Bank and Swing Line Bank named therein, and Bank of America, N.A., as Administrative Agent and the Bank of Nova Scotia, as Syndication Agent. (Exhibit 4.5 to Amdocs' Registration Statement on Form F-3, dated June 14, 2000, Registration No. 333-39278) 4.6 Letter Amendment and Waiver No. 2, dated February 29, 2000, to the Amended and Restated Credit Agreement among European Software Marketing Ltd., the other subsidiaries of Amdocs named therein, the Lenders, Initial Issuing Bank and Swing Line Bank named therein, and Bank of America, N.A., as Administrative Agent and the Bank of Nova Scotia, as Syndication Agent. (Exhibit 4.6</w:t>
      </w:r>
    </w:p>
    <w:p>
      <w:pPr>
        <w:sectPr>
          <w:pgSz w:w="11900" w:h="16838" w:orient="portrait"/>
          <w:cols w:equalWidth="0" w:num="1">
            <w:col w:w="10219"/>
          </w:cols>
          <w:pgMar w:left="240" w:top="305" w:right="1440" w:bottom="1440" w:gutter="0" w:footer="0" w:header="0"/>
        </w:sectPr>
      </w:pPr>
    </w:p>
    <w:bookmarkStart w:id="71" w:name="page72"/>
    <w:bookmarkEnd w:id="71"/>
    <w:p>
      <w:pPr>
        <w:spacing w:after="0" w:line="3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14, 2000,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39278) 4.7</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Subscription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among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the several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Conditional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among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the several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4.9 Letter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as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amended as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May 20,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between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Welsh,</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Carson,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Stowe,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behalf of the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4.7</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4.10 Letter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Understanding,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between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Welsh,</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Carson,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Stowe,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behalf of the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4.8</w:t>
      </w:r>
    </w:p>
    <w:p>
      <w:pPr>
        <w:sectPr>
          <w:pgSz w:w="11900" w:h="16875" w:orient="portrait"/>
          <w:cols w:equalWidth="0" w:num="1">
            <w:col w:w="10219"/>
          </w:cols>
          <w:pgMar w:left="240" w:top="142" w:right="1440" w:bottom="0" w:gutter="0" w:footer="0" w:header="0"/>
        </w:sectPr>
      </w:pPr>
    </w:p>
    <w:bookmarkStart w:id="72" w:name="page73"/>
    <w:bookmarkEnd w:id="72"/>
    <w:p>
      <w:pPr>
        <w:spacing w:after="0" w:line="3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4.11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Shareholders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Summary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Terms, dated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1997 (Exhibit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4.9 to</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4.12 Certain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proxies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executed by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partnerships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affiliated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with Welsh,</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Carson,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Stowe and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certain other</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entities in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favor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Conbond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 Ltd.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4.10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4.13</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Indenture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May 30,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Trust Company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New York</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4.1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6-K</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May 31,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4.14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May 30,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Goldman,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Sachs &amp; Co.</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4.2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6-K</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May 31,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*5.1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Opinion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Carey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Langlois *5.2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Opinion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Reboul,</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MacMurray,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Hewitt,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Maynard &amp;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Kristol *12.1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re: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Computation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Ratio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Earnings to</w:t>
      </w:r>
    </w:p>
    <w:p>
      <w:pPr>
        <w:sectPr>
          <w:pgSz w:w="11900" w:h="16875" w:orient="portrait"/>
          <w:cols w:equalWidth="0" w:num="1">
            <w:col w:w="10179"/>
          </w:cols>
          <w:pgMar w:left="280" w:top="142" w:right="1440" w:bottom="0" w:gutter="0" w:footer="0" w:header="0"/>
        </w:sectPr>
      </w:pPr>
    </w:p>
    <w:bookmarkStart w:id="73" w:name="page74"/>
    <w:bookmarkEnd w:id="73"/>
    <w:p>
      <w:pPr>
        <w:jc w:val="center"/>
        <w:ind w:right="8899"/>
        <w:spacing w:after="0"/>
        <w:rPr>
          <w:sz w:val="20"/>
          <w:szCs w:val="20"/>
          <w:color w:val="auto"/>
        </w:rPr>
      </w:pPr>
      <w:r>
        <w:rPr>
          <w:rFonts w:ascii="Courier New" w:cs="Courier New" w:eastAsia="Courier New" w:hAnsi="Courier New"/>
          <w:sz w:val="16"/>
          <w:szCs w:val="16"/>
          <w:color w:val="auto"/>
        </w:rPr>
        <w:t>Fixed Charges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*23.1 Consent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*23.2 Consent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*23.3 Consent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*23.4 Consent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Carey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Langlois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(included in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5.1)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*23.5 Consent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Reboul,</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MacMurray,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Hewitt,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Maynard &amp;</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Kristol</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(included in</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5.2)</w:t>
      </w:r>
    </w:p>
    <w:p>
      <w:pPr>
        <w:spacing w:after="0" w:line="383"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179"/>
          </w:cols>
          <w:pgMar w:left="280" w:top="142" w:right="1440" w:bottom="1440" w:gutter="0" w:footer="0" w:header="0"/>
        </w:sectPr>
      </w:pPr>
    </w:p>
    <w:bookmarkStart w:id="74" w:name="page75"/>
    <w:bookmarkEnd w:id="74"/>
    <w:p>
      <w:pPr>
        <w:spacing w:after="0" w:line="2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62</w:t>
      </w:r>
    </w:p>
    <w:p>
      <w:pPr>
        <w:spacing w:after="0" w:line="19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NO.</w:t>
      </w:r>
    </w:p>
    <w:p>
      <w:pPr>
        <w:spacing w:after="0" w:line="7"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*24.1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Powers 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Attorney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(contained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on the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pages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hereof)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*25.1 Form</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Statement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Eligibility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Trustee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Indenture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under the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Trust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Indenture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Act 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1939</w:t>
      </w:r>
    </w:p>
    <w:p>
      <w:pPr>
        <w:spacing w:after="0" w:line="383" w:lineRule="exact"/>
        <w:rPr>
          <w:sz w:val="20"/>
          <w:szCs w:val="20"/>
          <w:color w:val="auto"/>
        </w:rPr>
      </w:pPr>
    </w:p>
    <w:p>
      <w:pPr>
        <w:ind w:left="200" w:hanging="200"/>
        <w:spacing w:after="0"/>
        <w:tabs>
          <w:tab w:leader="none" w:pos="2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17. UNDERTAKINGS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5" w:lineRule="exact"/>
        <w:rPr>
          <w:sz w:val="20"/>
          <w:szCs w:val="20"/>
          <w:color w:val="auto"/>
        </w:rPr>
      </w:pPr>
    </w:p>
    <w:p>
      <w:pPr>
        <w:ind w:right="2599" w:firstLine="489"/>
        <w:spacing w:after="0" w:line="252" w:lineRule="auto"/>
        <w:tabs>
          <w:tab w:leader="none" w:pos="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480" w:right="2879" w:firstLine="498"/>
        <w:spacing w:after="0" w:line="252" w:lineRule="auto"/>
        <w:tabs>
          <w:tab w:leader="none" w:pos="13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480" w:right="2499" w:firstLine="498"/>
        <w:spacing w:after="0" w:line="249" w:lineRule="auto"/>
        <w:tabs>
          <w:tab w:leader="none" w:pos="1457"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6" w:lineRule="exact"/>
        <w:rPr>
          <w:rFonts w:ascii="Courier New" w:cs="Courier New" w:eastAsia="Courier New" w:hAnsi="Courier New"/>
          <w:sz w:val="16"/>
          <w:szCs w:val="16"/>
          <w:color w:val="auto"/>
        </w:rPr>
      </w:pPr>
    </w:p>
    <w:p>
      <w:pPr>
        <w:jc w:val="both"/>
        <w:ind w:left="480" w:right="2499" w:firstLine="498"/>
        <w:spacing w:after="0" w:line="250" w:lineRule="auto"/>
        <w:tabs>
          <w:tab w:leader="none" w:pos="1555"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provided, however, that paragraphs (1)(i) and (1)(ii)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right="2399" w:firstLine="489"/>
        <w:spacing w:after="0" w:line="252" w:lineRule="auto"/>
        <w:tabs>
          <w:tab w:leader="none" w:pos="8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that contains a form of</w:t>
      </w:r>
    </w:p>
    <w:p>
      <w:pPr>
        <w:sectPr>
          <w:pgSz w:w="11900" w:h="16862" w:orient="portrait"/>
          <w:cols w:equalWidth="0" w:num="1">
            <w:col w:w="10219"/>
          </w:cols>
          <w:pgMar w:left="240" w:top="305" w:right="1440" w:bottom="0" w:gutter="0" w:footer="0" w:header="0"/>
        </w:sectPr>
      </w:pPr>
    </w:p>
    <w:bookmarkStart w:id="75" w:name="page76"/>
    <w:bookmarkEnd w:id="75"/>
    <w:p>
      <w:pPr>
        <w:jc w:val="both"/>
        <w:ind w:right="2699"/>
        <w:spacing w:after="0" w:line="250" w:lineRule="auto"/>
        <w:rPr>
          <w:sz w:val="20"/>
          <w:szCs w:val="20"/>
          <w:color w:val="auto"/>
        </w:rPr>
      </w:pPr>
      <w:r>
        <w:rPr>
          <w:rFonts w:ascii="Courier New" w:cs="Courier New" w:eastAsia="Courier New" w:hAnsi="Courier New"/>
          <w:sz w:val="16"/>
          <w:szCs w:val="16"/>
          <w:color w:val="auto"/>
        </w:rPr>
        <w:t>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14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63</w:t>
      </w:r>
    </w:p>
    <w:p>
      <w:pPr>
        <w:spacing w:after="0" w:line="195" w:lineRule="exact"/>
        <w:rPr>
          <w:sz w:val="20"/>
          <w:szCs w:val="20"/>
          <w:color w:val="auto"/>
        </w:rPr>
      </w:pPr>
    </w:p>
    <w:p>
      <w:pPr>
        <w:ind w:left="-300" w:right="2499" w:firstLine="489"/>
        <w:spacing w:after="0" w:line="250" w:lineRule="auto"/>
        <w:tabs>
          <w:tab w:leader="none" w:pos="5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left="-300" w:right="2399" w:firstLine="489"/>
        <w:spacing w:after="0" w:line="249" w:lineRule="auto"/>
        <w:tabs>
          <w:tab w:leader="none" w:pos="5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 post-effective amendment to the registration statement to include any financial statements required by Rule 3-19 of Regulation S-K, or to incorporate such financial statements in the registration statement by reference to a report filed or made pursuant to the Securities Exchange Act of 1934.</w:t>
      </w:r>
    </w:p>
    <w:p>
      <w:pPr>
        <w:spacing w:after="0" w:line="187" w:lineRule="exact"/>
        <w:rPr>
          <w:rFonts w:ascii="Courier New" w:cs="Courier New" w:eastAsia="Courier New" w:hAnsi="Courier New"/>
          <w:sz w:val="16"/>
          <w:szCs w:val="16"/>
          <w:color w:val="auto"/>
        </w:rPr>
      </w:pPr>
    </w:p>
    <w:p>
      <w:pPr>
        <w:ind w:left="-300" w:right="2499" w:firstLine="489"/>
        <w:spacing w:after="0" w:line="249" w:lineRule="auto"/>
        <w:tabs>
          <w:tab w:leader="none" w:pos="5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919"/>
          </w:cols>
          <w:pgMar w:left="540" w:top="305" w:right="1440" w:bottom="1440" w:gutter="0" w:footer="0" w:header="0"/>
        </w:sectPr>
      </w:pPr>
    </w:p>
    <w:bookmarkStart w:id="77" w:name="page78"/>
    <w:bookmarkEnd w:id="77"/>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64</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this 15th day of August, 2001.</w:t>
      </w:r>
    </w:p>
    <w:p>
      <w:pPr>
        <w:spacing w:after="0" w:line="18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4100"/>
        <w:spacing w:after="0"/>
        <w:tabs>
          <w:tab w:leader="none" w:pos="4960" w:val="left"/>
        </w:tabs>
        <w:rPr>
          <w:sz w:val="20"/>
          <w:szCs w:val="20"/>
          <w:color w:val="auto"/>
        </w:rPr>
      </w:pPr>
      <w:r>
        <w:rPr>
          <w:rFonts w:ascii="Courier New" w:cs="Courier New" w:eastAsia="Courier New" w:hAnsi="Courier New"/>
          <w:sz w:val="16"/>
          <w:szCs w:val="16"/>
          <w:color w:val="auto"/>
        </w:rPr>
        <w:t>By: /s/</w:t>
        <w:tab/>
        <w:t>BRUCE K. ANDERSON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Bruce K. Anderson</w:t>
      </w:r>
    </w:p>
    <w:p>
      <w:pPr>
        <w:spacing w:after="0" w:line="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Chief Executive Officer</w:t>
      </w:r>
    </w:p>
    <w:p>
      <w:pPr>
        <w:spacing w:after="0" w:line="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and Chairman of the Board</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375" w:lineRule="exact"/>
        <w:rPr>
          <w:sz w:val="20"/>
          <w:szCs w:val="20"/>
          <w:color w:val="auto"/>
        </w:rPr>
      </w:pPr>
    </w:p>
    <w:p>
      <w:pPr>
        <w:ind w:right="337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DATE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80" w:hanging="580"/>
        <w:spacing w:after="0"/>
        <w:tabs>
          <w:tab w:leader="none" w:pos="5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BRUCE</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w:t>
      </w:r>
    </w:p>
    <w:p>
      <w:pPr>
        <w:spacing w:after="0" w:line="6" w:lineRule="exact"/>
        <w:rPr>
          <w:rFonts w:ascii="Courier New" w:cs="Courier New" w:eastAsia="Courier New" w:hAnsi="Courier New"/>
          <w:sz w:val="16"/>
          <w:szCs w:val="16"/>
          <w:color w:val="auto"/>
        </w:rPr>
      </w:pPr>
    </w:p>
    <w:p>
      <w:pPr>
        <w:jc w:val="center"/>
        <w:ind w:right="923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ANDERSON Chairman of the Board and Chief August 15, 2001 - ---</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spacing w:after="0" w:line="6" w:lineRule="exact"/>
        <w:rPr>
          <w:rFonts w:ascii="Courier New" w:cs="Courier New" w:eastAsia="Courier New" w:hAnsi="Courier New"/>
          <w:sz w:val="16"/>
          <w:szCs w:val="16"/>
          <w:color w:val="auto"/>
        </w:rPr>
      </w:pPr>
    </w:p>
    <w:p>
      <w:pPr>
        <w:jc w:val="both"/>
        <w:ind w:left="40" w:right="929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Bruce K. Anderson Executive Officer)</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ROBERT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MINICUCCI</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6" w:lineRule="exact"/>
        <w:rPr>
          <w:rFonts w:ascii="Courier New" w:cs="Courier New" w:eastAsia="Courier New" w:hAnsi="Courier New"/>
          <w:sz w:val="16"/>
          <w:szCs w:val="16"/>
          <w:color w:val="auto"/>
        </w:rPr>
      </w:pPr>
    </w:p>
    <w:p>
      <w:pPr>
        <w:jc w:val="both"/>
        <w:ind w:right="923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Chief Financial August 15, 2001 - ---</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spacing w:after="0" w:line="6" w:lineRule="exact"/>
        <w:rPr>
          <w:rFonts w:ascii="Courier New" w:cs="Courier New" w:eastAsia="Courier New" w:hAnsi="Courier New"/>
          <w:sz w:val="16"/>
          <w:szCs w:val="16"/>
          <w:color w:val="auto"/>
        </w:rPr>
      </w:pPr>
    </w:p>
    <w:p>
      <w:pPr>
        <w:jc w:val="center"/>
        <w:ind w:right="9239" w:firstLine="4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Robert A. Minicucci and Accounting Officer)</w:t>
      </w:r>
    </w:p>
    <w:p>
      <w:pPr>
        <w:sectPr>
          <w:pgSz w:w="11900" w:h="16858" w:orient="portrait"/>
          <w:cols w:equalWidth="0" w:num="1">
            <w:col w:w="10219"/>
          </w:cols>
          <w:pgMar w:left="240" w:top="305" w:right="1440" w:bottom="0" w:gutter="0" w:footer="0" w:header="0"/>
        </w:sectPr>
      </w:pPr>
    </w:p>
    <w:bookmarkStart w:id="78" w:name="page79"/>
    <w:bookmarkEnd w:id="78"/>
    <w:p>
      <w:pPr>
        <w:jc w:val="center"/>
        <w:ind w:right="9239"/>
        <w:spacing w:after="0"/>
        <w:rPr>
          <w:sz w:val="20"/>
          <w:szCs w:val="20"/>
          <w:color w:val="auto"/>
        </w:rPr>
      </w:pPr>
      <w:r>
        <w:rPr>
          <w:rFonts w:ascii="Courier New" w:cs="Courier New" w:eastAsia="Courier New" w:hAnsi="Courier New"/>
          <w:sz w:val="16"/>
          <w:szCs w:val="16"/>
          <w:color w:val="auto"/>
        </w:rPr>
        <w:t>/s/</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AVINOAM</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NAOR</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Director</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of Amdocs</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2001 -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9239" w:firstLine="147"/>
        <w:spacing w:after="0" w:line="248" w:lineRule="auto"/>
        <w:tabs>
          <w:tab w:leader="none" w:pos="34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of</w:t>
      </w:r>
    </w:p>
    <w:p>
      <w:pPr>
        <w:spacing w:after="0" w:line="1"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Avinoam</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Naor</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Amdocs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Limited</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ADRIAN</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GARDNER</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6" w:lineRule="exact"/>
        <w:rPr>
          <w:rFonts w:ascii="Courier New" w:cs="Courier New" w:eastAsia="Courier New" w:hAnsi="Courier New"/>
          <w:sz w:val="16"/>
          <w:szCs w:val="16"/>
          <w:color w:val="auto"/>
        </w:rPr>
      </w:pPr>
    </w:p>
    <w:p>
      <w:pPr>
        <w:jc w:val="both"/>
        <w:ind w:right="9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August 15, 2001 - ---</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Adrian</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Gardner</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JAMES</w:t>
      </w:r>
    </w:p>
    <w:p>
      <w:pPr>
        <w:spacing w:after="0" w:line="6" w:lineRule="exact"/>
        <w:rPr>
          <w:rFonts w:ascii="Courier New" w:cs="Courier New" w:eastAsia="Courier New" w:hAnsi="Courier New"/>
          <w:sz w:val="16"/>
          <w:szCs w:val="16"/>
          <w:color w:val="auto"/>
        </w:rPr>
      </w:pPr>
    </w:p>
    <w:p>
      <w:pPr>
        <w:jc w:val="center"/>
        <w:ind w:right="923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 KAHAN Director August 15, 2001 - ---</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S.</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Kahan</w:t>
      </w:r>
    </w:p>
    <w:p>
      <w:pPr>
        <w:spacing w:after="0" w:line="383"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42"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6"/>
          <w:szCs w:val="16"/>
          <w:color w:val="auto"/>
        </w:rPr>
        <w:t>65</w:t>
      </w:r>
    </w:p>
    <w:p>
      <w:pPr>
        <w:spacing w:after="0" w:line="19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TITLE DATE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540" w:hanging="492"/>
        <w:spacing w:after="0"/>
        <w:tabs>
          <w:tab w:leader="none" w:pos="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 JOHN</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 MCLENNAN</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August 15,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John</w:t>
      </w:r>
    </w:p>
    <w:p>
      <w:pPr>
        <w:spacing w:after="0" w:line="7" w:lineRule="exact"/>
        <w:rPr>
          <w:sz w:val="20"/>
          <w:szCs w:val="20"/>
          <w:color w:val="auto"/>
        </w:rPr>
      </w:pPr>
    </w:p>
    <w:p>
      <w:pPr>
        <w:ind w:left="40" w:right="8899" w:firstLine="106"/>
        <w:spacing w:after="0" w:line="248" w:lineRule="auto"/>
        <w:tabs>
          <w:tab w:leader="none" w:pos="43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McLennan Director - --</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Lawrence</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Perlman</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 /s/</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MODI ROSEN</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August 15,</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Modi</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Rosen</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both"/>
        <w:ind w:left="40" w:right="88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Ron Zuckerman /s/ THOMAS G.</w:t>
      </w:r>
    </w:p>
    <w:p>
      <w:pPr>
        <w:spacing w:after="0" w:line="1"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O'BRIEN</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Amdocs</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Limited's</w:t>
      </w:r>
    </w:p>
    <w:p>
      <w:pPr>
        <w:spacing w:after="0" w:line="6" w:lineRule="exact"/>
        <w:rPr>
          <w:rFonts w:ascii="Courier New" w:cs="Courier New" w:eastAsia="Courier New" w:hAnsi="Courier New"/>
          <w:sz w:val="16"/>
          <w:szCs w:val="16"/>
          <w:color w:val="auto"/>
        </w:rPr>
      </w:pPr>
    </w:p>
    <w:p>
      <w:pPr>
        <w:jc w:val="center"/>
        <w:ind w:left="40" w:right="8899" w:firstLine="14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August 15, 2001 - ------</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center"/>
        <w:ind w:left="40" w:right="8859" w:hanging="48"/>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Representative in the United Thomas G. O'Brien States</w:t>
      </w:r>
    </w:p>
    <w:p>
      <w:pPr>
        <w:spacing w:after="0" w:line="375"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304" w:right="1440" w:bottom="1440" w:gutter="0" w:footer="0" w:header="0"/>
        </w:sectPr>
      </w:pPr>
    </w:p>
    <w:bookmarkStart w:id="80" w:name="page81"/>
    <w:bookmarkEnd w:id="80"/>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66</w:t>
      </w:r>
    </w:p>
    <w:p>
      <w:pPr>
        <w:spacing w:after="0" w:line="195"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 ----</w:t>
      </w:r>
    </w:p>
    <w:p>
      <w:pPr>
        <w:spacing w:after="0" w:line="7" w:lineRule="exact"/>
        <w:rPr>
          <w:sz w:val="20"/>
          <w:szCs w:val="20"/>
          <w:color w:val="auto"/>
        </w:rPr>
      </w:pPr>
    </w:p>
    <w:p>
      <w:pPr>
        <w:ind w:left="480" w:hanging="386"/>
        <w:spacing w:after="0"/>
        <w:tabs>
          <w:tab w:leader="none" w:pos="4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Agreement</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Plan of</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Merger dated as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of September 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1999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Ivan Acquisition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Corp. and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International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Telecommunication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Data Systems,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(Exhibit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2.1 to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Current Report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on Form 6-K</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September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10, 1999) 2.2</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Combination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February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28, 2000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Solect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 Group</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(Denmark) ApS.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Holdings ULC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Current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Report on Form</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6-K dated March</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 2000) 2.3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Securityholders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Voting Agreement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dated as of</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February 28,</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2000 among</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Solect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Technology Group</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Inc.,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(Denmark) ApS.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Holdings ULC</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2.2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Current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Report on Form</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6-K dated March</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 2000) 4.1</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Specimen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certificate for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the ordinary</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shares of the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Registrant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(Exhibit 4.1 to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Number 333-8826)</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4.2 Stock Option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and Incentive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Plan, as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amended, of</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Amdocs (Exhibit</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4.2 to Amdocs'</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333-8826) 4.3</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Note Purchase</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as of September</w:t>
      </w:r>
    </w:p>
    <w:p>
      <w:pPr>
        <w:spacing w:after="0" w:line="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22, 1997, among</w:t>
      </w:r>
    </w:p>
    <w:p>
      <w:pPr>
        <w:sectPr>
          <w:pgSz w:w="11900" w:h="16850" w:orient="portrait"/>
          <w:cols w:equalWidth="0" w:num="1">
            <w:col w:w="10219"/>
          </w:cols>
          <w:pgMar w:left="240" w:top="304" w:right="1440" w:bottom="0" w:gutter="0" w:footer="0" w:header="0"/>
        </w:sectPr>
      </w:pPr>
    </w:p>
    <w:bookmarkStart w:id="81" w:name="page82"/>
    <w:bookmarkEnd w:id="81"/>
    <w:p>
      <w:pPr>
        <w:spacing w:after="0" w:line="3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European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 Ltd.,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WCAS Capital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Partners III,</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L.P., as Agent,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the several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Purchasers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 Schedule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thereto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4.3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 4.4</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Amended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Restated Credit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June 29,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1998, among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European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Limited,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subsidiaries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Initial Lenders,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Initial Issuing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and Swing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Line Bank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NationsBank,</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Administrative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and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of Nova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Scotia,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Syndication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4.4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7, 1999;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333-75151) 4.5</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Amendment No. 1,</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dated December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16, 1999, to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Credit Agreement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among European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 Ltd.,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 other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subsidiaries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Lenders, Initial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Issuing Bank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Swing Line Bank</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Bank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America, N.A.,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Administrative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and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of Nova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Scotia,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Syndication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4.5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F-3,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14, 2000;</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333-39278) 4.6</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Letter Amendment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Waiver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February 29,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2000, to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Credit Agreement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among European</w:t>
      </w:r>
    </w:p>
    <w:p>
      <w:pPr>
        <w:sectPr>
          <w:pgSz w:w="11900" w:h="16875" w:orient="portrait"/>
          <w:cols w:equalWidth="0" w:num="1">
            <w:col w:w="10179"/>
          </w:cols>
          <w:pgMar w:left="280" w:top="142" w:right="1440" w:bottom="0" w:gutter="0" w:footer="0" w:header="0"/>
        </w:sectPr>
      </w:pPr>
    </w:p>
    <w:bookmarkStart w:id="82" w:name="page83"/>
    <w:bookmarkEnd w:id="82"/>
    <w:p>
      <w:pPr>
        <w:jc w:val="center"/>
        <w:ind w:right="8619"/>
        <w:spacing w:after="0"/>
        <w:rPr>
          <w:sz w:val="20"/>
          <w:szCs w:val="20"/>
          <w:color w:val="auto"/>
        </w:rPr>
      </w:pPr>
      <w:r>
        <w:rPr>
          <w:rFonts w:ascii="Courier New" w:cs="Courier New" w:eastAsia="Courier New" w:hAnsi="Courier New"/>
          <w:sz w:val="16"/>
          <w:szCs w:val="16"/>
          <w:color w:val="auto"/>
        </w:rPr>
        <w:t>Software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Marketing Ltd.,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 other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subsidiaries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Lenders, Initial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Issuing Bank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Swing Line Bank</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 Bank of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America, N.A.,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Administrative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and the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Bank of Nova</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Scotia, as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Syndication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Agent.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4.6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F-3,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14, 2000;</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333-39278) 4.7</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Subscription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September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22, 1997, among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 several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Investors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4.5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 4.8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Conditional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September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22, 1997, among</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 several</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investors named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therein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(Exhibit</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4.6 to 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 4.9</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Letter</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Agreement,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1997, as amended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as of May 20,</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1998, between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Welsh, Carson,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Stowe, on behalf</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of the Investors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(Exhibit 4.7 to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Form F-1 dated</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June 19, 1998;</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Registration No.</w:t>
      </w:r>
    </w:p>
    <w:p>
      <w:pPr>
        <w:spacing w:after="0" w:line="7"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333-8826)</w:t>
      </w:r>
    </w:p>
    <w:p>
      <w:pPr>
        <w:sectPr>
          <w:pgSz w:w="11900" w:h="16838" w:orient="portrait"/>
          <w:cols w:equalWidth="0" w:num="1">
            <w:col w:w="10179"/>
          </w:cols>
          <w:pgMar w:left="280" w:top="141" w:right="1440" w:bottom="1440" w:gutter="0" w:footer="0" w:header="0"/>
        </w:sectPr>
      </w:pPr>
    </w:p>
    <w:bookmarkStart w:id="83" w:name="page84"/>
    <w:bookmarkEnd w:id="83"/>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67</w:t>
      </w:r>
    </w:p>
    <w:p>
      <w:pPr>
        <w:spacing w:after="0" w:line="19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DESCRIPTION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right"/>
        <w:ind w:left="240" w:right="9039" w:hanging="46"/>
        <w:spacing w:after="0" w:line="248" w:lineRule="auto"/>
        <w:tabs>
          <w:tab w:leader="none" w:pos="77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4.10 Letter of</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Understanding,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between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Welsh,</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Carson,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Stowe,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behalf of the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named therein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4.11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Shareholders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Summary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Terms, dated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September 22,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(Exhibit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4.9 to</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4.12 Certain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proxies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executed by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investment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partnerships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affiliated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with Welsh,</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Carson,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Anderson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Stowe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certain other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entities 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favor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Conbond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Holding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Company Ltd.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4.10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 1998;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 333-8826)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4.13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Indenture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May 30,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Trust Company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New York</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6-K</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May 31,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2001) 4.14</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Registration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Rights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May 30,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2001 between</w:t>
      </w:r>
    </w:p>
    <w:p>
      <w:pPr>
        <w:sectPr>
          <w:pgSz w:w="11900" w:h="16850" w:orient="portrait"/>
          <w:cols w:equalWidth="0" w:num="1">
            <w:col w:w="10219"/>
          </w:cols>
          <w:pgMar w:left="240" w:top="305" w:right="1440" w:bottom="0" w:gutter="0" w:footer="0" w:header="0"/>
        </w:sectPr>
      </w:pPr>
    </w:p>
    <w:bookmarkStart w:id="84" w:name="page85"/>
    <w:bookmarkEnd w:id="84"/>
    <w:p>
      <w:pPr>
        <w:jc w:val="center"/>
        <w:ind w:right="8859"/>
        <w:spacing w:after="0"/>
        <w:rPr>
          <w:sz w:val="20"/>
          <w:szCs w:val="20"/>
          <w:color w:val="auto"/>
        </w:rPr>
      </w:pPr>
      <w:r>
        <w:rPr>
          <w:rFonts w:ascii="Courier New" w:cs="Courier New" w:eastAsia="Courier New" w:hAnsi="Courier New"/>
          <w:sz w:val="16"/>
          <w:szCs w:val="16"/>
          <w:color w:val="auto"/>
        </w:rPr>
        <w:t>Amdocs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Goldman,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Sachs &amp; Co.</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4.2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to Amdocs'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Form 6-K</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May 31,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2001) *5.1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Opinion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Carey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Langlois *5.2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Opinion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Reboul,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MacMurray,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Hewitt,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Maynard &amp;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Kristol *12.1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 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Computation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Ratio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Earnings to</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Fixed Charges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*23.1 Consent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*23.2 Consent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*23.3 Consent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Ernst &amp;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Young LLP,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independent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auditors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*23.4 Consent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Carey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Langlois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(included 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5.1)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*23.5 Consent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Reboul,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MacMurray,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Hewitt,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Maynard &amp;</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Kristol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(included 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 5.2)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*24.1 Powers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Attorney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(contained 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the signature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pages hereof)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*25.1 Form T-</w:t>
      </w:r>
    </w:p>
    <w:p>
      <w:pPr>
        <w:spacing w:after="0" w:line="7" w:lineRule="exact"/>
        <w:rPr>
          <w:sz w:val="20"/>
          <w:szCs w:val="20"/>
          <w:color w:val="auto"/>
        </w:rPr>
      </w:pPr>
    </w:p>
    <w:p>
      <w:pPr>
        <w:ind w:left="580" w:right="8999" w:hanging="434"/>
        <w:spacing w:after="0" w:line="248" w:lineRule="auto"/>
        <w:tabs>
          <w:tab w:leader="none" w:pos="33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Eligibility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Trustee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for Indenture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under the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Trust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Indenture Act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1939</w:t>
      </w:r>
    </w:p>
    <w:p>
      <w:pPr>
        <w:spacing w:after="0" w:line="383" w:lineRule="exact"/>
        <w:rPr>
          <w:sz w:val="20"/>
          <w:szCs w:val="20"/>
          <w:color w:val="auto"/>
        </w:rPr>
      </w:pPr>
    </w:p>
    <w:p>
      <w:pPr>
        <w:ind w:left="200" w:hanging="200"/>
        <w:spacing w:after="0"/>
        <w:tabs>
          <w:tab w:leader="none" w:pos="2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ectPr>
          <w:pgSz w:w="11900" w:h="16838" w:orient="portrait"/>
          <w:cols w:equalWidth="0" w:num="1">
            <w:col w:w="10219"/>
          </w:cols>
          <w:pgMar w:left="240" w:top="142"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5.1</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[CAREY LANGLOIS LETTERHEAD]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Hill 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 Bordage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Peter 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Island of Guernsey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Ref: NC/CB/A0774018</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August 2001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AMDOCS LIMITED: REGISTRATION STATEMENT ON FORM F-3</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acted as counsel to Amdocs Limited, a company organized and existing under the laws of Guernsey, Channel Islands (the "Company"), in connection with the registration statement on Form F-3 (the "Registration Statement"), to be filed with the Securities and Exchange Commission under the Securities Act of 1933, as amended, relating to the registration of (i) $500,000,000 of the Company's 2% convertible notes due June 1, 2008 (the "Notes") issued pursuant to that certain Indenture dated as of May 30, 2001 (the "Indenture") between the Company and United States Trust Company of New York and (ii) 5,429,350 ordinary shares, L0.01 par value (the "Shares"), of the Company issuable upon conversion of the Notes.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corporate records, and other instruments as we have deemed necessary or appropriate for the purposes of this opinion, including (i) the Amended and Restated Articles of Association and the Memorandum of Association of the Company, (ii) records and proceedings of the Board of Directors of the Company and (iii) the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the foregoing, we are of the opinion that:</w:t>
      </w:r>
    </w:p>
    <w:p>
      <w:pPr>
        <w:spacing w:after="0" w:line="195" w:lineRule="exact"/>
        <w:rPr>
          <w:sz w:val="20"/>
          <w:szCs w:val="20"/>
          <w:color w:val="auto"/>
        </w:rPr>
      </w:pPr>
    </w:p>
    <w:p>
      <w:pPr>
        <w:ind w:left="880" w:right="3079" w:hanging="880"/>
        <w:spacing w:after="0" w:line="252" w:lineRule="auto"/>
        <w:tabs>
          <w:tab w:leader="none" w:pos="8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as a corporation under the laws of Guernsey.</w:t>
      </w:r>
    </w:p>
    <w:p>
      <w:pPr>
        <w:spacing w:after="0" w:line="183" w:lineRule="exact"/>
        <w:rPr>
          <w:rFonts w:ascii="Courier New" w:cs="Courier New" w:eastAsia="Courier New" w:hAnsi="Courier New"/>
          <w:sz w:val="16"/>
          <w:szCs w:val="16"/>
          <w:color w:val="auto"/>
        </w:rPr>
      </w:pPr>
    </w:p>
    <w:p>
      <w:pPr>
        <w:ind w:left="880" w:right="2599" w:hanging="880"/>
        <w:spacing w:after="0" w:line="252" w:lineRule="auto"/>
        <w:tabs>
          <w:tab w:leader="none" w:pos="8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w:t>
      </w:r>
    </w:p>
    <w:p>
      <w:pPr>
        <w:spacing w:after="0" w:line="183" w:lineRule="exact"/>
        <w:rPr>
          <w:rFonts w:ascii="Courier New" w:cs="Courier New" w:eastAsia="Courier New" w:hAnsi="Courier New"/>
          <w:sz w:val="16"/>
          <w:szCs w:val="16"/>
          <w:color w:val="auto"/>
        </w:rPr>
      </w:pPr>
    </w:p>
    <w:p>
      <w:pPr>
        <w:ind w:left="880" w:right="2879" w:hanging="880"/>
        <w:spacing w:after="0" w:line="252" w:lineRule="auto"/>
        <w:tabs>
          <w:tab w:leader="none" w:pos="8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duly authorized, executed and delivered by the Company.</w:t>
      </w:r>
    </w:p>
    <w:p>
      <w:pPr>
        <w:spacing w:after="0" w:line="183" w:lineRule="exact"/>
        <w:rPr>
          <w:rFonts w:ascii="Courier New" w:cs="Courier New" w:eastAsia="Courier New" w:hAnsi="Courier New"/>
          <w:sz w:val="16"/>
          <w:szCs w:val="16"/>
          <w:color w:val="auto"/>
        </w:rPr>
      </w:pPr>
    </w:p>
    <w:p>
      <w:pPr>
        <w:ind w:left="880" w:right="2499" w:hanging="880"/>
        <w:spacing w:after="0" w:line="250" w:lineRule="auto"/>
        <w:tabs>
          <w:tab w:leader="none" w:pos="8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duly authorized, and the Shares, when issued upon the conversion of the Notes in accordance with the terms of the Indenture, will be validly issued, fully paid, and non-assessable.</w:t>
      </w:r>
    </w:p>
    <w:p>
      <w:pPr>
        <w:spacing w:after="0" w:line="18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We express no opinion on any law other than the law of Guernsey, Channel Islands.</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We hereby consent to the use of this opinion as an exhibit to the Registration Statement, and to the reference to our firm under "Enforceability of Civil Liabilities" and "Legal Matters" in the prospectus comprising a part of the Registration Statement. This opinion may be relied upon by Reboul, MacMurray, Hewitt, Maynard &amp; Kristol for the purposes of the opinion which they are giving in connection with the filing of the Registration Statement.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Carey Langlois</w:t>
      </w:r>
    </w:p>
    <w:p>
      <w:pPr>
        <w:spacing w:after="0" w:line="7" w:lineRule="exact"/>
        <w:rPr>
          <w:sz w:val="20"/>
          <w:szCs w:val="20"/>
          <w:color w:val="auto"/>
        </w:rPr>
      </w:pPr>
    </w:p>
    <w:p>
      <w:pPr>
        <w:ind w:left="200" w:hanging="200"/>
        <w:spacing w:after="0"/>
        <w:tabs>
          <w:tab w:leader="none" w:pos="2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Carey Langlois</w:t>
      </w:r>
    </w:p>
    <w:p>
      <w:pPr>
        <w:sectPr>
          <w:pgSz w:w="11900" w:h="16838" w:orient="portrait"/>
          <w:cols w:equalWidth="0" w:num="1">
            <w:col w:w="10219"/>
          </w:cols>
          <w:pgMar w:left="240" w:top="142"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5.2</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[REBOUL, MACMURRAY, HEWITT, MAYNARD &amp; KRISTOL LETTERHEAD]</w:t>
      </w:r>
    </w:p>
    <w:p>
      <w:pPr>
        <w:spacing w:after="0" w:line="38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August 15, 2001</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Hill 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 Bordage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Peter 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Island of Guernsey</w:t>
      </w:r>
    </w:p>
    <w:p>
      <w:pPr>
        <w:spacing w:after="0" w:line="195" w:lineRule="exact"/>
        <w:rPr>
          <w:sz w:val="20"/>
          <w:szCs w:val="20"/>
          <w:color w:val="auto"/>
        </w:rPr>
      </w:pPr>
    </w:p>
    <w:p>
      <w:pPr>
        <w:ind w:left="2160"/>
        <w:spacing w:after="0"/>
        <w:tabs>
          <w:tab w:leader="none" w:pos="282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of Notes and Shares of Amdocs Limited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399" w:firstLine="1466"/>
        <w:spacing w:after="0" w:line="249" w:lineRule="auto"/>
        <w:rPr>
          <w:sz w:val="20"/>
          <w:szCs w:val="20"/>
          <w:color w:val="auto"/>
        </w:rPr>
      </w:pPr>
      <w:r>
        <w:rPr>
          <w:rFonts w:ascii="Courier New" w:cs="Courier New" w:eastAsia="Courier New" w:hAnsi="Courier New"/>
          <w:sz w:val="16"/>
          <w:szCs w:val="16"/>
          <w:color w:val="auto"/>
        </w:rPr>
        <w:t>We have acted as counsel to Amdocs Limited, a company organized and existing under the laws of Guernsey, Channel Islands (the "Company"), in connection with the registration statement on Form F-3 (the "Registration Statement") to be filed by you with the Securities and Exchange Commission under the Securities Act of 1933, as amended, relating to the registration of (i) $500,000,000 aggregate principal amount of the Company's 2% Convertible Subordinated Notes due June 1, 2001 (the "Notes"), issued pursuant to that certain indenture dated as of May 30, 2001 (the "Indenture"), between the Company and United States Trust Company of New York, as trustee, and (ii) 5,429,350 ordinary shares, par value L0.01 per share, of the Company, issuable upon conversion of the notes (the "Shares").</w:t>
      </w:r>
    </w:p>
    <w:p>
      <w:pPr>
        <w:spacing w:after="0" w:line="187" w:lineRule="exact"/>
        <w:rPr>
          <w:sz w:val="20"/>
          <w:szCs w:val="20"/>
          <w:color w:val="auto"/>
        </w:rPr>
      </w:pPr>
    </w:p>
    <w:p>
      <w:pPr>
        <w:ind w:right="2499" w:firstLine="1466"/>
        <w:spacing w:after="0" w:line="249"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corporate records and other instruments as we have deemed necessary or appropriate for the purposes of this opinion. In making such examination, we have assumed the genuineness of all signatures, the authenticity of all documents submitted to us as originals and the conformity with originals of all documents submitted to us as copies.</w:t>
      </w:r>
    </w:p>
    <w:p>
      <w:pPr>
        <w:spacing w:after="0" w:line="187" w:lineRule="exact"/>
        <w:rPr>
          <w:sz w:val="20"/>
          <w:szCs w:val="20"/>
          <w:color w:val="auto"/>
        </w:rPr>
      </w:pPr>
    </w:p>
    <w:p>
      <w:pPr>
        <w:ind w:right="2399" w:firstLine="1466"/>
        <w:spacing w:after="0" w:line="249" w:lineRule="auto"/>
        <w:rPr>
          <w:sz w:val="20"/>
          <w:szCs w:val="20"/>
          <w:color w:val="auto"/>
        </w:rPr>
      </w:pPr>
      <w:r>
        <w:rPr>
          <w:rFonts w:ascii="Courier New" w:cs="Courier New" w:eastAsia="Courier New" w:hAnsi="Courier New"/>
          <w:sz w:val="16"/>
          <w:szCs w:val="16"/>
          <w:color w:val="auto"/>
        </w:rPr>
        <w:t>On the basis of such examination, our reliance upon the assumptions in this opinion and our consideration of those questions of law we considered relevant, and subject to the limitations and qualifications in this opinion, we are of the opinion that the Notes constitute legally valid and binding obligations of the Company, enforceable against the Company in accordance with their terms, except (i) as the enforceability thereof may be limited by bankruptcy, fraudulent conveyance, insolvency, reorganization, moratorium or other similar laws affecting creditors' rights generally, (ii) for general principles of equity (regardless of whether enforcement is brought in a proceeding at law or in equity) and (iii) that the waiver as to stay, extension or usury laws may not be enforceable.</w:t>
      </w:r>
    </w:p>
    <w:p>
      <w:pPr>
        <w:spacing w:after="0" w:line="187" w:lineRule="exact"/>
        <w:rPr>
          <w:sz w:val="20"/>
          <w:szCs w:val="20"/>
          <w:color w:val="auto"/>
        </w:rPr>
      </w:pPr>
    </w:p>
    <w:p>
      <w:pPr>
        <w:jc w:val="both"/>
        <w:ind w:right="2399" w:firstLine="1466"/>
        <w:spacing w:after="0" w:line="250" w:lineRule="auto"/>
        <w:rPr>
          <w:sz w:val="20"/>
          <w:szCs w:val="20"/>
          <w:color w:val="auto"/>
        </w:rPr>
      </w:pPr>
      <w:r>
        <w:rPr>
          <w:rFonts w:ascii="Courier New" w:cs="Courier New" w:eastAsia="Courier New" w:hAnsi="Courier New"/>
          <w:sz w:val="16"/>
          <w:szCs w:val="16"/>
          <w:color w:val="auto"/>
        </w:rPr>
        <w:t>We are admitted to practice only in the State of New York, and we express no opinion as to matters governed by any laws other than the laws of the State of New York and the Federal law of the United States of America.</w:t>
      </w:r>
    </w:p>
    <w:p>
      <w:pPr>
        <w:spacing w:after="0" w:line="185" w:lineRule="exact"/>
        <w:rPr>
          <w:sz w:val="20"/>
          <w:szCs w:val="20"/>
          <w:color w:val="auto"/>
        </w:rPr>
      </w:pPr>
    </w:p>
    <w:p>
      <w:pPr>
        <w:jc w:val="both"/>
        <w:ind w:right="2399" w:firstLine="1466"/>
        <w:spacing w:after="0" w:line="250" w:lineRule="auto"/>
        <w:rPr>
          <w:sz w:val="20"/>
          <w:szCs w:val="20"/>
          <w:color w:val="auto"/>
        </w:rPr>
      </w:pPr>
      <w:r>
        <w:rPr>
          <w:rFonts w:ascii="Courier New" w:cs="Courier New" w:eastAsia="Courier New" w:hAnsi="Courier New"/>
          <w:sz w:val="16"/>
          <w:szCs w:val="16"/>
          <w:color w:val="auto"/>
        </w:rPr>
        <w:t>We hereby consent to the use of this opinion in the Registration Statement and to the reference to this firm under the heading "Legal Matters" in the prospectus constituting part of the Registration Statement.</w:t>
      </w:r>
    </w:p>
    <w:p>
      <w:pPr>
        <w:spacing w:after="0" w:line="37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Very truly yours,</w:t>
      </w:r>
    </w:p>
    <w:p>
      <w:pPr>
        <w:spacing w:after="0" w:line="383"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 REBOUL, MACMURRAY, HEWITT,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MAYNARD &amp; KRISTOL</w:t>
      </w:r>
    </w:p>
    <w:p>
      <w:pPr>
        <w:sectPr>
          <w:pgSz w:w="11900" w:h="16838" w:orient="portrait"/>
          <w:cols w:equalWidth="0" w:num="1">
            <w:col w:w="10219"/>
          </w:cols>
          <w:pgMar w:left="240" w:top="142"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Exhibit 12.1</w:t>
      </w:r>
    </w:p>
    <w:p>
      <w:pPr>
        <w:spacing w:after="0" w:line="7" w:lineRule="exact"/>
        <w:rPr>
          <w:sz w:val="20"/>
          <w:szCs w:val="20"/>
          <w:color w:val="auto"/>
        </w:rPr>
      </w:pPr>
    </w:p>
    <w:p>
      <w:pPr>
        <w:jc w:val="center"/>
        <w:ind w:right="4680"/>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0"/>
          <w:szCs w:val="20"/>
          <w:color w:val="auto"/>
        </w:rPr>
      </w:pPr>
    </w:p>
    <w:p>
      <w:pPr>
        <w:jc w:val="center"/>
        <w:ind w:right="4680"/>
        <w:spacing w:after="0"/>
        <w:rPr>
          <w:sz w:val="20"/>
          <w:szCs w:val="20"/>
          <w:color w:val="auto"/>
        </w:rPr>
      </w:pPr>
      <w:r>
        <w:rPr>
          <w:rFonts w:ascii="Courier New" w:cs="Courier New" w:eastAsia="Courier New" w:hAnsi="Courier New"/>
          <w:sz w:val="16"/>
          <w:szCs w:val="16"/>
          <w:color w:val="auto"/>
        </w:rPr>
        <w:t>Computation of Ration of Earnings to Fixed Charges</w:t>
      </w:r>
    </w:p>
    <w:p>
      <w:pPr>
        <w:spacing w:after="0" w:line="7" w:lineRule="exact"/>
        <w:rPr>
          <w:sz w:val="20"/>
          <w:szCs w:val="20"/>
          <w:color w:val="auto"/>
        </w:rPr>
      </w:pPr>
    </w:p>
    <w:p>
      <w:pPr>
        <w:jc w:val="center"/>
        <w:ind w:right="4680"/>
        <w:spacing w:after="0"/>
        <w:rPr>
          <w:sz w:val="20"/>
          <w:szCs w:val="20"/>
          <w:color w:val="auto"/>
        </w:rPr>
      </w:pPr>
      <w:r>
        <w:rPr>
          <w:rFonts w:ascii="Courier New" w:cs="Courier New" w:eastAsia="Courier New" w:hAnsi="Courier New"/>
          <w:sz w:val="16"/>
          <w:szCs w:val="16"/>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June 30,</w:t>
            </w:r>
          </w:p>
        </w:tc>
        <w:tc>
          <w:tcPr>
            <w:tcW w:w="370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Year ended September 30,</w:t>
            </w:r>
          </w:p>
        </w:tc>
      </w:tr>
      <w:tr>
        <w:trPr>
          <w:trHeight w:val="188"/>
        </w:trPr>
        <w:tc>
          <w:tcPr>
            <w:tcW w:w="4100" w:type="dxa"/>
            <w:vAlign w:val="bottom"/>
          </w:tcPr>
          <w:p>
            <w:pPr>
              <w:spacing w:after="0"/>
              <w:rPr>
                <w:sz w:val="16"/>
                <w:szCs w:val="16"/>
                <w:color w:val="auto"/>
              </w:rPr>
            </w:pPr>
          </w:p>
        </w:tc>
        <w:tc>
          <w:tcPr>
            <w:tcW w:w="37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 forma</w:t>
            </w:r>
          </w:p>
        </w:tc>
        <w:tc>
          <w:tcPr>
            <w:tcW w:w="92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Actual</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Pro forma</w:t>
            </w:r>
          </w:p>
        </w:tc>
        <w:tc>
          <w:tcPr>
            <w:tcW w:w="8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7"/>
              </w:rPr>
              <w:t>Actual</w:t>
            </w:r>
          </w:p>
        </w:tc>
      </w:tr>
      <w:tr>
        <w:trPr>
          <w:trHeight w:val="188"/>
        </w:trPr>
        <w:tc>
          <w:tcPr>
            <w:tcW w:w="410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2001</w:t>
            </w: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4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(Unaudited)</w:t>
            </w: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Pre-tax income from continuing operations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116,305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125,638</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59,187</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70,858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84,858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140,775</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9,785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3,118</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2,033</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12,528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2,528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5,654</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Amortization of debt issuance costs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Interest portion of rental expense</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8,297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8,297</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4,537</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4,200</w:t>
            </w:r>
          </w:p>
        </w:tc>
      </w:tr>
      <w:tr>
        <w:trPr>
          <w:trHeight w:val="376"/>
        </w:trPr>
        <w:tc>
          <w:tcPr>
            <w:tcW w:w="4100" w:type="dxa"/>
            <w:vAlign w:val="bottom"/>
          </w:tcPr>
          <w:p>
            <w:pPr>
              <w:spacing w:after="0"/>
              <w:rPr>
                <w:sz w:val="24"/>
                <w:szCs w:val="24"/>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Pre-tax income from continuing operations</w:t>
            </w: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plus fixed charges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137,386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137,386</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65,757</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94,186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94,186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150,629</w:t>
            </w:r>
          </w:p>
        </w:tc>
      </w:tr>
      <w:tr>
        <w:trPr>
          <w:trHeight w:val="376"/>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9,785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3,118</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2,033</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12,528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2,528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5,654</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Amortization of debt issuance costs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Interest portion of rental expense</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8,297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8,297</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4,537</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4,200</w:t>
            </w:r>
          </w:p>
        </w:tc>
      </w:tr>
      <w:tr>
        <w:trPr>
          <w:trHeight w:val="376"/>
        </w:trPr>
        <w:tc>
          <w:tcPr>
            <w:tcW w:w="4100" w:type="dxa"/>
            <w:vAlign w:val="bottom"/>
          </w:tcPr>
          <w:p>
            <w:pPr>
              <w:spacing w:after="0"/>
              <w:rPr>
                <w:sz w:val="24"/>
                <w:szCs w:val="24"/>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21,082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11,748</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6,570</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23,328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9,328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9,854</w:t>
            </w:r>
          </w:p>
        </w:tc>
      </w:tr>
      <w:tr>
        <w:trPr>
          <w:trHeight w:val="376"/>
        </w:trPr>
        <w:tc>
          <w:tcPr>
            <w:tcW w:w="41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11.69</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10.01</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15.29</w:t>
            </w:r>
          </w:p>
        </w:tc>
      </w:tr>
      <w:tr>
        <w:trPr>
          <w:trHeight w:val="188"/>
        </w:trPr>
        <w:tc>
          <w:tcPr>
            <w:tcW w:w="410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380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Year ended September 30,</w:t>
            </w:r>
          </w:p>
        </w:tc>
      </w:tr>
      <w:tr>
        <w:trPr>
          <w:trHeight w:val="188"/>
        </w:trPr>
        <w:tc>
          <w:tcPr>
            <w:tcW w:w="460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Actual</w:t>
            </w:r>
          </w:p>
        </w:tc>
        <w:tc>
          <w:tcPr>
            <w:tcW w:w="980" w:type="dxa"/>
            <w:vAlign w:val="bottom"/>
          </w:tcPr>
          <w:p>
            <w:pPr>
              <w:spacing w:after="0"/>
              <w:rPr>
                <w:sz w:val="16"/>
                <w:szCs w:val="16"/>
                <w:color w:val="auto"/>
              </w:rPr>
            </w:pPr>
          </w:p>
        </w:tc>
      </w:tr>
      <w:tr>
        <w:trPr>
          <w:trHeight w:val="188"/>
        </w:trPr>
        <w:tc>
          <w:tcPr>
            <w:tcW w:w="46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6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Pre-tax income from continuing operations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60,769</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23,703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35,014</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24,267</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1,291</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debt issuance costs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portion of rental expense</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2,667</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r>
      <w:tr>
        <w:trPr>
          <w:trHeight w:val="376"/>
        </w:trPr>
        <w:tc>
          <w:tcPr>
            <w:tcW w:w="4600" w:type="dxa"/>
            <w:vAlign w:val="bottom"/>
          </w:tcPr>
          <w:p>
            <w:pPr>
              <w:spacing w:after="0"/>
              <w:rPr>
                <w:sz w:val="24"/>
                <w:szCs w:val="24"/>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Pre-tax income from continuing operations</w:t>
            </w: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plus fixed charges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87,703</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26,484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37,938</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24,267</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1,291</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debt issuance costs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portion of rental expense</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2,667</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r>
      <w:tr>
        <w:trPr>
          <w:trHeight w:val="376"/>
        </w:trPr>
        <w:tc>
          <w:tcPr>
            <w:tcW w:w="4600" w:type="dxa"/>
            <w:vAlign w:val="bottom"/>
          </w:tcPr>
          <w:p>
            <w:pPr>
              <w:spacing w:after="0"/>
              <w:rPr>
                <w:sz w:val="24"/>
                <w:szCs w:val="24"/>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6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26,934</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2,781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2,924</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3.26</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9.52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12.97</w:t>
            </w:r>
          </w:p>
        </w:tc>
      </w:tr>
      <w:tr>
        <w:trPr>
          <w:trHeight w:val="188"/>
        </w:trPr>
        <w:tc>
          <w:tcPr>
            <w:tcW w:w="46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142" w:right="139"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23.1</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reference to our firm under the caption "Experts" in the</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Registration Statement (Form F-3 No. 333- ) and the related prospectus of Amdocs Limited for the registration of $500,000,000 of 2% Convertible Notes due June 1, 2008 and 5,429,350 shares of its ordinary shares and to the incorporation by reference therein of our report dated November 2, 2000 with respect to the consolidated financial statements and schedule of Amdocs Limited included in its Annual Report (Form 20-F/A), filed with the Securities Exchange Commission on April 3, 2001.</w:t>
      </w:r>
    </w:p>
    <w:p>
      <w:pPr>
        <w:spacing w:after="0" w:line="18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2001</w:t>
      </w:r>
    </w:p>
    <w:p>
      <w:pPr>
        <w:sectPr>
          <w:pgSz w:w="11900" w:h="16838" w:orient="portrait"/>
          <w:cols w:equalWidth="0" w:num="1">
            <w:col w:w="10219"/>
          </w:cols>
          <w:pgMar w:left="240" w:top="142"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23.2</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reference to our firm under the caption "Experts" in the</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Registration Statement (Form F-3 No. 333- ) and the related prospectus of Amdocs Limited for the registration of $500,000,000 of 2% Convertible Notes due June 1, 2008 and 5,429,350 shares of its ordinary shares and to the incorporation by reference therein of our report dated February 16, 1999 with respect to the consolidated financial statements and schedules of International Telecommunications Data Systems, Inc. included in the Registration Statement (Form F-3 No. 333-86609) and related prospectus of Amdocs Limited for the registration of 20,700,000 shares of its ordinary shares filed with the Securities Exchange Commission on October 4, 1999 and incorporated herein by reference from its Report of Foreign Private Issuer (Form 6-K) filed with the Securities Exchange Commission on December 13, 1999.</w:t>
      </w:r>
    </w:p>
    <w:p>
      <w:pPr>
        <w:spacing w:after="0" w:line="18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2001</w:t>
      </w:r>
    </w:p>
    <w:p>
      <w:pPr>
        <w:sectPr>
          <w:pgSz w:w="11900" w:h="16838" w:orient="portrait"/>
          <w:cols w:equalWidth="0" w:num="1">
            <w:col w:w="10219"/>
          </w:cols>
          <w:pgMar w:left="240" w:top="142"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23.3</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reference to our firm under the caption "Experts" in the</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Registration Statement (Form F-3 No. 333- ) and the related prospectus of Amdocs Limited for the registration of $500,000,000 of 2% Convertible Notes due June 1, 2008 and 5,429,350 shares of its ordinary shares and to the incorporation by reference therein of our report dated October 15, 1999 with respect to the consolidated financial statements of Solect Technology Group Inc. included in Amendment No. 1 to the Report of Foreign Private Issuer on Form 6-K/A of Amdocs Limited, filed with the Securities Exchange Commission on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8, 2000.</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Chartered Accountants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2001</w:t>
      </w:r>
    </w:p>
    <w:p>
      <w:pPr>
        <w:sectPr>
          <w:pgSz w:w="11900" w:h="16838" w:orient="portrait"/>
          <w:cols w:equalWidth="0" w:num="1">
            <w:col w:w="10219"/>
          </w:cols>
          <w:pgMar w:left="240" w:top="142" w:right="1440" w:bottom="1440" w:gutter="0" w:footer="0" w:header="0"/>
        </w:sectPr>
      </w:pPr>
    </w:p>
    <w:bookmarkStart w:id="91" w:name="page92"/>
    <w:bookmarkEnd w:id="91"/>
    <w:p>
      <w:pPr>
        <w:ind w:left="1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25.1</w:t>
      </w:r>
    </w:p>
    <w:p>
      <w:pPr>
        <w:spacing w:after="0" w:line="38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T-1</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STATEMENT OF ELIGIBILITY</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UNDER THE TRUST INDENTURE ACT OF 1939 OF</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 CORPORATION DESIGNATED TO ACT AS TRUSTEE</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CHECK IF AN APPLICATION TO DETERMINE</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ELIGIBILITY OF A TRUSTEE PURSUANT TO</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SECTION 305(b)(2) _______</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STATES TRUST COMPANY OF NEW YORK</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(Exact name of trustee as specified in its charter)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New York</w:t>
            </w:r>
          </w:p>
        </w:tc>
        <w:tc>
          <w:tcPr>
            <w:tcW w:w="2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13-3818954</w:t>
            </w:r>
          </w:p>
        </w:tc>
      </w:tr>
      <w:tr>
        <w:trPr>
          <w:trHeight w:val="188"/>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(Jurisdiction of incorporation</w:t>
            </w:r>
          </w:p>
        </w:tc>
        <w:tc>
          <w:tcPr>
            <w:tcW w:w="21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if not a U.S. national bank)</w:t>
            </w:r>
          </w:p>
        </w:tc>
        <w:tc>
          <w:tcPr>
            <w:tcW w:w="2160" w:type="dxa"/>
            <w:vAlign w:val="bottom"/>
          </w:tcPr>
          <w:p>
            <w:pPr>
              <w:ind w:left="300"/>
              <w:spacing w:after="0"/>
              <w:rPr>
                <w:sz w:val="20"/>
                <w:szCs w:val="20"/>
                <w:color w:val="auto"/>
              </w:rPr>
            </w:pPr>
            <w:r>
              <w:rPr>
                <w:rFonts w:ascii="Courier New" w:cs="Courier New" w:eastAsia="Courier New" w:hAnsi="Courier New"/>
                <w:sz w:val="16"/>
                <w:szCs w:val="16"/>
                <w:color w:val="auto"/>
              </w:rPr>
              <w:t>identification No.)</w:t>
            </w:r>
          </w:p>
        </w:tc>
      </w:tr>
      <w:tr>
        <w:trPr>
          <w:trHeight w:val="564"/>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114 West 47th Street</w:t>
            </w:r>
          </w:p>
        </w:tc>
        <w:tc>
          <w:tcPr>
            <w:tcW w:w="2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10036-1532</w:t>
            </w:r>
          </w:p>
        </w:tc>
      </w:tr>
      <w:tr>
        <w:trPr>
          <w:trHeight w:val="188"/>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New York, NY</w:t>
            </w:r>
          </w:p>
        </w:tc>
        <w:tc>
          <w:tcPr>
            <w:tcW w:w="2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(Zip Code)</w:t>
            </w:r>
          </w:p>
        </w:tc>
      </w:tr>
      <w:tr>
        <w:trPr>
          <w:trHeight w:val="188"/>
        </w:trPr>
        <w:tc>
          <w:tcPr>
            <w:tcW w:w="4880" w:type="dxa"/>
            <w:vAlign w:val="bottom"/>
          </w:tcPr>
          <w:p>
            <w:pPr>
              <w:jc w:val="center"/>
              <w:ind w:right="799"/>
              <w:spacing w:after="0"/>
              <w:rPr>
                <w:sz w:val="20"/>
                <w:szCs w:val="20"/>
                <w:color w:val="auto"/>
              </w:rPr>
            </w:pPr>
            <w:r>
              <w:rPr>
                <w:rFonts w:ascii="Courier New" w:cs="Courier New" w:eastAsia="Courier New" w:hAnsi="Courier New"/>
                <w:sz w:val="16"/>
                <w:szCs w:val="16"/>
                <w:color w:val="auto"/>
              </w:rPr>
              <w:t>(Address of principal</w:t>
            </w:r>
          </w:p>
        </w:tc>
        <w:tc>
          <w:tcPr>
            <w:tcW w:w="2160" w:type="dxa"/>
            <w:vAlign w:val="bottom"/>
          </w:tcPr>
          <w:p>
            <w:pPr>
              <w:spacing w:after="0"/>
              <w:rPr>
                <w:sz w:val="16"/>
                <w:szCs w:val="16"/>
                <w:color w:val="auto"/>
              </w:rPr>
            </w:pPr>
          </w:p>
        </w:tc>
      </w:tr>
      <w:tr>
        <w:trPr>
          <w:trHeight w:val="188"/>
        </w:trPr>
        <w:tc>
          <w:tcPr>
            <w:tcW w:w="4880" w:type="dxa"/>
            <w:vAlign w:val="bottom"/>
          </w:tcPr>
          <w:p>
            <w:pPr>
              <w:jc w:val="center"/>
              <w:ind w:right="879"/>
              <w:spacing w:after="0"/>
              <w:rPr>
                <w:sz w:val="20"/>
                <w:szCs w:val="20"/>
                <w:color w:val="auto"/>
              </w:rPr>
            </w:pPr>
            <w:r>
              <w:rPr>
                <w:rFonts w:ascii="Courier New" w:cs="Courier New" w:eastAsia="Courier New" w:hAnsi="Courier New"/>
                <w:sz w:val="16"/>
                <w:szCs w:val="16"/>
                <w:color w:val="auto"/>
              </w:rPr>
              <w:t>executive offices)</w:t>
            </w:r>
          </w:p>
        </w:tc>
        <w:tc>
          <w:tcPr>
            <w:tcW w:w="2160" w:type="dxa"/>
            <w:vAlign w:val="bottom"/>
          </w:tcPr>
          <w:p>
            <w:pPr>
              <w:spacing w:after="0"/>
              <w:rPr>
                <w:sz w:val="16"/>
                <w:szCs w:val="16"/>
                <w:color w:val="auto"/>
              </w:rPr>
            </w:pPr>
          </w:p>
        </w:tc>
      </w:tr>
      <w:tr>
        <w:trPr>
          <w:trHeight w:val="376"/>
        </w:trPr>
        <w:tc>
          <w:tcPr>
            <w:tcW w:w="4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spacing w:after="0"/>
              <w:rPr>
                <w:sz w:val="24"/>
                <w:szCs w:val="24"/>
                <w:color w:val="auto"/>
              </w:rPr>
            </w:pPr>
          </w:p>
        </w:tc>
      </w:tr>
      <w:tr>
        <w:trPr>
          <w:trHeight w:val="564"/>
        </w:trPr>
        <w:tc>
          <w:tcPr>
            <w:tcW w:w="4880" w:type="dxa"/>
            <w:vAlign w:val="bottom"/>
          </w:tcPr>
          <w:p>
            <w:pPr>
              <w:jc w:val="center"/>
              <w:ind w:left="2459"/>
              <w:spacing w:after="0"/>
              <w:rPr>
                <w:sz w:val="20"/>
                <w:szCs w:val="20"/>
                <w:color w:val="auto"/>
              </w:rPr>
            </w:pPr>
            <w:r>
              <w:rPr>
                <w:rFonts w:ascii="Courier New" w:cs="Courier New" w:eastAsia="Courier New" w:hAnsi="Courier New"/>
                <w:sz w:val="16"/>
                <w:szCs w:val="16"/>
                <w:color w:val="auto"/>
              </w:rPr>
              <w:t>AMDOCS LIMITED</w:t>
            </w:r>
          </w:p>
        </w:tc>
        <w:tc>
          <w:tcPr>
            <w:tcW w:w="2160" w:type="dxa"/>
            <w:vAlign w:val="bottom"/>
          </w:tcPr>
          <w:p>
            <w:pPr>
              <w:spacing w:after="0"/>
              <w:rPr>
                <w:sz w:val="24"/>
                <w:szCs w:val="24"/>
                <w:color w:val="auto"/>
              </w:rPr>
            </w:pPr>
          </w:p>
        </w:tc>
      </w:tr>
      <w:tr>
        <w:trPr>
          <w:trHeight w:val="188"/>
        </w:trPr>
        <w:tc>
          <w:tcPr>
            <w:tcW w:w="704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(Exact name of obligor as specified in its charter)</w:t>
            </w:r>
          </w:p>
        </w:tc>
      </w:tr>
      <w:tr>
        <w:trPr>
          <w:trHeight w:val="376"/>
        </w:trPr>
        <w:tc>
          <w:tcPr>
            <w:tcW w:w="4880" w:type="dxa"/>
            <w:vAlign w:val="bottom"/>
          </w:tcPr>
          <w:p>
            <w:pPr>
              <w:jc w:val="center"/>
              <w:ind w:right="879"/>
              <w:spacing w:after="0"/>
              <w:rPr>
                <w:sz w:val="20"/>
                <w:szCs w:val="20"/>
                <w:color w:val="auto"/>
              </w:rPr>
            </w:pPr>
            <w:r>
              <w:rPr>
                <w:rFonts w:ascii="Courier New" w:cs="Courier New" w:eastAsia="Courier New" w:hAnsi="Courier New"/>
                <w:sz w:val="16"/>
                <w:szCs w:val="16"/>
                <w:color w:val="auto"/>
              </w:rPr>
              <w:t>Island of Guernsey</w:t>
            </w:r>
          </w:p>
        </w:tc>
        <w:tc>
          <w:tcPr>
            <w:tcW w:w="21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foreign entity</w:t>
            </w:r>
          </w:p>
        </w:tc>
      </w:tr>
      <w:tr>
        <w:trPr>
          <w:trHeight w:val="188"/>
        </w:trPr>
        <w:tc>
          <w:tcPr>
            <w:tcW w:w="4880" w:type="dxa"/>
            <w:vAlign w:val="bottom"/>
          </w:tcPr>
          <w:p>
            <w:pPr>
              <w:ind w:left="380"/>
              <w:spacing w:after="0"/>
              <w:rPr>
                <w:sz w:val="20"/>
                <w:szCs w:val="20"/>
                <w:color w:val="auto"/>
              </w:rPr>
            </w:pPr>
            <w:r>
              <w:rPr>
                <w:rFonts w:ascii="Courier New" w:cs="Courier New" w:eastAsia="Courier New" w:hAnsi="Courier New"/>
                <w:sz w:val="16"/>
                <w:szCs w:val="16"/>
                <w:color w:val="auto"/>
              </w:rPr>
              <w:t>(State or other jurisdiction of</w:t>
            </w:r>
          </w:p>
        </w:tc>
        <w:tc>
          <w:tcPr>
            <w:tcW w:w="21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incorporation or organization)</w:t>
            </w:r>
          </w:p>
        </w:tc>
        <w:tc>
          <w:tcPr>
            <w:tcW w:w="2160" w:type="dxa"/>
            <w:vAlign w:val="bottom"/>
          </w:tcPr>
          <w:p>
            <w:pPr>
              <w:ind w:left="300"/>
              <w:spacing w:after="0"/>
              <w:rPr>
                <w:sz w:val="20"/>
                <w:szCs w:val="20"/>
                <w:color w:val="auto"/>
              </w:rPr>
            </w:pPr>
            <w:r>
              <w:rPr>
                <w:rFonts w:ascii="Courier New" w:cs="Courier New" w:eastAsia="Courier New" w:hAnsi="Courier New"/>
                <w:sz w:val="16"/>
                <w:szCs w:val="16"/>
                <w:color w:val="auto"/>
              </w:rPr>
              <w:t>identification No.)</w:t>
            </w:r>
          </w:p>
        </w:tc>
      </w:tr>
      <w:tr>
        <w:trPr>
          <w:trHeight w:val="564"/>
        </w:trPr>
        <w:tc>
          <w:tcPr>
            <w:tcW w:w="4880" w:type="dxa"/>
            <w:vAlign w:val="bottom"/>
          </w:tcPr>
          <w:p>
            <w:pPr>
              <w:jc w:val="center"/>
              <w:ind w:right="799"/>
              <w:spacing w:after="0"/>
              <w:rPr>
                <w:sz w:val="20"/>
                <w:szCs w:val="20"/>
                <w:color w:val="auto"/>
              </w:rPr>
            </w:pPr>
            <w:r>
              <w:rPr>
                <w:rFonts w:ascii="Courier New" w:cs="Courier New" w:eastAsia="Courier New" w:hAnsi="Courier New"/>
                <w:sz w:val="16"/>
                <w:szCs w:val="16"/>
                <w:color w:val="auto"/>
              </w:rPr>
              <w:t>Tower Hill House Le Bordage</w:t>
            </w:r>
          </w:p>
        </w:tc>
        <w:tc>
          <w:tcPr>
            <w:tcW w:w="2160" w:type="dxa"/>
            <w:vAlign w:val="bottom"/>
          </w:tcPr>
          <w:p>
            <w:pPr>
              <w:spacing w:after="0"/>
              <w:rPr>
                <w:sz w:val="24"/>
                <w:szCs w:val="24"/>
                <w:color w:val="auto"/>
              </w:rPr>
            </w:pPr>
          </w:p>
        </w:tc>
      </w:tr>
      <w:tr>
        <w:trPr>
          <w:trHeight w:val="188"/>
        </w:trPr>
        <w:tc>
          <w:tcPr>
            <w:tcW w:w="4880" w:type="dxa"/>
            <w:vAlign w:val="bottom"/>
          </w:tcPr>
          <w:p>
            <w:pPr>
              <w:jc w:val="center"/>
              <w:ind w:right="799"/>
              <w:spacing w:after="0"/>
              <w:rPr>
                <w:sz w:val="20"/>
                <w:szCs w:val="20"/>
                <w:color w:val="auto"/>
              </w:rPr>
            </w:pPr>
            <w:r>
              <w:rPr>
                <w:rFonts w:ascii="Courier New" w:cs="Courier New" w:eastAsia="Courier New" w:hAnsi="Courier New"/>
                <w:sz w:val="16"/>
                <w:szCs w:val="16"/>
                <w:color w:val="auto"/>
              </w:rPr>
              <w:t>St. Peter Port,</w:t>
            </w:r>
          </w:p>
        </w:tc>
        <w:tc>
          <w:tcPr>
            <w:tcW w:w="2160" w:type="dxa"/>
            <w:vAlign w:val="bottom"/>
          </w:tcPr>
          <w:p>
            <w:pPr>
              <w:spacing w:after="0"/>
              <w:rPr>
                <w:sz w:val="16"/>
                <w:szCs w:val="16"/>
                <w:color w:val="auto"/>
              </w:rPr>
            </w:pPr>
          </w:p>
        </w:tc>
      </w:tr>
      <w:tr>
        <w:trPr>
          <w:trHeight w:val="188"/>
        </w:trPr>
        <w:tc>
          <w:tcPr>
            <w:tcW w:w="4880" w:type="dxa"/>
            <w:vAlign w:val="bottom"/>
          </w:tcPr>
          <w:p>
            <w:pPr>
              <w:jc w:val="center"/>
              <w:ind w:right="819"/>
              <w:spacing w:after="0"/>
              <w:rPr>
                <w:sz w:val="20"/>
                <w:szCs w:val="20"/>
                <w:color w:val="auto"/>
              </w:rPr>
            </w:pPr>
            <w:r>
              <w:rPr>
                <w:rFonts w:ascii="Courier New" w:cs="Courier New" w:eastAsia="Courier New" w:hAnsi="Courier New"/>
                <w:sz w:val="16"/>
                <w:szCs w:val="16"/>
                <w:color w:val="auto"/>
              </w:rPr>
              <w:t>Island of Guernsey, Channel Islands</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GY1 3QT</w:t>
            </w:r>
          </w:p>
        </w:tc>
      </w:tr>
      <w:tr>
        <w:trPr>
          <w:trHeight w:val="188"/>
        </w:trPr>
        <w:tc>
          <w:tcPr>
            <w:tcW w:w="488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(Address of principal executive offices)</w:t>
            </w:r>
          </w:p>
        </w:tc>
        <w:tc>
          <w:tcPr>
            <w:tcW w:w="2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(Zip Code)</w:t>
            </w:r>
          </w:p>
        </w:tc>
      </w:tr>
    </w:tbl>
    <w:p>
      <w:pPr>
        <w:spacing w:after="0" w:line="19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2% Convertible Notes due 2008</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(Title of the indenture securities)</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t1-edgar. 1</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t-1,</w:t>
      </w:r>
    </w:p>
    <w:p>
      <w:pPr>
        <w:sectPr>
          <w:pgSz w:w="11900" w:h="16838" w:orient="portrait"/>
          <w:cols w:equalWidth="0" w:num="1">
            <w:col w:w="10019"/>
          </w:cols>
          <w:pgMar w:left="440" w:top="142"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- 2 -</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GENERAL</w:t>
      </w:r>
    </w:p>
    <w:p>
      <w:pPr>
        <w:spacing w:after="0" w:line="383" w:lineRule="exact"/>
        <w:rPr>
          <w:sz w:val="20"/>
          <w:szCs w:val="20"/>
          <w:color w:val="auto"/>
        </w:rPr>
      </w:pPr>
    </w:p>
    <w:p>
      <w:pPr>
        <w:ind w:left="400" w:hanging="400"/>
        <w:spacing w:after="0"/>
        <w:tabs>
          <w:tab w:leader="none" w:pos="4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INFORMATION</w:t>
      </w:r>
    </w:p>
    <w:p>
      <w:pPr>
        <w:spacing w:after="0" w:line="194"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the following information as to the trustee:</w:t>
      </w:r>
    </w:p>
    <w:p>
      <w:pPr>
        <w:spacing w:after="0" w:line="195" w:lineRule="exact"/>
        <w:rPr>
          <w:sz w:val="20"/>
          <w:szCs w:val="20"/>
          <w:color w:val="auto"/>
        </w:rPr>
      </w:pPr>
    </w:p>
    <w:p>
      <w:pPr>
        <w:ind w:left="780" w:right="2499" w:hanging="389"/>
        <w:spacing w:after="0" w:line="252" w:lineRule="auto"/>
        <w:tabs>
          <w:tab w:leader="none" w:pos="7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3" w:lineRule="exact"/>
        <w:rPr>
          <w:sz w:val="20"/>
          <w:szCs w:val="20"/>
          <w:color w:val="auto"/>
        </w:rPr>
      </w:pPr>
    </w:p>
    <w:p>
      <w:pPr>
        <w:ind w:left="1460" w:right="2599" w:hanging="390"/>
        <w:spacing w:after="0" w:line="248" w:lineRule="auto"/>
        <w:rPr>
          <w:sz w:val="20"/>
          <w:szCs w:val="20"/>
          <w:color w:val="auto"/>
        </w:rPr>
      </w:pPr>
      <w:r>
        <w:rPr>
          <w:rFonts w:ascii="Courier New" w:cs="Courier New" w:eastAsia="Courier New" w:hAnsi="Courier New"/>
          <w:sz w:val="16"/>
          <w:szCs w:val="16"/>
          <w:color w:val="auto"/>
        </w:rPr>
        <w:t>Federal Reserve Bank of New York (2nd District), New York, New York (Board of Governors of the Federal Reserve System)</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Federal Deposit Insurance Corporation, Washington, D.C.</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New York State Banking Department, Albany, New York</w:t>
      </w:r>
    </w:p>
    <w:p>
      <w:pPr>
        <w:spacing w:after="0" w:line="195" w:lineRule="exact"/>
        <w:rPr>
          <w:sz w:val="20"/>
          <w:szCs w:val="20"/>
          <w:color w:val="auto"/>
        </w:rPr>
      </w:pPr>
    </w:p>
    <w:p>
      <w:pPr>
        <w:ind w:left="1080" w:right="3179" w:hanging="689"/>
        <w:spacing w:after="0" w:line="497" w:lineRule="auto"/>
        <w:tabs>
          <w:tab w:leader="none" w:pos="108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The trustee is authorized to exercise corporate trust powers.</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AFFILIATIONS WITH THE OBLIGOR</w:t>
      </w:r>
    </w:p>
    <w:p>
      <w:pPr>
        <w:spacing w:after="0" w:line="194" w:lineRule="exact"/>
        <w:rPr>
          <w:rFonts w:ascii="Courier New" w:cs="Courier New" w:eastAsia="Courier New" w:hAnsi="Courier New"/>
          <w:sz w:val="16"/>
          <w:szCs w:val="16"/>
          <w:color w:val="auto"/>
        </w:rPr>
      </w:pPr>
    </w:p>
    <w:p>
      <w:pPr>
        <w:ind w:left="400" w:right="34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obligor is an affiliate of the trustee, describe each such affiliation.</w:t>
      </w:r>
    </w:p>
    <w:p>
      <w:pPr>
        <w:spacing w:after="0" w:line="183"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4, 5, 6, 7, 8, 9, 10, 11, 12, 13, 14 and 15:</w:t>
      </w:r>
    </w:p>
    <w:p>
      <w:pPr>
        <w:spacing w:after="0" w:line="195" w:lineRule="exact"/>
        <w:rPr>
          <w:sz w:val="20"/>
          <w:szCs w:val="20"/>
          <w:color w:val="auto"/>
        </w:rPr>
      </w:pPr>
    </w:p>
    <w:p>
      <w:pPr>
        <w:ind w:left="400" w:right="2499"/>
        <w:spacing w:after="0" w:line="249" w:lineRule="auto"/>
        <w:rPr>
          <w:sz w:val="20"/>
          <w:szCs w:val="20"/>
          <w:color w:val="auto"/>
        </w:rPr>
      </w:pPr>
      <w:r>
        <w:rPr>
          <w:rFonts w:ascii="Courier New" w:cs="Courier New" w:eastAsia="Courier New" w:hAnsi="Courier New"/>
          <w:sz w:val="16"/>
          <w:szCs w:val="16"/>
          <w:color w:val="auto"/>
        </w:rPr>
        <w:t>Amdocs Limited currently is not in default under any of its outstanding securities for which United States Trust Company of New York is Trustee. Accordingly, responses to Items 3, 4, 5, 6, 7, 8, 9, 10, 11, 12, 13, 14 and 15 of Form T-1 are not required under General Instruction B.</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gridSpan w:val="2"/>
          </w:tcPr>
          <w:p>
            <w:pPr>
              <w:spacing w:after="0"/>
              <w:rPr>
                <w:sz w:val="20"/>
                <w:szCs w:val="20"/>
                <w:color w:val="auto"/>
              </w:rPr>
            </w:pPr>
            <w:r>
              <w:rPr>
                <w:rFonts w:ascii="Courier New" w:cs="Courier New" w:eastAsia="Courier New" w:hAnsi="Courier New"/>
                <w:sz w:val="16"/>
                <w:szCs w:val="16"/>
                <w:color w:val="auto"/>
              </w:rPr>
              <w:t>16. LIST OF EXHIBITS</w:t>
            </w:r>
          </w:p>
        </w:tc>
        <w:tc>
          <w:tcPr>
            <w:tcW w:w="200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376"/>
        </w:trPr>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T-1.1</w:t>
            </w: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5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Organization Certificate, as amended, issued by the State</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of New York Banking</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Department to transact business as a</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Trust Company, is incorporated by reference to Exhibit</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T-1.1 to Form T-1 filed on September 15, 1995 with the</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Commission pursuant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to the Trust Indenture Act of 1939, as</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amended by the Trust Indenture Reform Act of 1990</w:t>
            </w:r>
          </w:p>
        </w:tc>
      </w:tr>
      <w:tr>
        <w:trPr>
          <w:trHeight w:val="188"/>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(Registration No. 33-97056).</w:t>
            </w:r>
          </w:p>
        </w:tc>
      </w:tr>
      <w:tr>
        <w:trPr>
          <w:trHeight w:val="376"/>
        </w:trPr>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T-1.2</w:t>
            </w: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Included in Exhibit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T-1.1.</w:t>
            </w:r>
          </w:p>
        </w:tc>
      </w:tr>
      <w:tr>
        <w:trPr>
          <w:trHeight w:val="376"/>
        </w:trPr>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T-1.3</w:t>
            </w: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Included in Exhibit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T-1.1.</w:t>
            </w:r>
          </w:p>
        </w:tc>
      </w:tr>
    </w:tbl>
    <w:p>
      <w:pPr>
        <w:spacing w:after="0" w:line="380"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t1-edgar. 2</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w:t>
      </w:r>
    </w:p>
    <w:p>
      <w:pPr>
        <w:sectPr>
          <w:pgSz w:w="11900" w:h="16838" w:orient="portrait"/>
          <w:cols w:equalWidth="0" w:num="1">
            <w:col w:w="10219"/>
          </w:cols>
          <w:pgMar w:left="240" w:top="305"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- 3 -</w:t>
      </w:r>
    </w:p>
    <w:p>
      <w:pPr>
        <w:spacing w:after="0" w:line="383" w:lineRule="exact"/>
        <w:rPr>
          <w:sz w:val="20"/>
          <w:szCs w:val="20"/>
          <w:color w:val="auto"/>
        </w:rPr>
      </w:pPr>
    </w:p>
    <w:p>
      <w:pPr>
        <w:ind w:left="400" w:right="8259" w:hanging="400"/>
        <w:spacing w:after="0" w:line="252" w:lineRule="auto"/>
        <w:tabs>
          <w:tab w:leader="none" w:pos="4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EXHIBITS (cont'd)</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Courier New" w:cs="Courier New" w:eastAsia="Courier New" w:hAnsi="Courier New"/>
                <w:sz w:val="16"/>
                <w:szCs w:val="16"/>
                <w:color w:val="auto"/>
              </w:rPr>
              <w:t>T-1.4</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The By-Laws of United States Trust Company of New York, as</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amended, is incorporated by reference to Exhibit T-1.4 to</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 T-1 filed on September 15, 1995 with the Commission</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pursuant to the Trust Indenture Act of 1939, as amended by</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the Trust</w:t>
            </w:r>
          </w:p>
        </w:tc>
        <w:tc>
          <w:tcPr>
            <w:tcW w:w="4700" w:type="dxa"/>
            <w:vAlign w:val="bottom"/>
          </w:tcPr>
          <w:p>
            <w:pPr>
              <w:spacing w:after="0"/>
              <w:rPr>
                <w:sz w:val="20"/>
                <w:szCs w:val="20"/>
                <w:color w:val="auto"/>
              </w:rPr>
            </w:pPr>
            <w:r>
              <w:rPr>
                <w:rFonts w:ascii="Courier New" w:cs="Courier New" w:eastAsia="Courier New" w:hAnsi="Courier New"/>
                <w:sz w:val="16"/>
                <w:szCs w:val="16"/>
                <w:color w:val="auto"/>
              </w:rPr>
              <w:t>Indenture Reform Act of 1990 (Registration No.</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33-97056).</w:t>
            </w:r>
          </w:p>
        </w:tc>
        <w:tc>
          <w:tcPr>
            <w:tcW w:w="4700" w:type="dxa"/>
            <w:vAlign w:val="bottom"/>
          </w:tcPr>
          <w:p>
            <w:pPr>
              <w:spacing w:after="0"/>
              <w:rPr>
                <w:sz w:val="16"/>
                <w:szCs w:val="16"/>
                <w:color w:val="auto"/>
              </w:rPr>
            </w:pPr>
          </w:p>
        </w:tc>
      </w:tr>
      <w:tr>
        <w:trPr>
          <w:trHeight w:val="376"/>
        </w:trPr>
        <w:tc>
          <w:tcPr>
            <w:tcW w:w="820" w:type="dxa"/>
            <w:vAlign w:val="bottom"/>
          </w:tcPr>
          <w:p>
            <w:pPr>
              <w:spacing w:after="0"/>
              <w:rPr>
                <w:sz w:val="20"/>
                <w:szCs w:val="20"/>
                <w:color w:val="auto"/>
              </w:rPr>
            </w:pPr>
            <w:r>
              <w:rPr>
                <w:rFonts w:ascii="Courier New" w:cs="Courier New" w:eastAsia="Courier New" w:hAnsi="Courier New"/>
                <w:sz w:val="16"/>
                <w:szCs w:val="16"/>
                <w:color w:val="auto"/>
              </w:rPr>
              <w:t>T-1.6</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The consent of the trustee required by Section 321(b) of</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the Trust</w:t>
            </w:r>
          </w:p>
        </w:tc>
        <w:tc>
          <w:tcPr>
            <w:tcW w:w="4700" w:type="dxa"/>
            <w:vAlign w:val="bottom"/>
          </w:tcPr>
          <w:p>
            <w:pPr>
              <w:spacing w:after="0"/>
              <w:rPr>
                <w:sz w:val="20"/>
                <w:szCs w:val="20"/>
                <w:color w:val="auto"/>
              </w:rPr>
            </w:pPr>
            <w:r>
              <w:rPr>
                <w:rFonts w:ascii="Courier New" w:cs="Courier New" w:eastAsia="Courier New" w:hAnsi="Courier New"/>
                <w:sz w:val="16"/>
                <w:szCs w:val="16"/>
                <w:color w:val="auto"/>
              </w:rPr>
              <w:t>Indenture Act of 1939, as amended by the Trust</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Indenture</w:t>
            </w:r>
          </w:p>
        </w:tc>
        <w:tc>
          <w:tcPr>
            <w:tcW w:w="4700" w:type="dxa"/>
            <w:vAlign w:val="bottom"/>
          </w:tcPr>
          <w:p>
            <w:pPr>
              <w:spacing w:after="0"/>
              <w:rPr>
                <w:sz w:val="20"/>
                <w:szCs w:val="20"/>
                <w:color w:val="auto"/>
              </w:rPr>
            </w:pPr>
            <w:r>
              <w:rPr>
                <w:rFonts w:ascii="Courier New" w:cs="Courier New" w:eastAsia="Courier New" w:hAnsi="Courier New"/>
                <w:sz w:val="16"/>
                <w:szCs w:val="16"/>
                <w:color w:val="auto"/>
              </w:rPr>
              <w:t>Reform Act of 1990.</w:t>
            </w:r>
          </w:p>
        </w:tc>
      </w:tr>
      <w:tr>
        <w:trPr>
          <w:trHeight w:val="376"/>
        </w:trPr>
        <w:tc>
          <w:tcPr>
            <w:tcW w:w="820" w:type="dxa"/>
            <w:vAlign w:val="bottom"/>
          </w:tcPr>
          <w:p>
            <w:pPr>
              <w:spacing w:after="0"/>
              <w:rPr>
                <w:sz w:val="20"/>
                <w:szCs w:val="20"/>
                <w:color w:val="auto"/>
              </w:rPr>
            </w:pPr>
            <w:r>
              <w:rPr>
                <w:rFonts w:ascii="Courier New" w:cs="Courier New" w:eastAsia="Courier New" w:hAnsi="Courier New"/>
                <w:sz w:val="16"/>
                <w:szCs w:val="16"/>
                <w:color w:val="auto"/>
              </w:rPr>
              <w:t>T-1.7</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A copy of</w:t>
            </w:r>
          </w:p>
        </w:tc>
        <w:tc>
          <w:tcPr>
            <w:tcW w:w="4700" w:type="dxa"/>
            <w:vAlign w:val="bottom"/>
          </w:tcPr>
          <w:p>
            <w:pPr>
              <w:spacing w:after="0"/>
              <w:rPr>
                <w:sz w:val="20"/>
                <w:szCs w:val="20"/>
                <w:color w:val="auto"/>
              </w:rPr>
            </w:pPr>
            <w:r>
              <w:rPr>
                <w:rFonts w:ascii="Courier New" w:cs="Courier New" w:eastAsia="Courier New" w:hAnsi="Courier New"/>
                <w:sz w:val="16"/>
                <w:szCs w:val="16"/>
                <w:color w:val="auto"/>
              </w:rPr>
              <w:t>the latest report of condition of the trustee</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pursuant to law or the requirements of its supervising or</w:t>
            </w:r>
          </w:p>
        </w:tc>
      </w:tr>
      <w:tr>
        <w:trPr>
          <w:trHeight w:val="188"/>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examining</w:t>
            </w:r>
          </w:p>
        </w:tc>
        <w:tc>
          <w:tcPr>
            <w:tcW w:w="4700" w:type="dxa"/>
            <w:vAlign w:val="bottom"/>
          </w:tcPr>
          <w:p>
            <w:pPr>
              <w:spacing w:after="0"/>
              <w:rPr>
                <w:sz w:val="20"/>
                <w:szCs w:val="20"/>
                <w:color w:val="auto"/>
              </w:rPr>
            </w:pPr>
            <w:r>
              <w:rPr>
                <w:rFonts w:ascii="Courier New" w:cs="Courier New" w:eastAsia="Courier New" w:hAnsi="Courier New"/>
                <w:sz w:val="16"/>
                <w:szCs w:val="16"/>
                <w:color w:val="auto"/>
              </w:rPr>
              <w:t>authority.</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of August 9, 2001, the trustee had 2,999,029 shares of Common Stock outstanding, all of which are owned by its parent company, U.S. Trust Corporation. The term "trustee" in Item 2, refers to each of United States Trust Company of New York and its parent company, U. S. Trust Corporation.</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answering Item 2 in this statement of eligibility as to matters peculiarly within the knowledge of the obligor or its directors, the trustee has relied upon information furnished to it by the obligor and will rely on information to be furnished by the obligor and the trustee disclaims responsibility for the accuracy or completeness of such information.</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United States Trust Company of New York, a corporation organized and existing under the laws of the State of New York, has duly caused this statement of eligibility to be signed on its behalf by the undersigned, thereunto duly authorized, all in the City of New York, and State of New York, on the 9th day of August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TRUST COMPANY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 NEW YORK, Trustee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/s/Cynthia Chaney</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Cynthia Chaney</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Assistant Vice President</w:t>
      </w:r>
    </w:p>
    <w:p>
      <w:pPr>
        <w:spacing w:after="0" w:line="383"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t1-edgar. 3</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w:t>
      </w:r>
    </w:p>
    <w:p>
      <w:pPr>
        <w:sectPr>
          <w:pgSz w:w="11900" w:h="16838" w:orient="portrait"/>
          <w:cols w:equalWidth="0" w:num="1">
            <w:col w:w="10219"/>
          </w:cols>
          <w:pgMar w:left="240" w:top="305"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T-1.6</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The consent of the trustee required by Section 321(b) of the Act.</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United States Trust Company of New York</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114 West 47th Street</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New York, NY 10036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2000</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5th Street, N.W.</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Washington, DC</w:t>
        <w:tab/>
        <w:t>20549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Pursuant to the provisions of Section 321(b) of the Trust Indenture Act of 1939, as amended by the Trust Indenture Reform Act of 1990, and subject to the limitations set forth therein, United States Trust Company of New York ("U.S. Trust") hereby consents that reports of examinations of U.S. Trust by Federal, State, Territorial or District authorities may be furnished by such authorities to the Securities and Exchange Commission upon request therefor.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TRUST COMPANY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 NEW YORK</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/s/Gerard F. Ganey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Gerard F. Ganey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371"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t1-edgar. 4</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w:t>
      </w:r>
    </w:p>
    <w:p>
      <w:pPr>
        <w:sectPr>
          <w:pgSz w:w="11900" w:h="16838" w:orient="portrait"/>
          <w:cols w:equalWidth="0" w:num="1">
            <w:col w:w="10219"/>
          </w:cols>
          <w:pgMar w:left="240" w:top="304"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64"/>
        </w:trPr>
        <w:tc>
          <w:tcPr>
            <w:tcW w:w="6100" w:type="dxa"/>
            <w:vAlign w:val="bottom"/>
          </w:tcPr>
          <w:p>
            <w:pPr>
              <w:spacing w:after="0"/>
              <w:rPr>
                <w:sz w:val="24"/>
                <w:szCs w:val="24"/>
                <w:color w:val="auto"/>
              </w:rPr>
            </w:pPr>
          </w:p>
        </w:tc>
        <w:tc>
          <w:tcPr>
            <w:tcW w:w="20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EXHIBIT T-1.7</w:t>
            </w:r>
          </w:p>
        </w:tc>
      </w:tr>
      <w:tr>
        <w:trPr>
          <w:trHeight w:val="376"/>
        </w:trPr>
        <w:tc>
          <w:tcPr>
            <w:tcW w:w="6100" w:type="dxa"/>
            <w:vAlign w:val="bottom"/>
          </w:tcPr>
          <w:p>
            <w:pPr>
              <w:ind w:left="2060"/>
              <w:spacing w:after="0"/>
              <w:rPr>
                <w:sz w:val="20"/>
                <w:szCs w:val="20"/>
                <w:color w:val="auto"/>
              </w:rPr>
            </w:pPr>
            <w:r>
              <w:rPr>
                <w:rFonts w:ascii="Courier New" w:cs="Courier New" w:eastAsia="Courier New" w:hAnsi="Courier New"/>
                <w:sz w:val="16"/>
                <w:szCs w:val="16"/>
                <w:color w:val="auto"/>
              </w:rPr>
              <w:t>UNITED STATES TRUST COMPANY OF NEW YORK</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6100" w:type="dxa"/>
            <w:vAlign w:val="bottom"/>
          </w:tcPr>
          <w:p>
            <w:pPr>
              <w:ind w:left="2240"/>
              <w:spacing w:after="0"/>
              <w:rPr>
                <w:sz w:val="20"/>
                <w:szCs w:val="20"/>
                <w:color w:val="auto"/>
              </w:rPr>
            </w:pPr>
            <w:r>
              <w:rPr>
                <w:rFonts w:ascii="Courier New" w:cs="Courier New" w:eastAsia="Courier New" w:hAnsi="Courier New"/>
                <w:sz w:val="16"/>
                <w:szCs w:val="16"/>
                <w:color w:val="auto"/>
              </w:rPr>
              <w:t>CONSOLIDATED STATEMENT OF CONDITION</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ind w:left="3220"/>
              <w:spacing w:after="0"/>
              <w:rPr>
                <w:sz w:val="20"/>
                <w:szCs w:val="20"/>
                <w:color w:val="auto"/>
              </w:rPr>
            </w:pPr>
            <w:r>
              <w:rPr>
                <w:rFonts w:ascii="Courier New" w:cs="Courier New" w:eastAsia="Courier New" w:hAnsi="Courier New"/>
                <w:sz w:val="16"/>
                <w:szCs w:val="16"/>
                <w:color w:val="auto"/>
              </w:rPr>
              <w:t>MARCH 31, 2001</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ind w:left="3120"/>
              <w:spacing w:after="0"/>
              <w:rPr>
                <w:sz w:val="20"/>
                <w:szCs w:val="20"/>
                <w:color w:val="auto"/>
              </w:rPr>
            </w:pPr>
            <w:r>
              <w:rPr>
                <w:rFonts w:ascii="Courier New" w:cs="Courier New" w:eastAsia="Courier New" w:hAnsi="Courier New"/>
                <w:sz w:val="16"/>
                <w:szCs w:val="16"/>
                <w:color w:val="auto"/>
              </w:rPr>
              <w:t>($ IN THOUSANDS)</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52"/>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and Due from Banks</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60,744</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61,956</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Securities, Available for Sale</w:t>
            </w: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687,786</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Loans</w:t>
            </w: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2,866,204</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Less:  Allowance for Credit Losses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17,858</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Net Loans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2,848,346</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Premises and Equipment</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65,105</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264,387</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3,988,324</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Non-Interest Bearing</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635,939</w:t>
            </w:r>
          </w:p>
        </w:tc>
      </w:tr>
      <w:tr>
        <w:trPr>
          <w:trHeight w:val="188"/>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Interest Bearing</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2,338,442</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00" w:type="dxa"/>
            <w:vAlign w:val="bottom"/>
          </w:tcPr>
          <w:p>
            <w:pPr>
              <w:ind w:left="780"/>
              <w:spacing w:after="0"/>
              <w:rPr>
                <w:sz w:val="20"/>
                <w:szCs w:val="20"/>
                <w:color w:val="auto"/>
              </w:rPr>
            </w:pPr>
            <w:r>
              <w:rPr>
                <w:rFonts w:ascii="Courier New" w:cs="Courier New" w:eastAsia="Courier New" w:hAnsi="Courier New"/>
                <w:sz w:val="16"/>
                <w:szCs w:val="16"/>
                <w:color w:val="auto"/>
              </w:rPr>
              <w:t>Total Deposits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2,974,381</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Short-Term Credit Facilities</w:t>
            </w: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383,958</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Liabilities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300,828</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3,659,167</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14,995</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Capital Surplus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208,551</w:t>
            </w:r>
          </w:p>
        </w:tc>
      </w:tr>
      <w:tr>
        <w:trPr>
          <w:trHeight w:val="188"/>
        </w:trPr>
        <w:tc>
          <w:tcPr>
            <w:tcW w:w="610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9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123,254</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(17,643)</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10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329,157</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3,988,324</w:t>
            </w:r>
          </w:p>
        </w:tc>
      </w:tr>
      <w:tr>
        <w:trPr>
          <w:trHeight w:val="188"/>
        </w:trPr>
        <w:tc>
          <w:tcPr>
            <w:tcW w:w="610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 Richard E. Brinkmann, Managing Director &amp; Comptroller of the named bank do hereby declare that this Statement of Condition has been prepared in conformance with the instructions issued by the appropriate regulatory authority and is true to the best of my knowledge and belief.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E. Brinkmann, Managing Director &amp; Controller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16, 2001</w:t>
      </w:r>
    </w:p>
    <w:p>
      <w:pPr>
        <w:spacing w:after="0" w:line="383"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t1-edgar. 5</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t-1,</w:t>
      </w:r>
    </w:p>
    <w:sectPr>
      <w:pgSz w:w="11900" w:h="16838" w:orient="portrait"/>
      <w:cols w:equalWidth="0" w:num="1">
        <w:col w:w="10219"/>
      </w:cols>
      <w:pgMar w:left="240" w:top="3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1)"/>
      <w:numFmt w:val="decimal"/>
      <w:start w:val="2"/>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1)"/>
      <w:numFmt w:val="decimal"/>
      <w:start w:val="1"/>
    </w:lvl>
    <w:lvl w:ilvl="1">
      <w:lvlJc w:val="left"/>
      <w:lvlText w:val="(%2)"/>
      <w:numFmt w:val="lowerRoman"/>
      <w:start w:val="2"/>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2"/>
    </w:lvl>
  </w:abstractNum>
  <w:abstractNum w:abstractNumId="24">
    <w:nsid w:val="25A70BF7"/>
    <w:multiLevelType w:val="hybridMultilevel"/>
    <w:lvl w:ilvl="0">
      <w:lvlJc w:val="left"/>
      <w:lvlText w:val="(%1)"/>
      <w:numFmt w:val="decimal"/>
      <w:start w:val="3"/>
    </w:lvl>
  </w:abstractNum>
  <w:abstractNum w:abstractNumId="25">
    <w:nsid w:val="1DBABF00"/>
    <w:multiLevelType w:val="hybridMultilevel"/>
    <w:lvl w:ilvl="0">
      <w:lvlJc w:val="left"/>
      <w:lvlText w:val="%1"/>
      <w:numFmt w:val="upperLetter"/>
      <w:start w:val="1"/>
    </w:lvl>
    <w:lvl w:ilvl="1">
      <w:lvlJc w:val="left"/>
      <w:lvlText w:val="(%2)"/>
      <w:numFmt w:val="decimal"/>
      <w:start w:val="4"/>
    </w:lvl>
  </w:abstractNum>
  <w:abstractNum w:abstractNumId="26">
    <w:nsid w:val="4AD084E9"/>
    <w:multiLevelType w:val="hybridMultilevel"/>
    <w:lvl w:ilvl="0">
      <w:lvlJc w:val="left"/>
      <w:lvlText w:val="(%1)"/>
      <w:numFmt w:val="upperLetter"/>
      <w:start w:val="2"/>
    </w:lvl>
    <w:lvl w:ilvl="1">
      <w:lvlJc w:val="left"/>
      <w:lvlText w:val="%2"/>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2"/>
    </w:lvl>
  </w:abstractNum>
  <w:abstractNum w:abstractNumId="29">
    <w:nsid w:val="5DB70AE5"/>
    <w:multiLevelType w:val="hybridMultilevel"/>
    <w:lvl w:ilvl="0">
      <w:lvlJc w:val="left"/>
      <w:lvlText w:val="(%1)"/>
      <w:numFmt w:val="decimal"/>
      <w:start w:val="3"/>
    </w:lvl>
  </w:abstractNum>
  <w:abstractNum w:abstractNumId="30">
    <w:nsid w:val="100F8FCA"/>
    <w:multiLevelType w:val="hybridMultilevel"/>
    <w:lvl w:ilvl="0">
      <w:lvlJc w:val="left"/>
      <w:lvlText w:val="%1"/>
      <w:numFmt w:val="upperLetter"/>
      <w:start w:val="1"/>
    </w:lvl>
    <w:lvl w:ilvl="1">
      <w:lvlJc w:val="left"/>
      <w:lvlText w:val="(%2)"/>
      <w:numFmt w:val="decimal"/>
      <w:start w:val="4"/>
    </w:lvl>
  </w:abstractNum>
  <w:abstractNum w:abstractNumId="31">
    <w:nsid w:val="6590700B"/>
    <w:multiLevelType w:val="hybridMultilevel"/>
    <w:lvl w:ilvl="0">
      <w:lvlJc w:val="left"/>
      <w:lvlText w:val="(%1)"/>
      <w:numFmt w:val="upperLetter"/>
      <w:start w:val="3"/>
    </w:lvl>
    <w:lvl w:ilvl="1">
      <w:lvlJc w:val="left"/>
      <w:lvlText w:val="%2"/>
      <w:numFmt w:val="decimal"/>
      <w:start w:val="1"/>
    </w:lvl>
  </w:abstractNum>
  <w:abstractNum w:abstractNumId="32">
    <w:nsid w:val="15014ACB"/>
    <w:multiLevelType w:val="hybridMultilevel"/>
    <w:lvl w:ilvl="0">
      <w:lvlJc w:val="left"/>
      <w:lvlText w:val="-"/>
      <w:numFmt w:val="bullet"/>
      <w:start w:val="1"/>
    </w:lvl>
    <w:lvl w:ilvl="1">
      <w:lvlJc w:val="left"/>
      <w:lvlText w:val="(%2)"/>
      <w:numFmt w:val="decimal"/>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
      <w:numFmt w:val="bullet"/>
      <w:start w:val="1"/>
    </w:lvl>
    <w:lvl w:ilvl="1">
      <w:lvlJc w:val="left"/>
      <w:lvlText w:val="(%2)"/>
      <w:numFmt w:val="decimal"/>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lvl w:ilvl="1">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lvl w:ilvl="1">
      <w:lvlJc w:val="left"/>
      <w:lvlText w:val="(%2)"/>
      <w:numFmt w:val="decimal"/>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lvl w:ilvl="1">
      <w:lvlJc w:val="left"/>
      <w:lvlText w:val="--"/>
      <w:numFmt w:val="bullet"/>
      <w:start w:val="1"/>
    </w:lvl>
  </w:abstractNum>
  <w:abstractNum w:abstractNumId="62">
    <w:nsid w:val="7FB7E0AA"/>
    <w:multiLevelType w:val="hybridMultilevel"/>
    <w:lvl w:ilvl="0">
      <w:lvlJc w:val="left"/>
      <w:lvlText w:val="%1"/>
      <w:numFmt w:val="decimal"/>
      <w:start w:val="900"/>
    </w:lvl>
  </w:abstractNum>
  <w:abstractNum w:abstractNumId="63">
    <w:nsid w:val="6EB5BD4"/>
    <w:multiLevelType w:val="hybridMultilevel"/>
    <w:lvl w:ilvl="0">
      <w:lvlJc w:val="left"/>
      <w:lvlText w:val="%1"/>
      <w:numFmt w:val="decimal"/>
      <w:start w:val="900"/>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lvl w:ilvl="1">
      <w:lvlJc w:val="left"/>
      <w:lvlText w:val="--"/>
      <w:numFmt w:val="bullet"/>
      <w:start w:val="1"/>
    </w:lvl>
  </w:abstractNum>
  <w:abstractNum w:abstractNumId="66">
    <w:nsid w:val="885E1B"/>
    <w:multiLevelType w:val="hybridMultilevel"/>
    <w:lvl w:ilvl="0">
      <w:lvlJc w:val="left"/>
      <w:lvlText w:val="%1"/>
      <w:numFmt w:val="decimal"/>
      <w:start w:val="900"/>
    </w:lvl>
  </w:abstractNum>
  <w:abstractNum w:abstractNumId="67">
    <w:nsid w:val="76272110"/>
    <w:multiLevelType w:val="hybridMultilevel"/>
    <w:lvl w:ilvl="0">
      <w:lvlJc w:val="left"/>
      <w:lvlText w:val="%1"/>
      <w:numFmt w:val="decimal"/>
      <w:start w:val="900"/>
    </w:lvl>
  </w:abstractNum>
  <w:abstractNum w:abstractNumId="68">
    <w:nsid w:val="4C04A8AF"/>
    <w:multiLevelType w:val="hybridMultilevel"/>
    <w:lvl w:ilvl="0">
      <w:lvlJc w:val="left"/>
      <w:lvlText w:val="%1"/>
      <w:numFmt w:val="decimal"/>
      <w:start w:val="121"/>
    </w:lvl>
  </w:abstractNum>
  <w:abstractNum w:abstractNumId="69">
    <w:nsid w:val="1716703B"/>
    <w:multiLevelType w:val="hybridMultilevel"/>
    <w:lvl w:ilvl="0">
      <w:lvlJc w:val="left"/>
      <w:lvlText w:val="%1"/>
      <w:numFmt w:val="decimal"/>
      <w:start w:val="180"/>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lvl w:ilvl="1">
      <w:lvlJc w:val="left"/>
      <w:lvlText w:val="--"/>
      <w:numFmt w:val="bullet"/>
      <w:start w:val="1"/>
    </w:lvl>
  </w:abstractNum>
  <w:abstractNum w:abstractNumId="72">
    <w:nsid w:val="74DE0EE3"/>
    <w:multiLevelType w:val="hybridMultilevel"/>
    <w:lvl w:ilvl="0">
      <w:lvlJc w:val="left"/>
      <w:lvlText w:val="%1"/>
      <w:numFmt w:val="decimal"/>
      <w:start w:val="900"/>
    </w:lvl>
  </w:abstractNum>
  <w:abstractNum w:abstractNumId="73">
    <w:nsid w:val="68EBC550"/>
    <w:multiLevelType w:val="hybridMultilevel"/>
    <w:lvl w:ilvl="0">
      <w:lvlJc w:val="left"/>
      <w:lvlText w:val="%1"/>
      <w:numFmt w:val="decimal"/>
      <w:start w:val="900"/>
    </w:lvl>
  </w:abstractNum>
  <w:abstractNum w:abstractNumId="74">
    <w:nsid w:val="2DF6D648"/>
    <w:multiLevelType w:val="hybridMultilevel"/>
    <w:lvl w:ilvl="0">
      <w:lvlJc w:val="left"/>
      <w:lvlText w:val="%1"/>
      <w:numFmt w:val="decimal"/>
      <w:start w:val="900"/>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lvl w:ilvl="1">
      <w:lvlJc w:val="left"/>
      <w:lvlText w:val="--"/>
      <w:numFmt w:val="bullet"/>
      <w:start w:val="1"/>
    </w:lvl>
  </w:abstractNum>
  <w:abstractNum w:abstractNumId="77">
    <w:nsid w:val="39EE015C"/>
    <w:multiLevelType w:val="hybridMultilevel"/>
    <w:lvl w:ilvl="0">
      <w:lvlJc w:val="left"/>
      <w:lvlText w:val="%1"/>
      <w:numFmt w:val="decimal"/>
      <w:start w:val="666"/>
    </w:lvl>
  </w:abstractNum>
  <w:abstractNum w:abstractNumId="78">
    <w:nsid w:val="57FC4FBB"/>
    <w:multiLevelType w:val="hybridMultilevel"/>
    <w:lvl w:ilvl="0">
      <w:lvlJc w:val="left"/>
      <w:lvlText w:val="-"/>
      <w:numFmt w:val="bullet"/>
      <w:start w:val="1"/>
    </w:lvl>
    <w:lvl w:ilvl="1">
      <w:lvlJc w:val="left"/>
      <w:lvlText w:val="%2"/>
      <w:numFmt w:val="decimal"/>
      <w:start w:val="900"/>
    </w:lvl>
  </w:abstractNum>
  <w:abstractNum w:abstractNumId="79">
    <w:nsid w:val="CC1016F"/>
    <w:multiLevelType w:val="hybridMultilevel"/>
    <w:lvl w:ilvl="0">
      <w:lvlJc w:val="left"/>
      <w:lvlText w:val="-"/>
      <w:numFmt w:val="bullet"/>
      <w:start w:val="1"/>
    </w:lvl>
    <w:lvl w:ilvl="1">
      <w:lvlJc w:val="left"/>
      <w:lvlText w:val="%2"/>
      <w:numFmt w:val="decimal"/>
      <w:start w:val="3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1)"/>
      <w:numFmt w:val="decimal"/>
      <w:start w:val="1"/>
    </w:lvl>
    <w:lvl w:ilvl="1">
      <w:lvlJc w:val="left"/>
      <w:lvlText w:val="(%2)"/>
      <w:numFmt w:val="lowerRoman"/>
      <w:start w:val="1"/>
    </w:lvl>
  </w:abstractNum>
  <w:abstractNum w:abstractNumId="89">
    <w:nsid w:val="5FB8011C"/>
    <w:multiLevelType w:val="hybridMultilevel"/>
    <w:lvl w:ilvl="0">
      <w:lvlJc w:val="left"/>
      <w:lvlText w:val="(%1)"/>
      <w:numFmt w:val="decimal"/>
      <w:start w:val="2"/>
    </w:lvl>
  </w:abstractNum>
  <w:abstractNum w:abstractNumId="90">
    <w:nsid w:val="6AA78F7F"/>
    <w:multiLevelType w:val="hybridMultilevel"/>
    <w:lvl w:ilvl="0">
      <w:lvlJc w:val="left"/>
      <w:lvlText w:val="(%1)"/>
      <w:numFmt w:val="decimal"/>
      <w:start w:val="3"/>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upperLetter"/>
      <w:start w:val="20"/>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1"/>
      <w:numFmt w:val="bullet"/>
      <w:start w:val="1"/>
    </w:lvl>
  </w:abstractNum>
  <w:abstractNum w:abstractNumId="98">
    <w:nsid w:val="555C55B5"/>
    <w:multiLevelType w:val="hybridMultilevel"/>
    <w:lvl w:ilvl="0">
      <w:lvlJc w:val="left"/>
      <w:lvlText w:val="-"/>
      <w:numFmt w:val="bullet"/>
      <w:start w:val="1"/>
    </w:lvl>
    <w:lvl w:ilvl="1">
      <w:lvlJc w:val="left"/>
      <w:lvlText w:val="*"/>
      <w:numFmt w:val="bullet"/>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2"/>
    </w:lvl>
  </w:abstractNum>
  <w:abstractNum w:abstractNumId="104">
    <w:nsid w:val="53299938"/>
    <w:multiLevelType w:val="hybridMultilevel"/>
    <w:lvl w:ilvl="0">
      <w:lvlJc w:val="left"/>
      <w:lvlText w:val="%1."/>
      <w:numFmt w:val="decimal"/>
      <w:start w:val="2"/>
    </w:lvl>
    <w:lvl w:ilvl="1">
      <w:lvlJc w:val="left"/>
      <w:lvlText w:val="%2"/>
      <w:numFmt w:val="lowerLetter"/>
      <w:start w:val="1"/>
    </w:lvl>
  </w:abstractNum>
  <w:abstractNum w:abstractNumId="105">
    <w:nsid w:val="1FBFE8E0"/>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2019-12-14T20:11:35Z</dcterms:created>
  <dcterms:modified xsi:type="dcterms:W3CDTF">2019-12-14T20:11:35Z</dcterms:modified>
</cp:coreProperties>
</file>