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UNITED STATES</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231140</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242570</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419"/>
        <w:spacing w:after="0"/>
        <w:rPr>
          <w:sz w:val="20"/>
          <w:szCs w:val="20"/>
          <w:color w:val="auto"/>
        </w:rPr>
      </w:pPr>
      <w:r>
        <w:rPr>
          <w:rFonts w:ascii="Arial" w:cs="Arial" w:eastAsia="Arial" w:hAnsi="Arial"/>
          <w:sz w:val="21"/>
          <w:szCs w:val="21"/>
          <w:b w:val="1"/>
          <w:bCs w:val="1"/>
          <w:color w:val="auto"/>
        </w:rPr>
        <w:t>REPORT OF FOREIGN PRIVATE ISSUER</w:t>
      </w:r>
    </w:p>
    <w:p>
      <w:pPr>
        <w:spacing w:after="0" w:line="23" w:lineRule="exact"/>
        <w:rPr>
          <w:sz w:val="24"/>
          <w:szCs w:val="24"/>
          <w:color w:val="auto"/>
        </w:rPr>
      </w:pPr>
    </w:p>
    <w:p>
      <w:pPr>
        <w:jc w:val="center"/>
        <w:ind w:right="-439"/>
        <w:spacing w:after="0"/>
        <w:rPr>
          <w:sz w:val="20"/>
          <w:szCs w:val="20"/>
          <w:color w:val="auto"/>
        </w:rPr>
      </w:pPr>
      <w:r>
        <w:rPr>
          <w:rFonts w:ascii="Arial" w:cs="Arial" w:eastAsia="Arial" w:hAnsi="Arial"/>
          <w:sz w:val="21"/>
          <w:szCs w:val="21"/>
          <w:b w:val="1"/>
          <w:bCs w:val="1"/>
          <w:color w:val="auto"/>
        </w:rPr>
        <w:t>PURSUANT TO RULE 13a-16 OR 15d-16</w:t>
      </w:r>
    </w:p>
    <w:p>
      <w:pPr>
        <w:jc w:val="center"/>
        <w:ind w:right="-43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January, 2019</w:t>
      </w:r>
    </w:p>
    <w:p>
      <w:pPr>
        <w:spacing w:after="0" w:line="22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236855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257175</wp:posOffset>
            </wp:positionV>
            <wp:extent cx="146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216535</wp:posOffset>
            </wp:positionV>
            <wp:extent cx="1461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9" w:lineRule="exact"/>
        <w:rPr>
          <w:sz w:val="24"/>
          <w:szCs w:val="24"/>
          <w:color w:val="auto"/>
        </w:rPr>
      </w:pPr>
    </w:p>
    <w:p>
      <w:pPr>
        <w:ind w:left="40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6" w:lineRule="exact"/>
        <w:rPr>
          <w:sz w:val="24"/>
          <w:szCs w:val="24"/>
          <w:color w:val="auto"/>
        </w:rPr>
      </w:pPr>
    </w:p>
    <w:p>
      <w:pPr>
        <w:ind w:left="4620"/>
        <w:spacing w:after="0" w:line="207" w:lineRule="exact"/>
        <w:tabs>
          <w:tab w:leader="none" w:pos="57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6934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480"/>
          </w:cols>
          <w:pgMar w:left="660" w:top="119" w:right="110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Submission of Matters to a Vote of Security 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p>
    <w:p>
      <w:pPr>
        <w:spacing w:after="0" w:line="1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the 2019 Annual General Meeting of Shareholders of Amdocs Limited (the “Company”) held on January 31, 2019, the proposals listed below were submitted to a vote of the Company’s shareholders. The proposals are described in the Company’s proxy statement for the 2019 Annual General Meeting of Shareholders.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ten nominees to the Company’s Board of Directors each for a term of one year.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10 nominees named in the proxy statement were elected to serve as directors until the Company’s 2020 Annual General Meeting of Shareholders.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1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Nominee</w:t>
            </w:r>
          </w:p>
        </w:tc>
        <w:tc>
          <w:tcPr>
            <w:tcW w:w="5460" w:type="dxa"/>
            <w:vAlign w:val="bottom"/>
            <w:vMerge w:val="restart"/>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Votes For</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Votes</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Votes</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6"/>
        </w:trPr>
        <w:tc>
          <w:tcPr>
            <w:tcW w:w="540" w:type="dxa"/>
            <w:vAlign w:val="bottom"/>
            <w:tcBorders>
              <w:bottom w:val="single" w:sz="8" w:color="auto"/>
            </w:tcBorders>
            <w:vMerge w:val="continue"/>
          </w:tcPr>
          <w:p>
            <w:pPr>
              <w:spacing w:after="0"/>
              <w:rPr>
                <w:sz w:val="15"/>
                <w:szCs w:val="15"/>
                <w:color w:val="auto"/>
              </w:rPr>
            </w:pPr>
          </w:p>
        </w:tc>
        <w:tc>
          <w:tcPr>
            <w:tcW w:w="546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20" w:type="dxa"/>
            <w:vAlign w:val="bottom"/>
            <w:gridSpan w:val="2"/>
          </w:tcPr>
          <w:p>
            <w:pPr>
              <w:jc w:val="right"/>
              <w:ind w:right="440"/>
              <w:spacing w:after="0" w:line="157" w:lineRule="exact"/>
              <w:rPr>
                <w:sz w:val="20"/>
                <w:szCs w:val="20"/>
                <w:color w:val="auto"/>
              </w:rPr>
            </w:pPr>
            <w:r>
              <w:rPr>
                <w:rFonts w:ascii="Arial" w:cs="Arial" w:eastAsia="Arial" w:hAnsi="Arial"/>
                <w:sz w:val="14"/>
                <w:szCs w:val="14"/>
                <w:b w:val="1"/>
                <w:bCs w:val="1"/>
                <w:color w:val="auto"/>
              </w:rPr>
              <w:t>Against</w:t>
            </w:r>
          </w:p>
        </w:tc>
        <w:tc>
          <w:tcPr>
            <w:tcW w:w="10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1"/>
              </w:rPr>
              <w:t>Abstaining</w:t>
            </w:r>
          </w:p>
        </w:tc>
        <w:tc>
          <w:tcPr>
            <w:tcW w:w="700" w:type="dxa"/>
            <w:vAlign w:val="bottom"/>
            <w:gridSpan w:val="2"/>
          </w:tcPr>
          <w:p>
            <w:pPr>
              <w:jc w:val="right"/>
              <w:ind w:right="60"/>
              <w:spacing w:after="0" w:line="157" w:lineRule="exact"/>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201"/>
        </w:trPr>
        <w:tc>
          <w:tcPr>
            <w:tcW w:w="600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A. Minicucci</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111,442,802</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8,310,204</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392,471</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23,955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111,432,057</w:t>
            </w:r>
          </w:p>
        </w:tc>
        <w:tc>
          <w:tcPr>
            <w:tcW w:w="860" w:type="dxa"/>
            <w:vAlign w:val="bottom"/>
          </w:tcPr>
          <w:p>
            <w:pPr>
              <w:jc w:val="right"/>
              <w:spacing w:after="0"/>
              <w:rPr>
                <w:sz w:val="20"/>
                <w:szCs w:val="20"/>
                <w:color w:val="auto"/>
              </w:rPr>
            </w:pPr>
            <w:r>
              <w:rPr>
                <w:rFonts w:ascii="Arial" w:cs="Arial" w:eastAsia="Arial" w:hAnsi="Arial"/>
                <w:sz w:val="18"/>
                <w:szCs w:val="18"/>
                <w:color w:val="auto"/>
              </w:rPr>
              <w:t>8,548,627</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164,793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14"/>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Gardner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110,726,531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9,026,746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392,200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14"/>
        </w:trPr>
        <w:tc>
          <w:tcPr>
            <w:tcW w:w="600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111,538,633</w:t>
            </w:r>
          </w:p>
        </w:tc>
        <w:tc>
          <w:tcPr>
            <w:tcW w:w="860" w:type="dxa"/>
            <w:vAlign w:val="bottom"/>
          </w:tcPr>
          <w:p>
            <w:pPr>
              <w:jc w:val="right"/>
              <w:spacing w:after="0"/>
              <w:rPr>
                <w:sz w:val="20"/>
                <w:szCs w:val="20"/>
                <w:color w:val="auto"/>
              </w:rPr>
            </w:pPr>
            <w:r>
              <w:rPr>
                <w:rFonts w:ascii="Arial" w:cs="Arial" w:eastAsia="Arial" w:hAnsi="Arial"/>
                <w:sz w:val="18"/>
                <w:szCs w:val="18"/>
                <w:color w:val="auto"/>
              </w:rPr>
              <w:t>8,473,754</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133,090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14"/>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108,090,167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11,892,159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163,151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14"/>
        </w:trPr>
        <w:tc>
          <w:tcPr>
            <w:tcW w:w="600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118,473,207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183,109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1,489,161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14"/>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Ariane de Rothschild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106,292,204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13,531,399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321,874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14"/>
        </w:trPr>
        <w:tc>
          <w:tcPr>
            <w:tcW w:w="6000" w:type="dxa"/>
            <w:vAlign w:val="bottom"/>
            <w:gridSpan w:val="2"/>
          </w:tcPr>
          <w:p>
            <w:pPr>
              <w:spacing w:after="0"/>
              <w:rPr>
                <w:sz w:val="20"/>
                <w:szCs w:val="20"/>
                <w:color w:val="auto"/>
              </w:rPr>
            </w:pPr>
            <w:r>
              <w:rPr>
                <w:rFonts w:ascii="Arial" w:cs="Arial" w:eastAsia="Arial" w:hAnsi="Arial"/>
                <w:sz w:val="18"/>
                <w:szCs w:val="18"/>
                <w:color w:val="auto"/>
              </w:rPr>
              <w:t>Shuky Sheffer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117,472,220</w:t>
            </w:r>
          </w:p>
        </w:tc>
        <w:tc>
          <w:tcPr>
            <w:tcW w:w="860" w:type="dxa"/>
            <w:vAlign w:val="bottom"/>
          </w:tcPr>
          <w:p>
            <w:pPr>
              <w:jc w:val="right"/>
              <w:spacing w:after="0"/>
              <w:rPr>
                <w:sz w:val="20"/>
                <w:szCs w:val="20"/>
                <w:color w:val="auto"/>
              </w:rPr>
            </w:pPr>
            <w:r>
              <w:rPr>
                <w:rFonts w:ascii="Arial" w:cs="Arial" w:eastAsia="Arial" w:hAnsi="Arial"/>
                <w:sz w:val="18"/>
                <w:szCs w:val="18"/>
                <w:color w:val="auto"/>
              </w:rPr>
              <w:t>2,538,120</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135,137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14"/>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Rafael de la Vega</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118,467,939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187,826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1,489,712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27"/>
        </w:trPr>
        <w:tc>
          <w:tcPr>
            <w:tcW w:w="6000" w:type="dxa"/>
            <w:vAlign w:val="bottom"/>
            <w:gridSpan w:val="2"/>
          </w:tcPr>
          <w:p>
            <w:pPr>
              <w:spacing w:after="0"/>
              <w:rPr>
                <w:sz w:val="20"/>
                <w:szCs w:val="20"/>
                <w:color w:val="auto"/>
              </w:rPr>
            </w:pPr>
            <w:r>
              <w:rPr>
                <w:rFonts w:ascii="Arial" w:cs="Arial" w:eastAsia="Arial" w:hAnsi="Arial"/>
                <w:sz w:val="18"/>
                <w:szCs w:val="18"/>
                <w:color w:val="auto"/>
              </w:rPr>
              <w:t>Giora Yaron</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119,730,592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281,720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133,165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i w:val="1"/>
          <w:iCs w:val="1"/>
          <w:u w:val="single" w:color="auto"/>
          <w:color w:val="auto"/>
        </w:rPr>
        <w:t>Proposal 2 – The approval of an increase in the dividend rate under the Company’s quarterly cash dividend program from $0.25 per share to $0.285 per share.</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shareholders approved an increase in the dividend rate under the Company’s quarterly cash dividend program from $0.25 per share to $0.285 per share. The voting results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16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15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Abstaining</w:t>
            </w:r>
          </w:p>
        </w:tc>
        <w:tc>
          <w:tcPr>
            <w:tcW w:w="14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600" w:type="dxa"/>
            <w:vAlign w:val="bottom"/>
          </w:tcPr>
          <w:p>
            <w:pPr>
              <w:spacing w:after="0"/>
              <w:rPr>
                <w:sz w:val="14"/>
                <w:szCs w:val="14"/>
                <w:color w:val="auto"/>
              </w:rPr>
            </w:pPr>
          </w:p>
        </w:tc>
      </w:tr>
      <w:tr>
        <w:trPr>
          <w:trHeight w:val="208"/>
        </w:trPr>
        <w:tc>
          <w:tcPr>
            <w:tcW w:w="18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120,019,210</w:t>
            </w:r>
          </w:p>
        </w:tc>
        <w:tc>
          <w:tcPr>
            <w:tcW w:w="274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4,273</w:t>
            </w:r>
          </w:p>
        </w:tc>
        <w:tc>
          <w:tcPr>
            <w:tcW w:w="288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121,994</w:t>
            </w:r>
          </w:p>
        </w:tc>
        <w:tc>
          <w:tcPr>
            <w:tcW w:w="282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23,955</w:t>
            </w:r>
          </w:p>
        </w:tc>
        <w:tc>
          <w:tcPr>
            <w:tcW w:w="600" w:type="dxa"/>
            <w:vAlign w:val="bottom"/>
            <w:shd w:val="clear" w:color="auto" w:fill="CCEEFF"/>
          </w:tcPr>
          <w:p>
            <w:pPr>
              <w:spacing w:after="0"/>
              <w:rPr>
                <w:sz w:val="18"/>
                <w:szCs w:val="18"/>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approval of the Company’s Consolidated Financial Statements for the fiscal year ended September 30, 2018.</w:t>
      </w:r>
    </w:p>
    <w:p>
      <w:pPr>
        <w:spacing w:after="0" w:line="22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2018. The voting results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16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15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Abstaining</w:t>
            </w:r>
          </w:p>
        </w:tc>
        <w:tc>
          <w:tcPr>
            <w:tcW w:w="14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600" w:type="dxa"/>
            <w:vAlign w:val="bottom"/>
          </w:tcPr>
          <w:p>
            <w:pPr>
              <w:spacing w:after="0"/>
              <w:rPr>
                <w:sz w:val="14"/>
                <w:szCs w:val="14"/>
                <w:color w:val="auto"/>
              </w:rPr>
            </w:pPr>
          </w:p>
        </w:tc>
      </w:tr>
      <w:tr>
        <w:trPr>
          <w:trHeight w:val="208"/>
        </w:trPr>
        <w:tc>
          <w:tcPr>
            <w:tcW w:w="18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119,730,946</w:t>
            </w:r>
          </w:p>
        </w:tc>
        <w:tc>
          <w:tcPr>
            <w:tcW w:w="274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6,153</w:t>
            </w:r>
          </w:p>
        </w:tc>
        <w:tc>
          <w:tcPr>
            <w:tcW w:w="288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408,378</w:t>
            </w:r>
          </w:p>
        </w:tc>
        <w:tc>
          <w:tcPr>
            <w:tcW w:w="282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23,955</w:t>
            </w:r>
          </w:p>
        </w:tc>
        <w:tc>
          <w:tcPr>
            <w:tcW w:w="600" w:type="dxa"/>
            <w:vAlign w:val="bottom"/>
            <w:shd w:val="clear" w:color="auto" w:fill="CCEEFF"/>
          </w:tcPr>
          <w:p>
            <w:pPr>
              <w:spacing w:after="0"/>
              <w:rPr>
                <w:sz w:val="18"/>
                <w:szCs w:val="18"/>
                <w:color w:val="auto"/>
              </w:rPr>
            </w:pPr>
          </w:p>
        </w:tc>
      </w:tr>
    </w:tbl>
    <w:p>
      <w:pPr>
        <w:spacing w:after="0" w:line="307"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i w:val="1"/>
          <w:iCs w:val="1"/>
          <w:u w:val="single" w:color="auto"/>
          <w:color w:val="auto"/>
        </w:rPr>
        <w:t>Proposal 4 – The ratification and approval of the appointment of Ernst &amp; Young LLP as the Company’s independent registered public accounting firm for the fiscal year ending September 30, 2019, and until the next annual general meeting, and authorization of the Audit Committee of the Board of Directors to fix the remuneration of such independent registered public accounting firm in accordance with the nature and extent of its services.</w:t>
      </w:r>
    </w:p>
    <w:p>
      <w:pPr>
        <w:sectPr>
          <w:pgSz w:w="12240" w:h="15840" w:orient="portrait"/>
          <w:cols w:equalWidth="0" w:num="1">
            <w:col w:w="10920"/>
          </w:cols>
          <w:pgMar w:left="660" w:top="128" w:right="660" w:bottom="1440" w:gutter="0" w:footer="0" w:header="0"/>
        </w:sectPr>
      </w:pPr>
    </w:p>
    <w:bookmarkStart w:id="2" w:name="page3"/>
    <w:bookmarkEnd w:id="2"/>
    <w:p>
      <w:pPr>
        <w:jc w:val="both"/>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The shareholders ratified and approved the appointment of Ernst &amp; Young LLP as the Company’s independent registered public accounting firm for the fiscal year ending September 30, 2019,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16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15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Abstaining</w:t>
            </w:r>
          </w:p>
        </w:tc>
        <w:tc>
          <w:tcPr>
            <w:tcW w:w="14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600" w:type="dxa"/>
            <w:vAlign w:val="bottom"/>
          </w:tcPr>
          <w:p>
            <w:pPr>
              <w:spacing w:after="0"/>
              <w:rPr>
                <w:sz w:val="14"/>
                <w:szCs w:val="14"/>
                <w:color w:val="auto"/>
              </w:rPr>
            </w:pPr>
          </w:p>
        </w:tc>
      </w:tr>
      <w:tr>
        <w:trPr>
          <w:trHeight w:val="208"/>
        </w:trPr>
        <w:tc>
          <w:tcPr>
            <w:tcW w:w="18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117,388,813</w:t>
            </w:r>
          </w:p>
        </w:tc>
        <w:tc>
          <w:tcPr>
            <w:tcW w:w="27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2,655,931</w:t>
            </w:r>
          </w:p>
        </w:tc>
        <w:tc>
          <w:tcPr>
            <w:tcW w:w="288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124,688</w:t>
            </w:r>
          </w:p>
        </w:tc>
        <w:tc>
          <w:tcPr>
            <w:tcW w:w="282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r>
    </w:tbl>
    <w:p>
      <w:pPr>
        <w:sectPr>
          <w:pgSz w:w="12240" w:h="15840" w:orient="portrait"/>
          <w:cols w:equalWidth="0" w:num="1">
            <w:col w:w="10920"/>
          </w:cols>
          <w:pgMar w:left="660" w:top="132" w:right="660" w:bottom="1440" w:gutter="0" w:footer="0" w:header="0"/>
        </w:sectPr>
      </w:pPr>
    </w:p>
    <w:bookmarkStart w:id="3" w:name="page4"/>
    <w:bookmarkEnd w:id="3"/>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SIGNATURES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AMDOCS LIMITED</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13335</wp:posOffset>
            </wp:positionV>
            <wp:extent cx="2540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p>
    <w:p>
      <w:pPr>
        <w:ind w:left="7360"/>
        <w:spacing w:after="0"/>
        <w:rPr>
          <w:sz w:val="20"/>
          <w:szCs w:val="20"/>
          <w:color w:val="auto"/>
        </w:rPr>
      </w:pPr>
      <w:r>
        <w:rPr>
          <w:rFonts w:ascii="Arial" w:cs="Arial" w:eastAsia="Arial" w:hAnsi="Arial"/>
          <w:sz w:val="17"/>
          <w:szCs w:val="17"/>
          <w:i w:val="1"/>
          <w:iCs w:val="1"/>
          <w:color w:val="auto"/>
        </w:rPr>
        <w:t>Secretary and 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2019</w:t>
      </w:r>
    </w:p>
    <w:sectPr>
      <w:pgSz w:w="12240" w:h="15840" w:orient="portrait"/>
      <w:cols w:equalWidth="0" w:num="1">
        <w:col w:w="10180"/>
      </w:cols>
      <w:pgMar w:left="660" w:top="128" w:right="14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2019-12-14T21:16:39Z</dcterms:created>
  <dcterms:modified xsi:type="dcterms:W3CDTF">2019-12-14T21:16:39Z</dcterms:modified>
</cp:coreProperties>
</file>