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168910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September 30, 2017</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3" w:lineRule="exact"/>
        <w:rPr>
          <w:sz w:val="24"/>
          <w:szCs w:val="24"/>
          <w:color w:val="auto"/>
        </w:rPr>
      </w:pPr>
    </w:p>
    <w:p>
      <w:pPr>
        <w:ind w:left="5600" w:right="3620" w:hanging="5592"/>
        <w:spacing w:after="0" w:line="405" w:lineRule="auto"/>
        <w:tabs>
          <w:tab w:leader="none" w:pos="448"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OR</w:t>
      </w:r>
    </w:p>
    <w:p>
      <w:pPr>
        <w:spacing w:after="0" w:line="10" w:lineRule="exact"/>
        <w:rPr>
          <w:rFonts w:ascii="MS PGothic" w:cs="MS PGothic" w:eastAsia="MS PGothic" w:hAnsi="MS PGothic"/>
          <w:sz w:val="14"/>
          <w:szCs w:val="1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123"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-1270</wp:posOffset>
            </wp:positionV>
            <wp:extent cx="457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72" w:lineRule="exact"/>
        <w:rPr>
          <w:sz w:val="24"/>
          <w:szCs w:val="24"/>
          <w:color w:val="auto"/>
        </w:rPr>
      </w:pPr>
    </w:p>
    <w:tbl>
      <w:tblPr>
        <w:tblLayout w:type="fixed"/>
        <w:tblInd w:w="392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72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0"/>
        </w:trPr>
        <w:tc>
          <w:tcPr>
            <w:tcW w:w="1900" w:type="dxa"/>
            <w:vAlign w:val="bottom"/>
          </w:tcPr>
          <w:p>
            <w:pPr>
              <w:ind w:left="740"/>
              <w:spacing w:after="0"/>
              <w:rPr>
                <w:sz w:val="20"/>
                <w:szCs w:val="20"/>
                <w:color w:val="auto"/>
              </w:rPr>
            </w:pPr>
            <w:r>
              <w:rPr>
                <w:rFonts w:ascii="Arial" w:cs="Arial" w:eastAsia="Arial" w:hAnsi="Arial"/>
                <w:sz w:val="14"/>
                <w:szCs w:val="14"/>
                <w:b w:val="1"/>
                <w:bCs w:val="1"/>
                <w:color w:val="auto"/>
              </w:rPr>
              <w:t>Commission File</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Number 1-14840</w:t>
            </w:r>
          </w:p>
        </w:tc>
        <w:tc>
          <w:tcPr>
            <w:tcW w:w="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121920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AMDOCS LIMITED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ind w:left="5140"/>
        <w:spacing w:after="0"/>
        <w:rPr>
          <w:sz w:val="20"/>
          <w:szCs w:val="20"/>
          <w:color w:val="auto"/>
        </w:rPr>
      </w:pPr>
      <w:r>
        <w:rPr>
          <w:rFonts w:ascii="Arial" w:cs="Arial" w:eastAsia="Arial" w:hAnsi="Arial"/>
          <w:sz w:val="14"/>
          <w:szCs w:val="14"/>
          <w:b w:val="1"/>
          <w:bCs w:val="1"/>
          <w:u w:val="single" w:color="auto"/>
          <w:color w:val="auto"/>
        </w:rPr>
        <w:t>Island of Guernsey</w:t>
      </w:r>
    </w:p>
    <w:p>
      <w:pPr>
        <w:ind w:left="4340"/>
        <w:spacing w:after="0" w:line="226"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19"/>
        <w:spacing w:after="0" w:line="222" w:lineRule="auto"/>
        <w:rPr>
          <w:sz w:val="20"/>
          <w:szCs w:val="20"/>
          <w:color w:val="auto"/>
        </w:rPr>
      </w:pPr>
      <w:r>
        <w:rPr>
          <w:rFonts w:ascii="Arial" w:cs="Arial" w:eastAsia="Arial" w:hAnsi="Arial"/>
          <w:sz w:val="14"/>
          <w:szCs w:val="14"/>
          <w:b w:val="1"/>
          <w:bCs w:val="1"/>
          <w:color w:val="auto"/>
        </w:rPr>
        <w:t>Hirzel House, Smith Street,</w:t>
      </w:r>
    </w:p>
    <w:p>
      <w:pPr>
        <w:jc w:val="center"/>
        <w:ind w:right="-19"/>
        <w:spacing w:after="0" w:line="221" w:lineRule="auto"/>
        <w:rPr>
          <w:sz w:val="20"/>
          <w:szCs w:val="20"/>
          <w:color w:val="auto"/>
        </w:rPr>
      </w:pPr>
      <w:r>
        <w:rPr>
          <w:rFonts w:ascii="Arial" w:cs="Arial" w:eastAsia="Arial" w:hAnsi="Arial"/>
          <w:sz w:val="14"/>
          <w:szCs w:val="14"/>
          <w:b w:val="1"/>
          <w:bCs w:val="1"/>
          <w:color w:val="auto"/>
        </w:rPr>
        <w:t>St. Peter Port, Guernsey, GY1 2NG</w:t>
      </w:r>
    </w:p>
    <w:p>
      <w:pPr>
        <w:jc w:val="center"/>
        <w:ind w:right="-19"/>
        <w:spacing w:after="0" w:line="222" w:lineRule="auto"/>
        <w:rPr>
          <w:sz w:val="20"/>
          <w:szCs w:val="20"/>
          <w:color w:val="auto"/>
        </w:rPr>
      </w:pPr>
      <w:r>
        <w:rPr>
          <w:rFonts w:ascii="Arial" w:cs="Arial" w:eastAsia="Arial" w:hAnsi="Arial"/>
          <w:sz w:val="14"/>
          <w:szCs w:val="14"/>
          <w:b w:val="1"/>
          <w:bCs w:val="1"/>
          <w:color w:val="auto"/>
        </w:rPr>
        <w:t>Amdocs, Inc.</w:t>
      </w:r>
    </w:p>
    <w:p>
      <w:pPr>
        <w:ind w:left="3760"/>
        <w:spacing w:after="0" w:line="221" w:lineRule="auto"/>
        <w:rPr>
          <w:sz w:val="20"/>
          <w:szCs w:val="20"/>
          <w:color w:val="auto"/>
        </w:rPr>
      </w:pPr>
      <w:r>
        <w:rPr>
          <w:rFonts w:ascii="Arial" w:cs="Arial" w:eastAsia="Arial" w:hAnsi="Arial"/>
          <w:sz w:val="14"/>
          <w:szCs w:val="14"/>
          <w:b w:val="1"/>
          <w:bCs w:val="1"/>
          <w:u w:val="single" w:color="auto"/>
          <w:color w:val="auto"/>
        </w:rPr>
        <w:t>1390 Timberlake Manor Parkway, Chesterfield, Missouri 63017</w:t>
      </w:r>
    </w:p>
    <w:p>
      <w:pPr>
        <w:ind w:left="45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Matthew E. Smith</w:t>
      </w:r>
    </w:p>
    <w:p>
      <w:pPr>
        <w:jc w:val="center"/>
        <w:ind w:right="-19"/>
        <w:spacing w:after="0" w:line="226"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314-212-8328</w:t>
      </w:r>
    </w:p>
    <w:p>
      <w:pPr>
        <w:jc w:val="center"/>
        <w:ind w:right="-19"/>
        <w:spacing w:after="0" w:line="222" w:lineRule="auto"/>
        <w:rPr>
          <w:sz w:val="20"/>
          <w:szCs w:val="20"/>
          <w:color w:val="auto"/>
        </w:rPr>
      </w:pPr>
      <w:r>
        <w:rPr>
          <w:rFonts w:ascii="Arial" w:cs="Arial" w:eastAsia="Arial" w:hAnsi="Arial"/>
          <w:sz w:val="14"/>
          <w:szCs w:val="14"/>
          <w:b w:val="1"/>
          <w:bCs w:val="1"/>
          <w:color w:val="auto"/>
        </w:rPr>
        <w:t>Email: dox_info@amdocs.com</w:t>
      </w:r>
    </w:p>
    <w:p>
      <w:pPr>
        <w:jc w:val="center"/>
        <w:ind w:right="-13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1860" w:type="dxa"/>
        <w:tblCellMar>
          <w:top w:w="0" w:type="dxa"/>
          <w:left w:w="0" w:type="dxa"/>
          <w:bottom w:w="0" w:type="dxa"/>
          <w:right w:w="0" w:type="dxa"/>
        </w:tblCellMar>
      </w:tblPr>
      <w:tr>
        <w:trPr>
          <w:trHeight w:val="164"/>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5"/>
              </w:rPr>
              <w:t>Ordinary</w:t>
            </w:r>
          </w:p>
        </w:tc>
        <w:tc>
          <w:tcPr>
            <w:tcW w:w="1020" w:type="dxa"/>
            <w:vAlign w:val="bottom"/>
          </w:tcPr>
          <w:p>
            <w:pPr>
              <w:spacing w:after="0"/>
              <w:rPr>
                <w:sz w:val="20"/>
                <w:szCs w:val="20"/>
                <w:color w:val="auto"/>
              </w:rPr>
            </w:pPr>
            <w:r>
              <w:rPr>
                <w:rFonts w:ascii="Arial" w:cs="Arial" w:eastAsia="Arial" w:hAnsi="Arial"/>
                <w:sz w:val="13"/>
                <w:szCs w:val="13"/>
                <w:b w:val="1"/>
                <w:bCs w:val="1"/>
                <w:color w:val="auto"/>
                <w:w w:val="86"/>
              </w:rPr>
              <w:t>Title of Each Class</w:t>
            </w:r>
          </w:p>
        </w:tc>
        <w:tc>
          <w:tcPr>
            <w:tcW w:w="2340" w:type="dxa"/>
            <w:vAlign w:val="bottom"/>
          </w:tcPr>
          <w:p>
            <w:pPr>
              <w:spacing w:after="0"/>
              <w:rPr>
                <w:sz w:val="14"/>
                <w:szCs w:val="14"/>
                <w:color w:val="auto"/>
              </w:rPr>
            </w:pPr>
          </w:p>
        </w:tc>
        <w:tc>
          <w:tcPr>
            <w:tcW w:w="4020" w:type="dxa"/>
            <w:vAlign w:val="bottom"/>
            <w:gridSpan w:val="3"/>
          </w:tcPr>
          <w:p>
            <w:pPr>
              <w:jc w:val="center"/>
              <w:ind w:left="1737"/>
              <w:spacing w:after="0"/>
              <w:rPr>
                <w:sz w:val="20"/>
                <w:szCs w:val="20"/>
                <w:color w:val="auto"/>
              </w:rPr>
            </w:pPr>
            <w:r>
              <w:rPr>
                <w:rFonts w:ascii="Arial" w:cs="Arial" w:eastAsia="Arial" w:hAnsi="Arial"/>
                <w:sz w:val="13"/>
                <w:szCs w:val="13"/>
                <w:b w:val="1"/>
                <w:bCs w:val="1"/>
                <w:color w:val="auto"/>
                <w:w w:val="87"/>
              </w:rPr>
              <w:t>Name of Exchange on Which Registered</w:t>
            </w:r>
          </w:p>
        </w:tc>
        <w:tc>
          <w:tcPr>
            <w:tcW w:w="0" w:type="dxa"/>
            <w:vAlign w:val="bottom"/>
          </w:tcPr>
          <w:p>
            <w:pPr>
              <w:spacing w:after="0"/>
              <w:rPr>
                <w:sz w:val="1"/>
                <w:szCs w:val="1"/>
                <w:color w:val="auto"/>
              </w:rPr>
            </w:pPr>
          </w:p>
        </w:tc>
      </w:tr>
      <w:tr>
        <w:trPr>
          <w:trHeight w:val="20"/>
        </w:trPr>
        <w:tc>
          <w:tcPr>
            <w:tcW w:w="520" w:type="dxa"/>
            <w:vAlign w:val="bottom"/>
            <w:vMerge w:val="continu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0" w:type="dxa"/>
            <w:vAlign w:val="bottom"/>
            <w:vMerge w:val="continue"/>
          </w:tcPr>
          <w:p>
            <w:pPr>
              <w:spacing w:after="0"/>
              <w:rPr>
                <w:sz w:val="15"/>
                <w:szCs w:val="15"/>
                <w:color w:val="auto"/>
              </w:rPr>
            </w:pPr>
          </w:p>
        </w:tc>
        <w:tc>
          <w:tcPr>
            <w:tcW w:w="3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 par value £0.01</w:t>
            </w:r>
          </w:p>
        </w:tc>
        <w:tc>
          <w:tcPr>
            <w:tcW w:w="1840" w:type="dxa"/>
            <w:vAlign w:val="bottom"/>
            <w:vMerge w:val="continue"/>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ind w:left="360"/>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ectPr>
          <w:pgSz w:w="11900" w:h="16838" w:orient="portrait"/>
          <w:cols w:equalWidth="0" w:num="1">
            <w:col w:w="11400"/>
          </w:cols>
          <w:pgMar w:left="240" w:top="230" w:right="259" w:bottom="579" w:gutter="0" w:footer="0" w:header="0"/>
        </w:sectPr>
      </w:pPr>
    </w:p>
    <w:p>
      <w:pPr>
        <w:spacing w:after="0" w:line="117"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Ordinary Shares, par value £0.01</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144,391,245(1)</w:t>
      </w:r>
    </w:p>
    <w:p>
      <w:pPr>
        <w:spacing w:after="0" w:line="37" w:lineRule="exact"/>
        <w:rPr>
          <w:sz w:val="24"/>
          <w:szCs w:val="24"/>
          <w:color w:val="auto"/>
        </w:rPr>
      </w:pPr>
    </w:p>
    <w:p>
      <w:pPr>
        <w:sectPr>
          <w:pgSz w:w="11900" w:h="16838" w:orient="portrait"/>
          <w:cols w:equalWidth="0" w:num="2">
            <w:col w:w="7480" w:space="720"/>
            <w:col w:w="3200"/>
          </w:cols>
          <w:pgMar w:left="240" w:top="230" w:right="259" w:bottom="579" w:gutter="0" w:footer="0" w:header="0"/>
          <w:type w:val="continuous"/>
        </w:sectPr>
      </w:pPr>
    </w:p>
    <w:p>
      <w:pPr>
        <w:ind w:left="2520"/>
        <w:spacing w:after="0"/>
        <w:rPr>
          <w:sz w:val="20"/>
          <w:szCs w:val="20"/>
          <w:color w:val="auto"/>
        </w:rPr>
      </w:pPr>
      <w:r>
        <w:rPr>
          <w:rFonts w:ascii="Arial" w:cs="Arial" w:eastAsia="Arial" w:hAnsi="Arial"/>
          <w:sz w:val="9"/>
          <w:szCs w:val="9"/>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(Number of shares)</w:t>
      </w:r>
    </w:p>
    <w:p>
      <w:pPr>
        <w:spacing w:after="0" w:line="69" w:lineRule="exact"/>
        <w:rPr>
          <w:sz w:val="24"/>
          <w:szCs w:val="24"/>
          <w:color w:val="auto"/>
        </w:rPr>
      </w:pPr>
    </w:p>
    <w:p>
      <w:pPr>
        <w:sectPr>
          <w:pgSz w:w="11900" w:h="16838" w:orient="portrait"/>
          <w:cols w:equalWidth="0" w:num="2">
            <w:col w:w="7420" w:space="720"/>
            <w:col w:w="3260"/>
          </w:cols>
          <w:pgMar w:left="240" w:top="230" w:right="259" w:bottom="579" w:gutter="0" w:footer="0" w:header="0"/>
          <w:type w:val="continuous"/>
        </w:sectPr>
      </w:pPr>
    </w:p>
    <w:p>
      <w:pPr>
        <w:spacing w:after="0" w:line="27" w:lineRule="exact"/>
        <w:rPr>
          <w:sz w:val="24"/>
          <w:szCs w:val="24"/>
          <w:color w:val="auto"/>
        </w:rPr>
      </w:pPr>
    </w:p>
    <w:p>
      <w:pPr>
        <w:ind w:left="36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5">
            <w:col w:w="7100" w:space="140"/>
            <w:col w:w="220" w:space="60"/>
            <w:col w:w="140" w:space="140"/>
            <w:col w:w="180" w:space="80"/>
            <w:col w:w="3340"/>
          </w:cols>
          <w:pgMar w:left="240" w:top="230" w:right="259" w:bottom="579" w:gutter="0" w:footer="0" w:header="0"/>
          <w:type w:val="continuous"/>
        </w:sectPr>
      </w:pPr>
    </w:p>
    <w:p>
      <w:pPr>
        <w:ind w:right="680" w:firstLine="342"/>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34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342"/>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140" w:firstLine="34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52" w:lineRule="exact"/>
        <w:rPr>
          <w:sz w:val="24"/>
          <w:szCs w:val="24"/>
          <w:color w:val="auto"/>
        </w:rPr>
      </w:pPr>
    </w:p>
    <w:p>
      <w:pPr>
        <w:ind w:left="1920"/>
        <w:spacing w:after="0" w:line="161" w:lineRule="exact"/>
        <w:tabs>
          <w:tab w:leader="none" w:pos="3960" w:val="left"/>
          <w:tab w:leader="none" w:pos="5700" w:val="left"/>
          <w:tab w:leader="none" w:pos="7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95" w:lineRule="exact"/>
        <w:rPr>
          <w:sz w:val="24"/>
          <w:szCs w:val="24"/>
          <w:color w:val="auto"/>
        </w:rPr>
      </w:pPr>
    </w:p>
    <w:tbl>
      <w:tblPr>
        <w:tblLayout w:type="fixed"/>
        <w:tblInd w:w="1000" w:type="dxa"/>
        <w:tblCellMar>
          <w:top w:w="0" w:type="dxa"/>
          <w:left w:w="0" w:type="dxa"/>
          <w:bottom w:w="0" w:type="dxa"/>
          <w:right w:w="0" w:type="dxa"/>
        </w:tblCellMar>
      </w:tblPr>
      <w:tr>
        <w:trPr>
          <w:trHeight w:val="168"/>
        </w:trPr>
        <w:tc>
          <w:tcPr>
            <w:tcW w:w="212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5540" w:type="dxa"/>
            <w:vAlign w:val="bottom"/>
          </w:tcPr>
          <w:p>
            <w:pPr>
              <w:jc w:val="center"/>
              <w:spacing w:after="0"/>
              <w:rPr>
                <w:sz w:val="20"/>
                <w:szCs w:val="20"/>
                <w:color w:val="auto"/>
              </w:rPr>
            </w:pPr>
            <w:r>
              <w:rPr>
                <w:rFonts w:ascii="Arial" w:cs="Arial" w:eastAsia="Arial" w:hAnsi="Arial"/>
                <w:sz w:val="14"/>
                <w:szCs w:val="14"/>
                <w:color w:val="auto"/>
                <w:w w:val="92"/>
              </w:rPr>
              <w:t>International Financial Reporting Standards as issued</w:t>
            </w:r>
          </w:p>
        </w:tc>
        <w:tc>
          <w:tcPr>
            <w:tcW w:w="1760" w:type="dxa"/>
            <w:vAlign w:val="bottom"/>
          </w:tcPr>
          <w:p>
            <w:pPr>
              <w:ind w:left="1220"/>
              <w:spacing w:after="0" w:line="161" w:lineRule="exact"/>
              <w:rPr>
                <w:sz w:val="20"/>
                <w:szCs w:val="20"/>
                <w:color w:val="auto"/>
              </w:rPr>
            </w:pPr>
            <w:r>
              <w:rPr>
                <w:rFonts w:ascii="Arial" w:cs="Arial" w:eastAsia="Arial" w:hAnsi="Arial"/>
                <w:sz w:val="14"/>
                <w:szCs w:val="14"/>
                <w:color w:val="auto"/>
                <w:w w:val="98"/>
              </w:rPr>
              <w:t xml:space="preserve">Other </w:t>
            </w:r>
            <w:r>
              <w:rPr>
                <w:rFonts w:ascii="MS PGothic" w:cs="MS PGothic" w:eastAsia="MS PGothic" w:hAnsi="MS PGothic"/>
                <w:sz w:val="14"/>
                <w:szCs w:val="14"/>
                <w:color w:val="auto"/>
                <w:w w:val="98"/>
              </w:rPr>
              <w:t>☐</w:t>
            </w:r>
          </w:p>
        </w:tc>
      </w:tr>
      <w:tr>
        <w:trPr>
          <w:trHeight w:val="226"/>
        </w:trPr>
        <w:tc>
          <w:tcPr>
            <w:tcW w:w="2120" w:type="dxa"/>
            <w:vAlign w:val="bottom"/>
          </w:tcPr>
          <w:p>
            <w:pPr>
              <w:spacing w:after="0"/>
              <w:rPr>
                <w:sz w:val="19"/>
                <w:szCs w:val="19"/>
                <w:color w:val="auto"/>
              </w:rPr>
            </w:pPr>
          </w:p>
        </w:tc>
        <w:tc>
          <w:tcPr>
            <w:tcW w:w="5540" w:type="dxa"/>
            <w:vAlign w:val="bottom"/>
          </w:tcPr>
          <w:p>
            <w:pPr>
              <w:jc w:val="center"/>
              <w:spacing w:after="0" w:line="161" w:lineRule="exact"/>
              <w:rPr>
                <w:sz w:val="20"/>
                <w:szCs w:val="20"/>
                <w:color w:val="auto"/>
              </w:rPr>
            </w:pPr>
            <w:r>
              <w:rPr>
                <w:rFonts w:ascii="Arial" w:cs="Arial" w:eastAsia="Arial" w:hAnsi="Arial"/>
                <w:sz w:val="14"/>
                <w:szCs w:val="14"/>
                <w:color w:val="auto"/>
                <w:w w:val="95"/>
              </w:rPr>
              <w:t xml:space="preserve">by the International Accounting Standards Board </w:t>
            </w:r>
            <w:r>
              <w:rPr>
                <w:rFonts w:ascii="MS PGothic" w:cs="MS PGothic" w:eastAsia="MS PGothic" w:hAnsi="MS PGothic"/>
                <w:sz w:val="14"/>
                <w:szCs w:val="14"/>
                <w:color w:val="auto"/>
                <w:w w:val="95"/>
              </w:rPr>
              <w:t>☐</w:t>
            </w:r>
          </w:p>
        </w:tc>
        <w:tc>
          <w:tcPr>
            <w:tcW w:w="1760" w:type="dxa"/>
            <w:vAlign w:val="bottom"/>
          </w:tcPr>
          <w:p>
            <w:pPr>
              <w:spacing w:after="0"/>
              <w:rPr>
                <w:sz w:val="19"/>
                <w:szCs w:val="19"/>
                <w:color w:val="auto"/>
              </w:rPr>
            </w:pPr>
          </w:p>
        </w:tc>
      </w:tr>
    </w:tbl>
    <w:p>
      <w:pPr>
        <w:spacing w:after="0" w:line="66" w:lineRule="exact"/>
        <w:rPr>
          <w:sz w:val="24"/>
          <w:szCs w:val="24"/>
          <w:color w:val="auto"/>
        </w:rPr>
      </w:pPr>
    </w:p>
    <w:p>
      <w:pPr>
        <w:ind w:right="300" w:firstLine="342"/>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360"/>
        <w:spacing w:after="0" w:line="161" w:lineRule="exact"/>
        <w:tabs>
          <w:tab w:leader="none" w:pos="8980" w:val="left"/>
        </w:tabs>
        <w:rPr>
          <w:sz w:val="20"/>
          <w:szCs w:val="20"/>
          <w:color w:val="auto"/>
        </w:rPr>
      </w:pPr>
      <w:r>
        <w:rPr>
          <w:rFonts w:ascii="Arial" w:cs="Arial" w:eastAsia="Arial" w:hAnsi="Arial"/>
          <w:sz w:val="13"/>
          <w:szCs w:val="13"/>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40" w:right="100" w:hanging="332"/>
        <w:spacing w:after="0" w:line="25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129,381,710 shares held in treasury. Does not include 7,091,421 ordinary shares reserved for issuance upon exercise of stock options and vesting of restricted stock units granted under our stock option plan or by companies we have acquired.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579"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rPr>
              <w:t>AMDOCS LIMITED</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gridSpan w:val="6"/>
          </w:tcPr>
          <w:p>
            <w:pPr>
              <w:jc w:val="center"/>
              <w:ind w:right="3600"/>
              <w:spacing w:after="0"/>
              <w:rPr>
                <w:sz w:val="20"/>
                <w:szCs w:val="20"/>
                <w:color w:val="auto"/>
              </w:rPr>
            </w:pPr>
            <w:r>
              <w:rPr>
                <w:rFonts w:ascii="Arial" w:cs="Arial" w:eastAsia="Arial" w:hAnsi="Arial"/>
                <w:sz w:val="18"/>
                <w:szCs w:val="18"/>
                <w:b w:val="1"/>
                <w:bCs w:val="1"/>
                <w:color w:val="auto"/>
                <w:w w:val="98"/>
              </w:rPr>
              <w:t>FORM 20-F</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80" w:type="dxa"/>
            <w:vAlign w:val="bottom"/>
            <w:gridSpan w:val="25"/>
          </w:tcPr>
          <w:p>
            <w:pPr>
              <w:jc w:val="center"/>
              <w:ind w:right="920"/>
              <w:spacing w:after="0"/>
              <w:rPr>
                <w:sz w:val="20"/>
                <w:szCs w:val="20"/>
                <w:color w:val="auto"/>
              </w:rPr>
            </w:pPr>
            <w:r>
              <w:rPr>
                <w:rFonts w:ascii="Arial" w:cs="Arial" w:eastAsia="Arial" w:hAnsi="Arial"/>
                <w:sz w:val="18"/>
                <w:szCs w:val="18"/>
                <w:b w:val="1"/>
                <w:bCs w:val="1"/>
                <w:color w:val="auto"/>
                <w:w w:val="98"/>
              </w:rPr>
              <w:t>ANNUAL REPORT FOR THE FISCAL YEAR ENDED SEPTEMBER 30, 2017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5"/>
          </w:tcPr>
          <w:p>
            <w:pPr>
              <w:jc w:val="center"/>
              <w:ind w:right="3720"/>
              <w:spacing w:after="0"/>
              <w:rPr>
                <w:sz w:val="20"/>
                <w:szCs w:val="20"/>
                <w:color w:val="auto"/>
              </w:rPr>
            </w:pPr>
            <w:r>
              <w:rPr>
                <w:rFonts w:ascii="Arial" w:cs="Arial" w:eastAsia="Arial" w:hAnsi="Arial"/>
                <w:sz w:val="18"/>
                <w:szCs w:val="18"/>
                <w:b w:val="1"/>
                <w:bCs w:val="1"/>
                <w:color w:val="auto"/>
              </w:rPr>
              <w:t>INDEX</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5"/>
          </w:tcPr>
          <w:p>
            <w:pPr>
              <w:ind w:left="120"/>
              <w:spacing w:after="0"/>
              <w:rPr>
                <w:sz w:val="20"/>
                <w:szCs w:val="20"/>
                <w:color w:val="auto"/>
              </w:rPr>
            </w:pPr>
            <w:r>
              <w:rPr>
                <w:rFonts w:ascii="Arial" w:cs="Arial" w:eastAsia="Arial" w:hAnsi="Arial"/>
                <w:sz w:val="18"/>
                <w:szCs w:val="18"/>
                <w:b w:val="1"/>
                <w:bCs w:val="1"/>
                <w:color w:val="auto"/>
              </w:rPr>
              <w:t>PART 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8580" w:type="dxa"/>
            <w:vAlign w:val="bottom"/>
            <w:gridSpan w:val="28"/>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Identity of Directors, Senior Management and Advisers</w:t>
              </w:r>
            </w:hyperlink>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28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458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8580" w:type="dxa"/>
            <w:vAlign w:val="bottom"/>
            <w:gridSpan w:val="2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4.</w:t>
            </w: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21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Information on the Company</w:t>
              </w:r>
            </w:hyperlink>
          </w:p>
        </w:tc>
        <w:tc>
          <w:tcPr>
            <w:tcW w:w="6480" w:type="dxa"/>
            <w:vAlign w:val="bottom"/>
            <w:gridSpan w:val="1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4A.</w:t>
            </w: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Unresolved Staff Comments</w:t>
              </w:r>
            </w:hyperlink>
          </w:p>
        </w:tc>
        <w:tc>
          <w:tcPr>
            <w:tcW w:w="6520" w:type="dxa"/>
            <w:vAlign w:val="bottom"/>
            <w:gridSpan w:val="1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5.</w:t>
            </w:r>
          </w:p>
        </w:tc>
        <w:tc>
          <w:tcPr>
            <w:tcW w:w="33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Operating and Financial Review and Prospects</w:t>
              </w:r>
            </w:hyperlink>
          </w:p>
        </w:tc>
        <w:tc>
          <w:tcPr>
            <w:tcW w:w="5200" w:type="dxa"/>
            <w:vAlign w:val="bottom"/>
            <w:gridSpan w:val="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8580" w:type="dxa"/>
            <w:vAlign w:val="bottom"/>
            <w:gridSpan w:val="2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Directors, Senior Management and Employees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7.</w:t>
            </w: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37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Major Shareholders and Related Party Transactions</w:t>
              </w:r>
            </w:hyperlink>
          </w:p>
        </w:tc>
        <w:tc>
          <w:tcPr>
            <w:tcW w:w="4860" w:type="dxa"/>
            <w:vAlign w:val="bottom"/>
            <w:gridSpan w:val="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8.</w:t>
            </w:r>
          </w:p>
        </w:tc>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Financial Information</w:t>
              </w:r>
            </w:hyperlink>
          </w:p>
        </w:tc>
        <w:tc>
          <w:tcPr>
            <w:tcW w:w="6980" w:type="dxa"/>
            <w:vAlign w:val="bottom"/>
            <w:gridSpan w:val="2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9.</w:t>
            </w: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The Offer and Listing</w:t>
              </w:r>
            </w:hyperlink>
          </w:p>
        </w:tc>
        <w:tc>
          <w:tcPr>
            <w:tcW w:w="7000" w:type="dxa"/>
            <w:vAlign w:val="bottom"/>
            <w:gridSpan w:val="2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10.</w:t>
            </w: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Additional Information</w:t>
              </w:r>
            </w:hyperlink>
          </w:p>
        </w:tc>
        <w:tc>
          <w:tcPr>
            <w:tcW w:w="6900" w:type="dxa"/>
            <w:vAlign w:val="bottom"/>
            <w:gridSpan w:val="1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11.</w:t>
            </w:r>
          </w:p>
        </w:tc>
        <w:tc>
          <w:tcPr>
            <w:tcW w:w="8580" w:type="dxa"/>
            <w:vAlign w:val="bottom"/>
            <w:gridSpan w:val="2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12.</w:t>
            </w:r>
          </w:p>
        </w:tc>
        <w:tc>
          <w:tcPr>
            <w:tcW w:w="43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Securities Other than Equity Securities</w:t>
              </w:r>
            </w:hyperlink>
          </w:p>
        </w:tc>
        <w:tc>
          <w:tcPr>
            <w:tcW w:w="422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13.</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gridSpan w:val="7"/>
          </w:tcPr>
          <w:p>
            <w:pPr>
              <w:jc w:val="center"/>
              <w:ind w:right="3900"/>
              <w:spacing w:after="0"/>
              <w:rPr>
                <w:sz w:val="20"/>
                <w:szCs w:val="20"/>
                <w:color w:val="auto"/>
              </w:rPr>
            </w:pPr>
            <w:r>
              <w:rPr>
                <w:rFonts w:ascii="Arial" w:cs="Arial" w:eastAsia="Arial" w:hAnsi="Arial"/>
                <w:sz w:val="18"/>
                <w:szCs w:val="18"/>
                <w:b w:val="1"/>
                <w:bCs w:val="1"/>
                <w:color w:val="auto"/>
                <w:w w:val="99"/>
              </w:rPr>
              <w:t>PART 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8580" w:type="dxa"/>
            <w:vAlign w:val="bottom"/>
            <w:gridSpan w:val="28"/>
          </w:tcPr>
          <w:p>
            <w:pPr>
              <w:spacing w:after="0" w:line="190" w:lineRule="exact"/>
              <w:rPr>
                <w:rFonts w:ascii="Arial" w:cs="Arial" w:eastAsia="Arial" w:hAnsi="Arial"/>
                <w:sz w:val="18"/>
                <w:szCs w:val="18"/>
                <w:color w:val="0000EE"/>
              </w:rPr>
            </w:pPr>
            <w:hyperlink w:anchor="page67">
              <w:r>
                <w:rPr>
                  <w:rFonts w:ascii="Arial" w:cs="Arial" w:eastAsia="Arial" w:hAnsi="Arial"/>
                  <w:sz w:val="18"/>
                  <w:szCs w:val="18"/>
                  <w:color w:val="0000EE"/>
                </w:rPr>
                <w:t>Defaults, Dividend Arrearages and Delinquencies</w:t>
              </w:r>
            </w:hyperlink>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14.</w:t>
            </w: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Material Modifications to the Rights of Security Holders and Use of Proceeds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15.</w:t>
            </w:r>
          </w:p>
        </w:tc>
        <w:tc>
          <w:tcPr>
            <w:tcW w:w="1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Controls and Procedures</w:t>
              </w:r>
            </w:hyperlink>
          </w:p>
        </w:tc>
        <w:tc>
          <w:tcPr>
            <w:tcW w:w="3820" w:type="dxa"/>
            <w:vAlign w:val="bottom"/>
            <w:tcBorders>
              <w:top w:val="single" w:sz="8" w:color="0000EE"/>
            </w:tcBorders>
            <w:gridSpan w:val="16"/>
          </w:tcPr>
          <w:p>
            <w:pPr>
              <w:spacing w:after="0"/>
              <w:rPr>
                <w:sz w:val="17"/>
                <w:szCs w:val="17"/>
                <w:color w:val="auto"/>
              </w:rPr>
            </w:pPr>
          </w:p>
        </w:tc>
        <w:tc>
          <w:tcPr>
            <w:tcW w:w="29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16A.</w:t>
            </w:r>
          </w:p>
        </w:tc>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Audit Committee Financial Expert</w:t>
              </w:r>
            </w:hyperlink>
          </w:p>
        </w:tc>
        <w:tc>
          <w:tcPr>
            <w:tcW w:w="6080" w:type="dxa"/>
            <w:vAlign w:val="bottom"/>
            <w:gridSpan w:val="1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16B.</w:t>
            </w: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Code of Ethics</w:t>
              </w:r>
            </w:hyperlink>
          </w:p>
        </w:tc>
        <w:tc>
          <w:tcPr>
            <w:tcW w:w="7500" w:type="dxa"/>
            <w:vAlign w:val="bottom"/>
            <w:gridSpan w:val="2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16C.</w:t>
            </w:r>
          </w:p>
        </w:tc>
        <w:tc>
          <w:tcPr>
            <w:tcW w:w="8580" w:type="dxa"/>
            <w:vAlign w:val="bottom"/>
            <w:gridSpan w:val="2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Principal Accountant Fees and Services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16D.</w:t>
            </w: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44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Exemptions from the Listing Standards for Audit Committees</w:t>
              </w:r>
            </w:hyperlink>
          </w:p>
        </w:tc>
        <w:tc>
          <w:tcPr>
            <w:tcW w:w="412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16E.</w:t>
            </w:r>
          </w:p>
        </w:tc>
        <w:tc>
          <w:tcPr>
            <w:tcW w:w="50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Purchases of Equity Securities by the Issuer and Affiliated Purchasers</w:t>
              </w:r>
            </w:hyperlink>
          </w:p>
        </w:tc>
        <w:tc>
          <w:tcPr>
            <w:tcW w:w="354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16F.</w:t>
            </w:r>
          </w:p>
        </w:tc>
        <w:tc>
          <w:tcPr>
            <w:tcW w:w="8580" w:type="dxa"/>
            <w:vAlign w:val="bottom"/>
            <w:gridSpan w:val="2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Change in Registrant’s Certifying Accountant</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16G.</w:t>
            </w:r>
          </w:p>
        </w:tc>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Corporate Governance</w:t>
              </w:r>
            </w:hyperlink>
          </w:p>
        </w:tc>
        <w:tc>
          <w:tcPr>
            <w:tcW w:w="1720" w:type="dxa"/>
            <w:vAlign w:val="bottom"/>
            <w:tcBorders>
              <w:top w:val="single" w:sz="8" w:color="0000EE"/>
            </w:tcBorders>
            <w:gridSpan w:val="10"/>
          </w:tcPr>
          <w:p>
            <w:pPr>
              <w:spacing w:after="0"/>
              <w:rPr>
                <w:sz w:val="17"/>
                <w:szCs w:val="17"/>
                <w:color w:val="auto"/>
              </w:rPr>
            </w:pPr>
          </w:p>
        </w:tc>
        <w:tc>
          <w:tcPr>
            <w:tcW w:w="522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16H.</w:t>
            </w:r>
          </w:p>
        </w:tc>
        <w:tc>
          <w:tcPr>
            <w:tcW w:w="8580" w:type="dxa"/>
            <w:vAlign w:val="bottom"/>
            <w:gridSpan w:val="2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38"/>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17.</w:t>
            </w:r>
          </w:p>
        </w:tc>
        <w:tc>
          <w:tcPr>
            <w:tcW w:w="6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gridSpan w:val="7"/>
          </w:tcPr>
          <w:p>
            <w:pPr>
              <w:jc w:val="center"/>
              <w:ind w:right="3900"/>
              <w:spacing w:after="0"/>
              <w:rPr>
                <w:sz w:val="20"/>
                <w:szCs w:val="20"/>
                <w:color w:val="auto"/>
              </w:rPr>
            </w:pPr>
            <w:r>
              <w:rPr>
                <w:rFonts w:ascii="Arial" w:cs="Arial" w:eastAsia="Arial" w:hAnsi="Arial"/>
                <w:sz w:val="18"/>
                <w:szCs w:val="18"/>
                <w:b w:val="1"/>
                <w:bCs w:val="1"/>
                <w:color w:val="auto"/>
              </w:rPr>
              <w:t>PART III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1520" w:type="dxa"/>
            <w:vAlign w:val="bottom"/>
            <w:tcBorders>
              <w:bottom w:val="single" w:sz="8" w:color="0000EE"/>
            </w:tcBorders>
            <w:gridSpan w:val="5"/>
          </w:tcPr>
          <w:p>
            <w:pPr>
              <w:spacing w:after="0" w:line="190"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Financial Statements</w:t>
              </w:r>
            </w:hyperlink>
          </w:p>
        </w:tc>
        <w:tc>
          <w:tcPr>
            <w:tcW w:w="7060" w:type="dxa"/>
            <w:vAlign w:val="bottom"/>
            <w:gridSpan w:val="23"/>
          </w:tcPr>
          <w:p>
            <w:pPr>
              <w:spacing w:after="0"/>
              <w:rPr>
                <w:sz w:val="16"/>
                <w:szCs w:val="16"/>
                <w:color w:val="auto"/>
              </w:rPr>
            </w:pPr>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18.</w:t>
            </w:r>
          </w:p>
        </w:tc>
        <w:tc>
          <w:tcPr>
            <w:tcW w:w="8580" w:type="dxa"/>
            <w:vAlign w:val="bottom"/>
            <w:gridSpan w:val="2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Financial Statements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b w:val="1"/>
                <w:bCs w:val="1"/>
                <w:color w:val="auto"/>
              </w:rPr>
              <w:t>Item 19.</w:t>
            </w:r>
          </w:p>
        </w:tc>
        <w:tc>
          <w:tcPr>
            <w:tcW w:w="1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7080" w:type="dxa"/>
            <w:vAlign w:val="bottom"/>
            <w:gridSpan w:val="2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80" w:type="dxa"/>
            <w:vAlign w:val="bottom"/>
            <w:gridSpan w:val="13"/>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9"/>
              </w:rPr>
            </w:pPr>
            <w:hyperlink w:anchor="page74">
              <w:r>
                <w:rPr>
                  <w:rFonts w:ascii="Arial" w:cs="Arial" w:eastAsia="Arial" w:hAnsi="Arial"/>
                  <w:sz w:val="18"/>
                  <w:szCs w:val="18"/>
                  <w:b w:val="1"/>
                  <w:bCs w:val="1"/>
                  <w:color w:val="0000EE"/>
                  <w:w w:val="89"/>
                </w:rPr>
                <w:t>Index to Consolidated Financial Statements</w:t>
              </w:r>
            </w:hyperlink>
          </w:p>
        </w:tc>
        <w:tc>
          <w:tcPr>
            <w:tcW w:w="6300" w:type="dxa"/>
            <w:vAlign w:val="bottom"/>
            <w:gridSpan w:val="1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2017 as “fiscal 2017.”</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 CES™ and The New World of Customer Experience™, among others.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please read the information set forth below under the caption “Risk Factors.”</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KEY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2017 is derived from our consolidated financial statements, which have been audited by Ernst &amp; Young LLP, our independent registered public accounting firm. You should read the information presented below in conjunction with those statements.</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3"/>
          </w:tcPr>
          <w:p>
            <w:pPr>
              <w:jc w:val="right"/>
              <w:ind w:right="713"/>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$3,867,155</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$3,718,229</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$ 3,643,538</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$ 3,563,637</w:t>
            </w:r>
          </w:p>
        </w:tc>
        <w:tc>
          <w:tcPr>
            <w:tcW w:w="1020" w:type="dxa"/>
            <w:vAlign w:val="bottom"/>
          </w:tcPr>
          <w:p>
            <w:pPr>
              <w:jc w:val="right"/>
              <w:spacing w:after="0"/>
              <w:rPr>
                <w:sz w:val="20"/>
                <w:szCs w:val="20"/>
                <w:color w:val="auto"/>
              </w:rPr>
            </w:pPr>
            <w:r>
              <w:rPr>
                <w:rFonts w:ascii="Arial" w:cs="Arial" w:eastAsia="Arial" w:hAnsi="Arial"/>
                <w:sz w:val="18"/>
                <w:szCs w:val="18"/>
                <w:color w:val="auto"/>
              </w:rPr>
              <w:t>$ 3,345,854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517,333</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483,141</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515,948</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495,648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436,826</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409,331</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446,163</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422,122</w:t>
            </w:r>
          </w:p>
        </w:tc>
        <w:tc>
          <w:tcPr>
            <w:tcW w:w="1020" w:type="dxa"/>
            <w:vAlign w:val="bottom"/>
          </w:tcPr>
          <w:p>
            <w:pPr>
              <w:jc w:val="right"/>
              <w:spacing w:after="0"/>
              <w:rPr>
                <w:sz w:val="20"/>
                <w:szCs w:val="20"/>
                <w:color w:val="auto"/>
              </w:rPr>
            </w:pPr>
            <w:r>
              <w:rPr>
                <w:rFonts w:ascii="Arial" w:cs="Arial" w:eastAsia="Arial" w:hAnsi="Arial"/>
                <w:sz w:val="18"/>
                <w:szCs w:val="18"/>
                <w:color w:val="auto"/>
              </w:rPr>
              <w:t>412,439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2.99</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2.74</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2.89</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2.96</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2.71</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2.85</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2.62</w:t>
            </w: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share(1)</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0.855</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0.755</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0.665</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0.595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1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3"/>
              </w:rPr>
              <w:t>Cash, cash equivalents and short-term interest-bearing investments</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  979,608</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$1,095,723</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$1,354,012</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$1,424,465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$1,326,380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5,279,380</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5,331,355</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5,324,652</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5,185,277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4,925,813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Long-term obligations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571</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Shareholders’ equity</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3,574,070</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3,453,561</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3,406,842</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3,395,836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3,274,783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60" w:hanging="436"/>
        <w:spacing w:after="0" w:line="285"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fourth quarter of fiscal 2012, we instituted a discretionary quarterly cash dividend program in the amount of $0.13 per share, with the first payment in the first quarter of fiscal 2013. In January 2014, January 2015, February 2016 and January 2017, our shareholders approved increases in the rate of the quarterly cash dividend to $0.155 per share, $0.17 per share, $0.195 per share and $0.22 per share, respectively. In November 2017, our Board of Directors approved, subject to shareholder approval at the January 2018 annual general meeting of shareholders, an increase in the rate of the quarterly cash dividend to $0.25 per share, with the first payment anticipated to be paid in April 2018.</w:t>
      </w:r>
    </w:p>
    <w:p>
      <w:pPr>
        <w:spacing w:after="0" w:line="2" w:lineRule="exact"/>
        <w:rPr>
          <w:rFonts w:ascii="Arial" w:cs="Arial" w:eastAsia="Arial" w:hAnsi="Arial"/>
          <w:sz w:val="16"/>
          <w:szCs w:val="16"/>
          <w:color w:val="auto"/>
        </w:rPr>
      </w:pPr>
    </w:p>
    <w:p>
      <w:pPr>
        <w:ind w:left="640" w:right="80" w:hanging="436"/>
        <w:spacing w:after="0" w:line="26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September 6, 2016 (the “Redemption Date”), we redeemed all of our outstanding convertible notes due 2024 at a redemption price of 100% of the principal amount of the notes, plus accrued and unpaid interest up to, but excluding, the Redemption Date.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80" w:type="dxa"/>
            <w:vAlign w:val="bottom"/>
            <w:gridSpan w:val="4"/>
            <w:vMerge w:val="restart"/>
          </w:tcPr>
          <w:p>
            <w:pPr>
              <w:jc w:val="right"/>
              <w:ind w:right="151"/>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100" w:type="dxa"/>
            <w:vAlign w:val="bottom"/>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restart"/>
          </w:tcPr>
          <w:p>
            <w:pPr>
              <w:jc w:val="right"/>
              <w:ind w:right="114"/>
              <w:spacing w:after="0" w:line="149"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6"/>
                <w:szCs w:val="6"/>
                <w:color w:val="auto"/>
              </w:rPr>
            </w:pPr>
          </w:p>
        </w:tc>
        <w:tc>
          <w:tcPr>
            <w:tcW w:w="10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100" w:type="dxa"/>
            <w:vAlign w:val="bottom"/>
          </w:tcPr>
          <w:p>
            <w:pPr>
              <w:spacing w:after="0"/>
              <w:rPr>
                <w:sz w:val="4"/>
                <w:szCs w:val="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194"/>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Balance as of September 30, 2014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156,704</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$ 4,284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$3,054,780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$(3,157,085)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78,543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(8,596)</w:t>
            </w:r>
          </w:p>
        </w:tc>
        <w:tc>
          <w:tcPr>
            <w:tcW w:w="14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(454,020)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rPr>
              <w:t>Balance as of September 30, 2015</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151,150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4,331</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3,182,573</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(3,611,105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89,728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(7,236)</w:t>
            </w:r>
          </w:p>
        </w:tc>
        <w:tc>
          <w:tcPr>
            <w:tcW w:w="14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(413,423)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rPr>
              <w:t>Balance as of September 30, 2016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147,134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4,377</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3,322,789</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(4,024,527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(5,519)</w:t>
            </w:r>
          </w:p>
        </w:tc>
        <w:tc>
          <w:tcPr>
            <w:tcW w:w="14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(340,597)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44,539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Balance as of September 30, 2017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144,391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4,410</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3,458,887</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(4,365,124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 w:hanging="436"/>
        <w:spacing w:after="0" w:line="284"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From time to time, our Board of Directors has adopted share repurchase plans authorizing the repurchase of our outstanding ordinary shares. In April 2014, our Board of Directors adopted a share repurchase plan authorizing the repurchase of up to $750.0 million of our outstanding ordinary shares and in February 2016, adopted another share repurchase plan for the repurchase of up to an additional $750.0 million of our outstanding ordinary shares. The authorizations have no expiration date and permit us to purchase our ordinary shares in open market or privately negotiated transactions at times and prices that we consider appropriate. In May 2016, we completed the repurchase of the remaining authorized amount under the April 2014 share repurchase plan and began executing repurchases under the February 2016 plan. In fiscal year 2016, we repurchased 7.2 million ordinary shares at an average price of $57.12 per share (excluding broker and transaction fees). In fiscal year 2017, we repurchased</w:t>
      </w:r>
    </w:p>
    <w:p>
      <w:pPr>
        <w:spacing w:after="0" w:line="2" w:lineRule="exact"/>
        <w:rPr>
          <w:rFonts w:ascii="Arial" w:cs="Arial" w:eastAsia="Arial" w:hAnsi="Arial"/>
          <w:sz w:val="16"/>
          <w:szCs w:val="16"/>
          <w:color w:val="auto"/>
        </w:rPr>
      </w:pPr>
    </w:p>
    <w:p>
      <w:pPr>
        <w:ind w:left="640" w:right="180"/>
        <w:spacing w:after="0" w:line="253" w:lineRule="auto"/>
        <w:rPr>
          <w:rFonts w:ascii="Arial" w:cs="Arial" w:eastAsia="Arial" w:hAnsi="Arial"/>
          <w:sz w:val="16"/>
          <w:szCs w:val="16"/>
          <w:color w:val="auto"/>
        </w:rPr>
      </w:pPr>
      <w:r>
        <w:rPr>
          <w:rFonts w:ascii="Arial" w:cs="Arial" w:eastAsia="Arial" w:hAnsi="Arial"/>
          <w:sz w:val="18"/>
          <w:szCs w:val="18"/>
          <w:color w:val="auto"/>
        </w:rPr>
        <w:t>5.5 million ordinary shares at an average price of $61.70 per share (excluding broker and transaction fees). As of September 30, 2017, we had remaining authority to repurchase up to $256.0 million of our outstanding ordinary shares under the February 2016 plan. In November 2017, our Board of Directors adopted another share repurchase plan authorizing the repurchase of up to $800.0 million of our outstanding ordinary shares. The authorizations have no expiration date and permit us to purchase our ordinary shares in open market or privately negotiated transactions at times and prices that we consider appropriate.</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exposed to general global economic and market conditions, particularly those impacting the communications industry.</w:t>
      </w:r>
    </w:p>
    <w:p>
      <w:pPr>
        <w:spacing w:after="0" w:line="1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Industry consolidation involving our customers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281" w:lineRule="exact"/>
        <w:rPr>
          <w:sz w:val="20"/>
          <w:szCs w:val="20"/>
          <w:color w:val="auto"/>
        </w:rPr>
      </w:pPr>
    </w:p>
    <w:p>
      <w:pPr>
        <w:ind w:left="420" w:right="560"/>
        <w:spacing w:after="0" w:line="277" w:lineRule="auto"/>
        <w:rPr>
          <w:sz w:val="20"/>
          <w:szCs w:val="20"/>
          <w:color w:val="auto"/>
        </w:rPr>
      </w:pPr>
      <w:r>
        <w:rPr>
          <w:rFonts w:ascii="Arial" w:cs="Arial" w:eastAsia="Arial" w:hAnsi="Arial"/>
          <w:sz w:val="18"/>
          <w:szCs w:val="18"/>
          <w:b w:val="1"/>
          <w:bCs w:val="1"/>
          <w:i w:val="1"/>
          <w:iCs w:val="1"/>
          <w:color w:val="auto"/>
        </w:rPr>
        <w:t>If we fail to adapt to changing market conditions and cannot compete successfully with existing or new competitors, our business could be harmed.</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15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our ability to compete depends on a number of factors, including:</w:t>
      </w:r>
    </w:p>
    <w:p>
      <w:pPr>
        <w:spacing w:after="0" w:line="131"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305"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b w:val="1"/>
          <w:bCs w:val="1"/>
          <w:i w:val="1"/>
          <w:iCs w:val="1"/>
          <w:color w:val="auto"/>
        </w:rPr>
        <w:t>If we do not continually enhance our products and service offerings and introduce new products and features, we may have difficulty retaining existing customers and attracting new customers.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believe that our future success will depend, to a significant extent, upon our ability to enhance our existing products and services and to introduce new products, services and features to meet the requirements of our customers in a rapidly developing and evolving market. We devote significant resources to refining and expanding our base software modules and to developing our customer experience solutions.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286" w:lineRule="exact"/>
        <w:rPr>
          <w:sz w:val="20"/>
          <w:szCs w:val="20"/>
          <w:color w:val="auto"/>
        </w:rPr>
      </w:pPr>
    </w:p>
    <w:p>
      <w:pPr>
        <w:ind w:left="420" w:right="340"/>
        <w:spacing w:after="0" w:line="277"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could harm our results of operations.</w:t>
      </w:r>
    </w:p>
    <w:p>
      <w:pPr>
        <w:spacing w:after="0" w:line="62"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business is dependent on a limited number of significant customers, of which AT&amp;T has historically been our largest. AT&amp;T accounted for 33% of our revenue in fiscal years 2017 and 2016, respectively (Revenue attributable to DIRECTV following its July 2015 acquisition by AT&amp;T has been included in the total revenue attributable to AT&amp;T). Aggregate revenue derived from the multiple business arrangements we have with the ten largest of our significant customers accounted for approximately 71% of our revenue in fiscal year 2017 and 73% in fiscal year 2016. The loss of any significant customer, a significant decrease in business from any such customer or a reduction in customer revenue due to adverse changes in the terms of our contractual</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86" w:lineRule="auto"/>
        <w:rPr>
          <w:sz w:val="20"/>
          <w:szCs w:val="20"/>
          <w:color w:val="auto"/>
        </w:rPr>
      </w:pPr>
      <w:r>
        <w:rPr>
          <w:rFonts w:ascii="Arial" w:cs="Arial" w:eastAsia="Arial" w:hAnsi="Arial"/>
          <w:sz w:val="17"/>
          <w:szCs w:val="17"/>
          <w:color w:val="auto"/>
        </w:rPr>
        <w:t>arrangements, market conditions, customer circumstances (such as financial condition and market position) or other factors could harm our results of operations and financial condition. Revenue from individual customers may fluctuate from time to time based on the commencement, scope and completion of projects or other engagements, the timing and magnitude of which may be affected by market or other conditions.</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262"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62"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customer experience solutions.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8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seek to acquire companies or technologies and cannot assure you that these acquisitions will enhance our products and services or strengthen our competitive position, and they may adversely affect our results of operations.</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It is a part of our business strategy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and optimization domains. Consistent with this strategy, we are actively evaluating potential acquisition opportunities, some of which could be significant, stand alone or in the aggregate. In the future, we intend to continue to pursue acquisitions of other companies, products, services and technologies that we believe will advance our business strategy. However, we may not be able to identify suitable future acquisition candidates, consummate acquisitions on favorable terms or complete otherwise favorable acquisitions because of antitrust, regulatory or other concerns.</w:t>
      </w:r>
    </w:p>
    <w:p>
      <w:pPr>
        <w:spacing w:after="0" w:line="189"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cannot assure you that the acquisitions we have completed, or any future acquisitions that we may make, will enhance our products and services or strengthen our competitive position. Due to the multiple risks and difficulties associated with any acquisition, there can be no assurance that we will be successful in achieving our expected strategic, operating, and financial goals for any such acquisition.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successful in the integration of our acquisitions.</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We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divert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management from day-to-day responsibilities, increase our expenses and harm our results of operations or financial condition.</w:t>
      </w:r>
    </w:p>
    <w:p>
      <w:pPr>
        <w:spacing w:after="0" w:line="333"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62"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face difficulties identifying and hiring qualified personnel.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lower-cost markets where we have historically added personnel, such as India, are increasing and we may need to increase the levels of our employee compensation more rapidly than in the past to remain competitive.</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a result of our entry into new domains, we now compete for high quality employees in those domains’ limited and competitive talent market. In addition, cost containment measures effected in recent years, such as the relocation of projects to lower-costs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success will also depend upon the continued active participation of a relatively small group of senior management personnel. The loss of the services of all or some of these executives could harm our operations and impair our efforts to expand our business.</w:t>
      </w:r>
    </w:p>
    <w:p>
      <w:pPr>
        <w:spacing w:after="0" w:line="279" w:lineRule="exact"/>
        <w:rPr>
          <w:sz w:val="20"/>
          <w:szCs w:val="20"/>
          <w:color w:val="auto"/>
        </w:rPr>
      </w:pPr>
    </w:p>
    <w:p>
      <w:pPr>
        <w:ind w:left="420" w:right="4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times, we have experienced fluctuations in our quarterly operating results and anticipate that such movements may continue to occur.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Fluctuations may result from many factors, including:</w:t>
      </w:r>
    </w:p>
    <w:p>
      <w:pPr>
        <w:spacing w:after="0" w:line="116" w:lineRule="exact"/>
        <w:rPr>
          <w:sz w:val="20"/>
          <w:szCs w:val="20"/>
          <w:color w:val="auto"/>
        </w:rPr>
      </w:pPr>
    </w:p>
    <w:p>
      <w:pPr>
        <w:ind w:left="5660" w:right="3100" w:hanging="4916"/>
        <w:spacing w:after="0" w:line="449" w:lineRule="auto"/>
        <w:tabs>
          <w:tab w:leader="none" w:pos="105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timing and pace of progress of significant customer projects and license and service fees, 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and activities by customers,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penetration of new markets, regions, customers and domains,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225"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Generally, our revenue relating to software licenses that require significant customization, modification, implementation and integration is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14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66"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300" w:lineRule="exact"/>
        <w:rPr>
          <w:sz w:val="20"/>
          <w:szCs w:val="20"/>
          <w:color w:val="auto"/>
        </w:rPr>
      </w:pPr>
    </w:p>
    <w:p>
      <w:pPr>
        <w:ind w:left="420" w:right="80"/>
        <w:spacing w:after="0" w:line="308" w:lineRule="auto"/>
        <w:rPr>
          <w:sz w:val="20"/>
          <w:szCs w:val="20"/>
          <w:color w:val="auto"/>
        </w:rPr>
      </w:pPr>
      <w:r>
        <w:rPr>
          <w:rFonts w:ascii="Arial" w:cs="Arial" w:eastAsia="Arial" w:hAnsi="Arial"/>
          <w:sz w:val="17"/>
          <w:szCs w:val="17"/>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3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Acquisitions, organic growth and absorption of significant numbers of customers’ employees in connection with managed services projects have, from time to time, increased our headcount. Our total workforce, which includes employees and excludes subcontractors, has increased from 23,636 at the end of fiscal 2016 to 24,670 as of September 30, 2017. During periods of expansion, we may need to serve several new customers or implement several new large-scale projects in short periods of time. This may require us to attract and train additional IT professionals at a rapid rate, which we may have difficulties doing successfully.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cash, cash equivalents and short-term interest-bearing investments totaled $980 million, as of September 30, 2017. Our policy is to retain sufficient cash balances in order to support our growth. Our short-term investments consist primarily of money market funds, bank deposits, U.S. government treasuries, corporate bonds and U.S. agency securities.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adverse business conditions.</w:t>
      </w:r>
    </w:p>
    <w:p>
      <w:pPr>
        <w:spacing w:after="0" w:line="11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may degrade the creditworthiness of our customers over time, and we can be adversely affected by bankruptcies or other business failures.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international presence exposes us to risks associated with varied and changing political, cultural, legal and economic conditions worldwide.</w:t>
      </w:r>
    </w:p>
    <w:p>
      <w:pPr>
        <w:spacing w:after="0" w:line="15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Israel, Latin America, Africa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83"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 and other related services,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collecting accounts receivable, converting local currencies or withholding taxes,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restrictions that limit the repatriation of earnings,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trade sanctions, export controls, and privacy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immigration regulations that limit our ability to deploy our employees,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 and threats of terrorism,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on the transfer of funds to and from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some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manner of the United Kingdom exiting the European Union, as and when it occurs.</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One or more of these factors could have a material adverse effect on our operations, which could harm our results of operations and financial condition.</w:t>
      </w:r>
    </w:p>
    <w:p>
      <w:pPr>
        <w:spacing w:after="0" w:line="27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As we continue our efforts to expand our business internationally, including in emerging markets such as those in Latin America, Russia and other members of the Commonwealth of Independent States, India 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lack of due process,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291" w:lineRule="exact"/>
        <w:rPr>
          <w:sz w:val="20"/>
          <w:szCs w:val="20"/>
          <w:color w:val="auto"/>
        </w:rPr>
      </w:pPr>
    </w:p>
    <w:p>
      <w:pPr>
        <w:ind w:left="420" w:right="28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associated with fluctuations in foreign currency exchange rates that could adversely affect our business.</w:t>
      </w:r>
    </w:p>
    <w:p>
      <w:pPr>
        <w:spacing w:after="0" w:line="62"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United States, as expressed in dollars, as well as decreases in revenue not denominated in, or linked to, the U.S. dollars, each of which could have a material adverse effect on our results of operations and financial condition.</w:t>
      </w:r>
    </w:p>
    <w:p>
      <w:pPr>
        <w:spacing w:after="0" w:line="170"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 should significant increases in volatility in foreign exchange markets occur.</w:t>
      </w:r>
    </w:p>
    <w:p>
      <w:pPr>
        <w:spacing w:after="0" w:line="17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117"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Of the development centers we maintain worldwide, two of our largest development centers are located in Israel and India. In Israel, the centers are located in several different sites, and approximately 20% of our software and information technology, sales and marketing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16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17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40% of our software and information technology, sales and marketing workforce is located in India. Terrorist activity in India and Pakistan has contributed to tensions between those countries and our operations in India may be adversely affected by future political and other events in the region.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our business may be harmed.</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If we have to resort to legal proceedings to enforce our intellectual property rights, the proceedings could be burdensome, protracted and expensive and could involve a high degree of risk.</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Claims by others that we infringe their proprietary technology could harm our business and subject us to potentially burdensome litigation.</w:t>
      </w:r>
    </w:p>
    <w:p>
      <w:pPr>
        <w:spacing w:after="0" w:line="140"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for example, as well as to direct legal claims from retail consumers arising from the delivery of such services.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11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In addition, generally open source software licenses do not contain any warranties and may not have available support from the authors or third parties from whom we license it from. If such open source software contains prior defects or infringes any third party right or we are unable to obtain or provide necessary support, we could be exposed to legal claims and significant legal expenses without the ability to seek contribution from the authors or third parties from whom we license open source software.</w:t>
      </w:r>
    </w:p>
    <w:p>
      <w:pPr>
        <w:spacing w:after="0" w:line="280"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62" w:lineRule="exact"/>
        <w:rPr>
          <w:sz w:val="20"/>
          <w:szCs w:val="20"/>
          <w:color w:val="auto"/>
        </w:rPr>
      </w:pPr>
    </w:p>
    <w:p>
      <w:pPr>
        <w:jc w:val="both"/>
        <w:ind w:left="200" w:right="360" w:firstLine="441"/>
        <w:spacing w:after="0" w:line="342"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124"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ability to serve our customers depends on our ability to protect our systems and infrastructure against damage from fire, power loss, water damage, telecommunications failure, cyber-attacks, earthquake, severe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weather condition, terrorism attack, vandalism and other similar unexpected adverse events. We also depend on various cloud providers which provide us environments, tools and applications on which we provide our products.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74" w:lineRule="exact"/>
        <w:rPr>
          <w:sz w:val="20"/>
          <w:szCs w:val="20"/>
          <w:color w:val="auto"/>
        </w:rPr>
      </w:pPr>
    </w:p>
    <w:p>
      <w:pPr>
        <w:jc w:val="both"/>
        <w:ind w:left="420" w:right="60"/>
        <w:spacing w:after="0" w:line="264" w:lineRule="auto"/>
        <w:rPr>
          <w:sz w:val="20"/>
          <w:szCs w:val="20"/>
          <w:color w:val="auto"/>
        </w:rPr>
      </w:pPr>
      <w:r>
        <w:rPr>
          <w:rFonts w:ascii="Arial" w:cs="Arial" w:eastAsia="Arial" w:hAnsi="Arial"/>
          <w:sz w:val="18"/>
          <w:szCs w:val="18"/>
          <w:b w:val="1"/>
          <w:bCs w:val="1"/>
          <w:i w:val="1"/>
          <w:iCs w:val="1"/>
          <w:color w:val="auto"/>
        </w:rPr>
        <w:t>If our security measures for our software, hardware, services or cloud offerings are compromised and as a result, our data, our customers’ data or our IT systems are accessed improperly, made unavailable, or improperly modified, our products and services may be perceived as vulnerable, which may materially affect our business and result in potential legal liability.</w:t>
      </w:r>
    </w:p>
    <w:p>
      <w:pPr>
        <w:spacing w:after="0" w:line="73" w:lineRule="exact"/>
        <w:rPr>
          <w:sz w:val="20"/>
          <w:szCs w:val="20"/>
          <w:color w:val="auto"/>
        </w:rPr>
      </w:pPr>
    </w:p>
    <w:p>
      <w:pPr>
        <w:ind w:left="200" w:right="40" w:firstLine="441"/>
        <w:spacing w:after="0" w:line="267" w:lineRule="auto"/>
        <w:rPr>
          <w:sz w:val="20"/>
          <w:szCs w:val="20"/>
          <w:color w:val="auto"/>
        </w:rPr>
      </w:pPr>
      <w:r>
        <w:rPr>
          <w:rFonts w:ascii="Arial" w:cs="Arial" w:eastAsia="Arial" w:hAnsi="Arial"/>
          <w:sz w:val="17"/>
          <w:szCs w:val="17"/>
          <w:color w:val="auto"/>
        </w:rPr>
        <w:t>Our products and services, including our cloud offerings, store, retrieve, and manage our customers’ information and data, as well as our own data. We have a reputation for secure and reliable product offerings and related services and we have invested a great deal of time and resources in protecting the integrity and security of our products, services and the internal and external data that we manage. Despite our efforts to implement network security measures, we cannot guarantee that our systems are fully protected from vulnerabilities related to IT-related viruses, worms and other malicious software programs, attacks, break-ins and similar disruptions from unauthorized tampering by computer hackers and others. Such cybersecurity incident could include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Any of the foregoing occurrences could create system disruptions and cause shutdowns or denials of service or compromise data, including personal or confidential information, of us, our partners or our customers.</w:t>
      </w:r>
    </w:p>
    <w:p>
      <w:pPr>
        <w:spacing w:after="0" w:line="19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our acquired companies and partners, we may still inherit such risks when we integrate these companies, products, services and technologies or work with our partners.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Any of the events described above could cause our customers to make claims against us for damages allegedly resulting from a security breach or service disruption, and security incidents could also lead to data or privacy breaches, regulatory investigations and claims, all of which could increase our legal liability.</w:t>
      </w:r>
    </w:p>
    <w:p>
      <w:pPr>
        <w:spacing w:after="0" w:line="289" w:lineRule="exact"/>
        <w:rPr>
          <w:sz w:val="20"/>
          <w:szCs w:val="20"/>
          <w:color w:val="auto"/>
        </w:rPr>
      </w:pPr>
    </w:p>
    <w:p>
      <w:pPr>
        <w:jc w:val="both"/>
        <w:ind w:left="420" w:right="180"/>
        <w:spacing w:after="0" w:line="375" w:lineRule="auto"/>
        <w:rPr>
          <w:sz w:val="20"/>
          <w:szCs w:val="20"/>
          <w:color w:val="auto"/>
        </w:rPr>
      </w:pPr>
      <w:r>
        <w:rPr>
          <w:rFonts w:ascii="Arial" w:cs="Arial" w:eastAsia="Arial" w:hAnsi="Arial"/>
          <w:sz w:val="15"/>
          <w:szCs w:val="15"/>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There can be no assurance that our effective tax rate of 14.8% for the year ended September 30, 2017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w:t>
      </w:r>
    </w:p>
    <w:p>
      <w:pPr>
        <w:spacing w:after="0" w:line="166"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For example, there is growing pressure in many jurisdictions and from multinational organizations such as the Organization for Economic Cooperation and Development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(BEPS) initiative, which was endorsed by the G20 finance ministers. Many of the initiatives in the BEPS package require specific amendments to the domestic tax legislation of various jurisdictions. We continuously monitor these developments. Although some of the BEPS measures are currently being implemented globally, it is still difficult to assess to what extent these changes would ultimately be implemented in the jurisdictions in which we conduct our business or to what extent they may impact the way in which we conduct our business or our effective tax rate due to the unpredictability and interdependency of these potential changes. In addition, a major tax reform has been proposed in the United States. If the proposed legislation becomes law, there can be no assurance that it would not have an adverse impact on our financial results in future taxable years.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76"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any of our key customers,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trends in the communications or software industries, including industry consolidation,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financial analysts,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technology companies. These broad market fluctuations could adversely affect the market price of our ordinary shares.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121"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154"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Hungary, India, Ireland, Israel, Switzerland, the United Kingdom and the United States. Please see Exhibit 8 to this Annual Report on Form 20-F for a listing of our significant subsidiaries.</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As part of our strategy, we have pursued and may continue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and optimization domains. In July 2015, we acquired a substantial majority of the business support systems (BSS) assets of Comverse, Inc., which geographically complemented our market focus by expanding and diversifying our global customer base, particularly in Asia Pacific, Latin America and Europe. In January 2016, we acquired cVidya Networks, Inc., a vendor of revenue assurance and fraud management solutions, which adds to our capabilities in the area of revenue guard and fraud management. Additionally, in September 2016, we acquired Vindicia, Inc., a software-as-a-service subscription management and payment solution provider, Brite:Bill Group Limited, a provider of personalized digital interactive billing services and Pontis, Inc., a provider of contextual digital engagement solutions, enabling us to expand our digital offerings. In July 2017, we acquired Kenzan Media, LLC, a software engineering services company that provides customized, end-to-end solutions focusing on digital transformation, and platform-as-a-service and cloud native application development using DevOps and microservices.</w:t>
      </w:r>
    </w:p>
    <w:p>
      <w:pPr>
        <w:spacing w:after="0" w:line="183"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the result of our organic growth and acquisitions, our software and information technology, sales and marketing workforce (excluding subcontractors) has increased over the last three years from 22,561 as of the end of fiscal 2015 to 24,670 as of the end of fiscal 2017. In the past, our workforce has fluctuated with changes in business conditions.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principal capital expenditures for fiscal 2017, 2016 and 2015 have been for computer equipment in our operating facilities and development centers, for which we spent approximately $113.7 million, $111.1 million and $107.3 million, respectively. Any future expansion of our managed services activity could result in additional capital expenditures. We anticipate our capital expenditures in fiscal 2018 will be financed internally and will consist of, among other things, the development of our new campus in Israel and additional computer equipment.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Amdocs is a leading provider of software and services for more than 350 communications, Pay TV, entertainment and media industry service providers in developed countries and emerging markets. These communications and cable service providers include some of the largest telecommunications companies in the world, including America Movil, AT&amp;T, Bell Canada, Charter, Deutsche Telekom, Singtel, Sprint, Telefonica and Vodafone, as well as cable and satellite providers, including Altice (USA), Comcast, J:COM and Rogers Communications, midsized communications businesses and mobile virtual network enablers/mobile virtual network operators and directory publishers and other providers of media services.</w:t>
      </w:r>
    </w:p>
    <w:p>
      <w:pPr>
        <w:spacing w:after="0" w:line="158"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develop, implement and manage software and services associated with business support systems (BSS), operational support systems (OSS), the service-driven network and other network solutions, entertainment offerings and digital solutions. These offerings are based on a product and services mix, using technologies such as cloud, microservices, DevOps, open source, bimodal operations and increasing amounts of automation through standard information technology (IT) tools, REST APIs and growing components of artificial intelligence to enable service providers to efficiently and cost-effectively introduce new products and services, process orders, monetize data, support new business models and generally enhance their understanding of their customers. Our technology, design-led thinking approach and expertise help service providers to further transform into digital service providers, enhance their over-the-top (OTT) entertainment offerings and serve their customers across all channels. We refer to these products, systems and services collectively as customer experience solutions (CES) because of the crucial impact they have on the service providers’ end-user experience.</w:t>
      </w:r>
    </w:p>
    <w:p>
      <w:pPr>
        <w:spacing w:after="0" w:line="19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believe the demand for our customer experience solutions is driven by our clients continued transformation into digital service providers to provide wireless access services, content and apps on any device through digital and non-digital channels. It is also driven by the trend towards integrated service offerings which we believe is leading to increased merger and acquisition activity among our customers who then require systems consolidation, which we provide, to ensure a consistent customer experience at all touchpoints. Our solutions enable service providers to help their consumer and enterprise and business-to-business customers navigate the increasing number of devices, services, partner services and plans available in today’s digital world and the need of service providers to cope with the rapidly growing demand for data that these devices and services have created, as well as to compete with OTT-focused players.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6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believe that service providers will maintain a strong focus on growing new revenue streams, cost reduction and efficient operations, and that the trends of ongoing digital transformation, network virtualization, and consolidation within the industry as service providers seek to become full-service integrated carriers will</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3" w:lineRule="auto"/>
        <w:rPr>
          <w:sz w:val="20"/>
          <w:szCs w:val="20"/>
          <w:color w:val="auto"/>
        </w:rPr>
      </w:pPr>
      <w:r>
        <w:rPr>
          <w:rFonts w:ascii="Arial" w:cs="Arial" w:eastAsia="Arial" w:hAnsi="Arial"/>
          <w:sz w:val="17"/>
          <w:szCs w:val="17"/>
          <w:color w:val="auto"/>
        </w:rPr>
        <w:t>continue. The smartphone and associated communications and entertainment applications, or apps, other connected devices such as tablets, e-readers, wearables, and improvements in the Internet of Things (IoT) technology continue to drive unprecedented growth in the demand for multi-modal customer engagement capabilities and data. In response to the demand for digital experiences, service providers are continuing to focus on providing digital services, as well as enriching their offerings with integrated partner services. Service providers are also investing in their networks, and virtualizing them, to meet the demand for increased bandwidth, faster pace of innovation for new digital services, as well as to improve their business and operational agility and optimize and monetize their investments in such services.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Non-traditional service providers and device manufacturers continue to penetrate the communications market and are now competing for customer attention in the entertainment market as well. Additionally, social networks such as Facebook and Twitter, alongside OTT-focused players such as Skype, Snapchat and WhatsApp, have become widely-accepted alternatives to traditional voice communications and in some cases are also providing video streaming services. To meet the challenges from new competitors, service providers are developing cooperative partnerships with OTT-focused players to improve the customer experience.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w:t>
      </w:r>
    </w:p>
    <w:p>
      <w:pPr>
        <w:spacing w:after="0" w:line="166"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To capture new revenue streams, service providers are expanding within existing and non-traditional business models and deploying new network technologies. We believe service providers will place an emphasis on network virtualization and on modernization and transformation projects for their networks and operational and business support systems as they look for innovative ways to improve service agility and operations.</w:t>
      </w:r>
    </w:p>
    <w:p>
      <w:pPr>
        <w:spacing w:after="0" w:line="39"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 believe that our product-led services approach, commitment to and support of quality personnel and deep industry knowledge and expertise enable us to create and deliver effective offerings and services that are highly innovative, reliable and cost-effective. We believe our success derives from a combination of the following factors that differentiate us from most of our competitors.</w:t>
      </w:r>
    </w:p>
    <w:p>
      <w:pPr>
        <w:spacing w:after="0" w:line="87" w:lineRule="exact"/>
        <w:rPr>
          <w:sz w:val="20"/>
          <w:szCs w:val="20"/>
          <w:color w:val="auto"/>
        </w:rPr>
      </w:pPr>
    </w:p>
    <w:p>
      <w:pPr>
        <w:ind w:left="1060" w:right="20" w:hanging="316"/>
        <w:spacing w:after="0" w:line="26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Software products</w:t>
      </w:r>
      <w:r>
        <w:rPr>
          <w:rFonts w:ascii="Arial" w:cs="Arial" w:eastAsia="Arial" w:hAnsi="Arial"/>
          <w:sz w:val="17"/>
          <w:szCs w:val="17"/>
          <w:color w:val="auto"/>
        </w:rPr>
        <w:t>. Our Amdocs CES portfolio and new cloud-native offerings of open pre-integrated software products is designed to allow</w:t>
      </w:r>
      <w:r>
        <w:rPr>
          <w:rFonts w:ascii="Arial" w:cs="Arial" w:eastAsia="Arial" w:hAnsi="Arial"/>
          <w:sz w:val="17"/>
          <w:szCs w:val="17"/>
          <w:i w:val="1"/>
          <w:iCs w:val="1"/>
          <w:color w:val="auto"/>
        </w:rPr>
        <w:t xml:space="preserve"> </w:t>
      </w:r>
      <w:r>
        <w:rPr>
          <w:rFonts w:ascii="Arial" w:cs="Arial" w:eastAsia="Arial" w:hAnsi="Arial"/>
          <w:sz w:val="17"/>
          <w:szCs w:val="17"/>
          <w:color w:val="auto"/>
        </w:rPr>
        <w:t>modular expansion as a service provider evolves, ensuring rapid, low-cost and reduced-risk implementations. In the second quarter of fiscal 2016, we released Amdocs CES 10, a cloud-enabled portfolio that spans BSS/OSS and network solutions to deliver contextualized and personalized customer experiences across all channels; diversify revenue streams with new services to target a new customer base; empower service providers with data analytics and insights; and accelerate the rollout of new technologies. In the fourth quarter of fiscal 2016, Amdocs launched Amdocs Optima, a converged, multi-tenant digital customer management and commerce platform. It serves midsized communications businesses and mobile virtual network enablers/mobile virtual network operators, as well as digital enterprises and can be deployed on premise or in the cloud. In the first quarter of fiscal 2017, we released Amdocs CES 10.1, to enable our customers to accelerate digital transformation and capture growth opportunities in the on-demand digital economy. CES 10.1 introduces greater flexibility to rapidly innovate and improve customer engagement through the introduction of open APIs (application programming interfaces that enable applications to interact with each other), artificial intelligence, design-led thinking and cloud-based operations. In the fourth quarter of fiscal 2017, we released Amdocs CES 10.2, a cloud portfolio release which empowers business and product marketers to define new services and rapidly launch new customer offers, intelligently engage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80"/>
        <w:spacing w:after="0" w:line="264" w:lineRule="auto"/>
        <w:rPr>
          <w:sz w:val="20"/>
          <w:szCs w:val="20"/>
          <w:color w:val="auto"/>
        </w:rPr>
      </w:pPr>
      <w:r>
        <w:rPr>
          <w:rFonts w:ascii="Arial" w:cs="Arial" w:eastAsia="Arial" w:hAnsi="Arial"/>
          <w:sz w:val="18"/>
          <w:szCs w:val="18"/>
          <w:color w:val="auto"/>
        </w:rPr>
        <w:t>with customers and resolve their care inquires virtually or shift seamlessly from virtual agents to human live channels, and manage hybrid networks. In the third quarter of fiscal 2017, Amdocs released Amdocs Optima 4.2, delivering multi-tenancy, end-user self-care and care portals and shopping cart and identity management infrastructures.</w:t>
      </w:r>
    </w:p>
    <w:p>
      <w:pPr>
        <w:spacing w:after="0" w:line="73" w:lineRule="exact"/>
        <w:rPr>
          <w:sz w:val="20"/>
          <w:szCs w:val="20"/>
          <w:color w:val="auto"/>
        </w:rPr>
      </w:pPr>
    </w:p>
    <w:p>
      <w:pPr>
        <w:jc w:val="both"/>
        <w:ind w:left="1080" w:right="120"/>
        <w:spacing w:after="0" w:line="264" w:lineRule="auto"/>
        <w:rPr>
          <w:sz w:val="20"/>
          <w:szCs w:val="20"/>
          <w:color w:val="auto"/>
        </w:rPr>
      </w:pPr>
      <w:r>
        <w:rPr>
          <w:rFonts w:ascii="Arial" w:cs="Arial" w:eastAsia="Arial" w:hAnsi="Arial"/>
          <w:sz w:val="18"/>
          <w:szCs w:val="18"/>
          <w:color w:val="auto"/>
        </w:rPr>
        <w:t>The Amdocs portfolio is based on an open architecture with an API-first approach and promotes the value of integration by using a central catalog, federating third-party catalogs as well as multiple catalogs across the business and network service layers, enabling greater agility, and rapid innovation.</w:t>
      </w:r>
    </w:p>
    <w:p>
      <w:pPr>
        <w:spacing w:after="0" w:line="87" w:lineRule="exact"/>
        <w:rPr>
          <w:sz w:val="20"/>
          <w:szCs w:val="20"/>
          <w:color w:val="auto"/>
        </w:rPr>
      </w:pPr>
    </w:p>
    <w:p>
      <w:pPr>
        <w:ind w:left="1060" w:hanging="316"/>
        <w:spacing w:after="0" w:line="289"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Services</w:t>
      </w:r>
      <w:r>
        <w:rPr>
          <w:rFonts w:ascii="Arial" w:cs="Arial" w:eastAsia="Arial" w:hAnsi="Arial"/>
          <w:sz w:val="16"/>
          <w:szCs w:val="16"/>
          <w:color w:val="auto"/>
        </w:rPr>
        <w:t>. We offer a comprehensive line of services designed to address every stage of a service provider’s lifecycle, from planning,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and implementation to ongoing support. Our services include managed services (which we refer to as intelligent operations), testing, digital business operations, revenue guard, Brite:Bill (personalized digital interactive billing services), network service assurance and advisory services. Using artificial intelligence and predictive analytics, our intelligent operations enable faster time to market for new services and the cost-effective management of existing services. Intelligent operations provides multi-year, flexible and tailored business processes and applications services, including application development and maintenance, operations, IT and infrastructure hosting, cloud services and legacy modernization. Our professional services are designed to assist customers in the selection, implementation, operation, management and maintenance of their IT systems. As a lead systems integrator, we assume end-to-end responsibility to monitor, manage and deploy the overall development and integration activities of Amdocs and third-party vendors throughout the transformation lifecycle.</w:t>
      </w:r>
    </w:p>
    <w:p>
      <w:pPr>
        <w:spacing w:after="0" w:line="72" w:lineRule="exact"/>
        <w:rPr>
          <w:rFonts w:ascii="Arial" w:cs="Arial" w:eastAsia="Arial" w:hAnsi="Arial"/>
          <w:sz w:val="16"/>
          <w:szCs w:val="16"/>
          <w:color w:val="auto"/>
        </w:rPr>
      </w:pPr>
    </w:p>
    <w:p>
      <w:pPr>
        <w:ind w:left="1060" w:right="100" w:hanging="316"/>
        <w:spacing w:after="0" w:line="25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Experience</w:t>
      </w:r>
      <w:r>
        <w:rPr>
          <w:rFonts w:ascii="Arial" w:cs="Arial" w:eastAsia="Arial" w:hAnsi="Arial"/>
          <w:sz w:val="18"/>
          <w:szCs w:val="18"/>
          <w:color w:val="auto"/>
        </w:rPr>
        <w:t>. We are able to offer our customers superior products and services on a worldwide basis, in large part because of our highly</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and trained technical,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Our goal is to provide business products, offerings, services and support to the world’s leading service providers as they strive to deliver digital engagements and remain competitive. We seek to accomplish our goal by pursuing the strategies described below.</w:t>
      </w:r>
    </w:p>
    <w:p>
      <w:pPr>
        <w:spacing w:after="0" w:line="76" w:lineRule="exact"/>
        <w:rPr>
          <w:sz w:val="20"/>
          <w:szCs w:val="20"/>
          <w:color w:val="auto"/>
        </w:rPr>
      </w:pPr>
    </w:p>
    <w:p>
      <w:pPr>
        <w:ind w:left="1060" w:right="40" w:hanging="316"/>
        <w:spacing w:after="0" w:line="293"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Focus on the Communications, Entertainment and Media Industry</w:t>
      </w:r>
      <w:r>
        <w:rPr>
          <w:rFonts w:ascii="Arial" w:cs="Arial" w:eastAsia="Arial" w:hAnsi="Arial"/>
          <w:sz w:val="16"/>
          <w:szCs w:val="16"/>
          <w:color w:val="auto"/>
        </w:rPr>
        <w:t>. We focus our resources and efforts primarily on providing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solutions to service providers in the communications, entertainment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customer experience solutions required by the leading wireless, wireline, broadband, cable and satellite companies. These strengths have enabled us to diversify our customer base and expand our offering domains and may continue to provide us with opportunities to expand within other vertical segment markets.</w:t>
      </w:r>
    </w:p>
    <w:p>
      <w:pPr>
        <w:spacing w:after="0" w:line="70" w:lineRule="exact"/>
        <w:rPr>
          <w:rFonts w:ascii="Arial" w:cs="Arial" w:eastAsia="Arial" w:hAnsi="Arial"/>
          <w:sz w:val="16"/>
          <w:szCs w:val="16"/>
          <w:color w:val="auto"/>
        </w:rPr>
      </w:pPr>
    </w:p>
    <w:p>
      <w:pPr>
        <w:ind w:left="1060" w:hanging="316"/>
        <w:spacing w:after="0" w:line="25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Target Industry Leaders</w:t>
      </w:r>
      <w:r>
        <w:rPr>
          <w:rFonts w:ascii="Arial" w:cs="Arial" w:eastAsia="Arial" w:hAnsi="Arial"/>
          <w:sz w:val="18"/>
          <w:szCs w:val="18"/>
          <w:color w:val="auto"/>
        </w:rPr>
        <w:t>. We intend to continue to direct our marketing efforts primarily toward communications and media industry leaders.</w:t>
      </w:r>
      <w:r>
        <w:rPr>
          <w:rFonts w:ascii="Arial" w:cs="Arial" w:eastAsia="Arial" w:hAnsi="Arial"/>
          <w:sz w:val="18"/>
          <w:szCs w:val="18"/>
          <w:i w:val="1"/>
          <w:iCs w:val="1"/>
          <w:color w:val="auto"/>
        </w:rPr>
        <w:t xml:space="preserve"> </w:t>
      </w:r>
      <w:r>
        <w:rPr>
          <w:rFonts w:ascii="Arial" w:cs="Arial" w:eastAsia="Arial" w:hAnsi="Arial"/>
          <w:sz w:val="18"/>
          <w:szCs w:val="18"/>
          <w:color w:val="auto"/>
        </w:rPr>
        <w:t>By targeting such leading service providers, which require the most sophisticated customer experience solutions, we believe that we are better able to remain at the forefront of developments in the industry. We believe that the development of this customer base has helped position us as a market leader.</w:t>
      </w:r>
    </w:p>
    <w:p>
      <w:pPr>
        <w:spacing w:after="0" w:line="92"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Continued Expansion into Emerging Markets. </w:t>
      </w:r>
      <w:r>
        <w:rPr>
          <w:rFonts w:ascii="Arial" w:cs="Arial" w:eastAsia="Arial" w:hAnsi="Arial"/>
          <w:sz w:val="18"/>
          <w:szCs w:val="18"/>
          <w:color w:val="auto"/>
        </w:rPr>
        <w:t>We seek to serve the needs of service providers operating in emerging markets.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 growth remains high and average revenue per user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72" w:lineRule="auto"/>
        <w:rPr>
          <w:sz w:val="20"/>
          <w:szCs w:val="20"/>
          <w:color w:val="auto"/>
        </w:rPr>
      </w:pPr>
      <w:r>
        <w:rPr>
          <w:rFonts w:ascii="Arial" w:cs="Arial" w:eastAsia="Arial" w:hAnsi="Arial"/>
          <w:sz w:val="17"/>
          <w:szCs w:val="17"/>
          <w:color w:val="auto"/>
        </w:rPr>
        <w:t>remains relatively low in these markets in comparison to more developed markets. In order to increase subscriber revenue, service providers are focusing on the customer experience and on increasing capacity, particularly for data,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83" w:lineRule="exact"/>
        <w:rPr>
          <w:sz w:val="20"/>
          <w:szCs w:val="20"/>
          <w:color w:val="auto"/>
        </w:rPr>
      </w:pPr>
    </w:p>
    <w:p>
      <w:pPr>
        <w:ind w:left="1060" w:right="20" w:hanging="316"/>
        <w:spacing w:after="0" w:line="271"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Provide Customers with a Broad, Open, Deep Portfolio of Modular Integrated Products. </w:t>
      </w:r>
      <w:r>
        <w:rPr>
          <w:rFonts w:ascii="Arial" w:cs="Arial" w:eastAsia="Arial" w:hAnsi="Arial"/>
          <w:sz w:val="17"/>
          <w:szCs w:val="17"/>
          <w:color w:val="auto"/>
        </w:rPr>
        <w:t>We seek to provide our customers with an open,</w:t>
      </w:r>
      <w:r>
        <w:rPr>
          <w:rFonts w:ascii="Arial" w:cs="Arial" w:eastAsia="Arial" w:hAnsi="Arial"/>
          <w:sz w:val="17"/>
          <w:szCs w:val="17"/>
          <w:i w:val="1"/>
          <w:iCs w:val="1"/>
          <w:color w:val="auto"/>
        </w:rPr>
        <w:t xml:space="preserve"> </w:t>
      </w:r>
      <w:r>
        <w:rPr>
          <w:rFonts w:ascii="Arial" w:cs="Arial" w:eastAsia="Arial" w:hAnsi="Arial"/>
          <w:sz w:val="17"/>
          <w:szCs w:val="17"/>
          <w:color w:val="auto"/>
        </w:rPr>
        <w:t>broad, yet integrated, portfolio of modular products to help them deliver a customer experience that is simple, personal and valuable at every point of service. We provide customer experience solutions across the BSS, OSS and network domains and multiple lines of business, including wireline, wireless, broadband, cable, satellite services and digital services. Integration of our systems is achieved through a central catalog leveraged by the BSS, OSS and network management layer, as well as with an open, API-first approach in our product portfolio to enable third-party integration. We believe that our ability to provide a broad, open, deep and integrated modular suite of products helps position us as a strategic partner for our customers as they continue to transform into digital service providers and provides us with multiple avenues for strengthening and expanding our ongoing customer relationships.</w:t>
      </w:r>
    </w:p>
    <w:p>
      <w:pPr>
        <w:spacing w:after="0" w:line="84" w:lineRule="exact"/>
        <w:rPr>
          <w:rFonts w:ascii="Arial" w:cs="Arial" w:eastAsia="Arial" w:hAnsi="Arial"/>
          <w:sz w:val="17"/>
          <w:szCs w:val="17"/>
          <w:color w:val="auto"/>
        </w:rPr>
      </w:pPr>
    </w:p>
    <w:p>
      <w:pPr>
        <w:ind w:left="1060" w:right="160" w:hanging="316"/>
        <w:spacing w:after="0" w:line="293"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Expand Our Intelligent Operations (Managed Services) Capabilities</w:t>
      </w:r>
      <w:r>
        <w:rPr>
          <w:rFonts w:ascii="Arial" w:cs="Arial" w:eastAsia="Arial" w:hAnsi="Arial"/>
          <w:sz w:val="16"/>
          <w:szCs w:val="16"/>
          <w:color w:val="auto"/>
        </w:rPr>
        <w:t>. We seek to assume responsibility for the operation,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our customers’ Amdocs systems, as well as systems developed by in-house IT departments or by other vendors. Our mandate can extend across the service provider’s entire IT environment and encompass key business process operational needs. Our customers receive predictable service levels as well as improved efficiencies and long-term savings over the day-to-day costs of operating and maintaining these systems, so they can focus on their own internal strengths and grow their businesses, leaving system concerns to us. Intelligent operations also benefit us, as they can be a source of predictable revenue and long-term relationships.</w:t>
      </w:r>
    </w:p>
    <w:p>
      <w:pPr>
        <w:spacing w:after="0" w:line="70" w:lineRule="exact"/>
        <w:rPr>
          <w:rFonts w:ascii="Arial" w:cs="Arial" w:eastAsia="Arial" w:hAnsi="Arial"/>
          <w:sz w:val="16"/>
          <w:szCs w:val="16"/>
          <w:color w:val="auto"/>
        </w:rPr>
      </w:pPr>
    </w:p>
    <w:p>
      <w:pPr>
        <w:ind w:left="1060" w:hanging="316"/>
        <w:spacing w:after="0" w:line="293"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Develop and Maintain Long-Term Customer Relationships</w:t>
      </w:r>
      <w:r>
        <w:rPr>
          <w:rFonts w:ascii="Arial" w:cs="Arial" w:eastAsia="Arial" w:hAnsi="Arial"/>
          <w:sz w:val="16"/>
          <w:szCs w:val="16"/>
          <w:color w:val="auto"/>
        </w:rPr>
        <w:t>. We seek to develop and maintain long-term, mutually beneficial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customers, and have organized our internal operations to better anticipate and respond to our customers’ needs. We believe these relationships can lead to additional product sales, as well as 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Offerings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offerings consist of a combination of software and services that addresses service providers’ business and operational needs. Our software solutions support the full span of the customer relationship. We also provide solutions for high growth and emerging markets, midsized communications businesses and mobile virtual network enablers/mobile virtual network operators, as well as entertainment and media solutions for media publishers, TV networks, video streaming providers, ad agencies, advertising service providers and directory publishers.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key products suites are:</w:t>
      </w:r>
    </w:p>
    <w:p>
      <w:pPr>
        <w:spacing w:after="0" w:line="131" w:lineRule="exact"/>
        <w:rPr>
          <w:sz w:val="20"/>
          <w:szCs w:val="20"/>
          <w:color w:val="auto"/>
        </w:rPr>
      </w:pPr>
    </w:p>
    <w:p>
      <w:pPr>
        <w:ind w:left="1060" w:right="60" w:hanging="316"/>
        <w:spacing w:after="0" w:line="31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Customer Engagement: </w:t>
      </w:r>
      <w:r>
        <w:rPr>
          <w:rFonts w:ascii="Arial" w:cs="Arial" w:eastAsia="Arial" w:hAnsi="Arial"/>
          <w:sz w:val="16"/>
          <w:szCs w:val="16"/>
          <w:color w:val="auto"/>
        </w:rPr>
        <w:t>This portfolio of customer experience solutions enables service providers to personalize the consumer’s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proactive customer care and facilitate commerce. These products allow service providers to provide contextual and personalized engagements at all points in their omni-channel customer journey, including contact center, retail stores, Web, mobile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social media, and on all devices, including smartphones, tablets and personal computers, and offer a range of digital services.</w:t>
      </w:r>
    </w:p>
    <w:p>
      <w:pPr>
        <w:spacing w:after="0" w:line="131" w:lineRule="exact"/>
        <w:rPr>
          <w:sz w:val="20"/>
          <w:szCs w:val="20"/>
          <w:color w:val="auto"/>
        </w:rPr>
      </w:pPr>
    </w:p>
    <w:p>
      <w:pPr>
        <w:ind w:left="1060" w:right="20" w:hanging="316"/>
        <w:spacing w:after="0" w:line="286"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Digital Monetization: </w:t>
      </w:r>
      <w:r>
        <w:rPr>
          <w:rFonts w:ascii="Arial" w:cs="Arial" w:eastAsia="Arial" w:hAnsi="Arial"/>
          <w:sz w:val="17"/>
          <w:szCs w:val="17"/>
          <w:color w:val="auto"/>
        </w:rPr>
        <w:t>This cloud-enabled revenue management suite helps service providers monetize the digital economy, enabling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quickly launch innovative new products and offers to market, enrich them with partner offers and new business models, and monetize them in real time. Real-time user controls deliver digital immediacy and personalization to the service provider’s customer</w:t>
      </w:r>
      <w:r>
        <w:rPr>
          <w:rFonts w:ascii="Arial" w:cs="Arial" w:eastAsia="Arial" w:hAnsi="Arial"/>
          <w:sz w:val="17"/>
          <w:szCs w:val="17"/>
          <w:i w:val="1"/>
          <w:iCs w:val="1"/>
          <w:color w:val="auto"/>
        </w:rPr>
        <w:t>.</w:t>
      </w:r>
    </w:p>
    <w:p>
      <w:pPr>
        <w:spacing w:after="0" w:line="70" w:lineRule="exact"/>
        <w:rPr>
          <w:rFonts w:ascii="Arial" w:cs="Arial" w:eastAsia="Arial" w:hAnsi="Arial"/>
          <w:sz w:val="17"/>
          <w:szCs w:val="17"/>
          <w:color w:val="auto"/>
        </w:rPr>
      </w:pPr>
    </w:p>
    <w:p>
      <w:pPr>
        <w:ind w:left="1060" w:right="20" w:hanging="316"/>
        <w:spacing w:after="0" w:line="279"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Intelligence and real-time data: </w:t>
      </w:r>
      <w:r>
        <w:rPr>
          <w:rFonts w:ascii="Arial" w:cs="Arial" w:eastAsia="Arial" w:hAnsi="Arial"/>
          <w:sz w:val="17"/>
          <w:szCs w:val="17"/>
          <w:color w:val="auto"/>
        </w:rPr>
        <w:t>Amdocs’ intelligence platform,</w:t>
      </w:r>
      <w:r>
        <w:rPr>
          <w:rFonts w:ascii="Arial" w:cs="Arial" w:eastAsia="Arial" w:hAnsi="Arial"/>
          <w:sz w:val="17"/>
          <w:szCs w:val="17"/>
          <w:i w:val="1"/>
          <w:iCs w:val="1"/>
          <w:color w:val="auto"/>
        </w:rPr>
        <w:t xml:space="preserve"> aia</w:t>
      </w:r>
      <w:r>
        <w:rPr>
          <w:rFonts w:ascii="Arial" w:cs="Arial" w:eastAsia="Arial" w:hAnsi="Arial"/>
          <w:sz w:val="17"/>
          <w:szCs w:val="17"/>
          <w:color w:val="auto"/>
        </w:rPr>
        <w:t>, is integrated across the entire Amdocs portfolio. The platform combines</w:t>
      </w:r>
      <w:r>
        <w:rPr>
          <w:rFonts w:ascii="Arial" w:cs="Arial" w:eastAsia="Arial" w:hAnsi="Arial"/>
          <w:sz w:val="17"/>
          <w:szCs w:val="17"/>
          <w:i w:val="1"/>
          <w:iCs w:val="1"/>
          <w:color w:val="auto"/>
        </w:rPr>
        <w:t xml:space="preserve"> </w:t>
      </w:r>
      <w:r>
        <w:rPr>
          <w:rFonts w:ascii="Arial" w:cs="Arial" w:eastAsia="Arial" w:hAnsi="Arial"/>
          <w:sz w:val="17"/>
          <w:szCs w:val="17"/>
          <w:color w:val="auto"/>
        </w:rPr>
        <w:t>our real-time data management platform, analytics and machine-learning capabilities, artificial intelligence engines from global partners, along with our extensive telecommunications-specific domain expertise and services. It enables service providers to develop new insights about their customers, enhance the customer experience, and manage network assets more efficiently.</w:t>
      </w:r>
    </w:p>
    <w:p>
      <w:pPr>
        <w:spacing w:after="0" w:line="76" w:lineRule="exact"/>
        <w:rPr>
          <w:rFonts w:ascii="Arial" w:cs="Arial" w:eastAsia="Arial" w:hAnsi="Arial"/>
          <w:sz w:val="17"/>
          <w:szCs w:val="17"/>
          <w:color w:val="auto"/>
        </w:rPr>
      </w:pPr>
    </w:p>
    <w:p>
      <w:pPr>
        <w:ind w:left="1060" w:right="540" w:hanging="316"/>
        <w:spacing w:after="0" w:line="25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Network Functions Virtualization (NFV): </w:t>
      </w:r>
      <w:r>
        <w:rPr>
          <w:rFonts w:ascii="Arial" w:cs="Arial" w:eastAsia="Arial" w:hAnsi="Arial"/>
          <w:sz w:val="18"/>
          <w:szCs w:val="18"/>
          <w:color w:val="auto"/>
        </w:rPr>
        <w:t>These offerings comprise standards-based software solutions to enable service lifecycle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a hybrid physical and virtual network allowing service providers to automate network operations and simplify the introduction of NFV into existing networks. Amdocs NFV powered by ONAP (the Linux Foundation’s Open Network Automation Platform) features software and services capabilities to orchestrate multi-vendor virtual network functions (VNFs) over virtual infrastructures, automating VNF onboarding to enable the design, testing and launching of new network services in weeks rather than months, and supporting a live view of services and resources.</w:t>
      </w:r>
    </w:p>
    <w:p>
      <w:pPr>
        <w:spacing w:after="0" w:line="98"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Operational Support Systems (OSS): </w:t>
      </w:r>
      <w:r>
        <w:rPr>
          <w:rFonts w:ascii="Arial" w:cs="Arial" w:eastAsia="Arial" w:hAnsi="Arial"/>
          <w:sz w:val="18"/>
          <w:szCs w:val="18"/>
          <w:color w:val="auto"/>
        </w:rPr>
        <w:t>These products comprise our core operational support systems for fixed line, broadband, wireless and</w:t>
      </w:r>
      <w:r>
        <w:rPr>
          <w:rFonts w:ascii="Arial" w:cs="Arial" w:eastAsia="Arial" w:hAnsi="Arial"/>
          <w:sz w:val="18"/>
          <w:szCs w:val="18"/>
          <w:i w:val="1"/>
          <w:iCs w:val="1"/>
          <w:color w:val="auto"/>
        </w:rPr>
        <w:t xml:space="preserve"> </w:t>
      </w:r>
      <w:r>
        <w:rPr>
          <w:rFonts w:ascii="Arial" w:cs="Arial" w:eastAsia="Arial" w:hAnsi="Arial"/>
          <w:sz w:val="18"/>
          <w:szCs w:val="18"/>
          <w:color w:val="auto"/>
        </w:rPr>
        <w:t>cable TV networks. The offerings facilitate network operational processes, including network planning and rollout across multiple technologies such as fiber, small cell and LTE, essential for 5G readiness, service fulfillment and assurance, inventory management, order orchestration and activation of new services through automation.</w:t>
      </w:r>
    </w:p>
    <w:p>
      <w:pPr>
        <w:spacing w:after="0" w:line="92" w:lineRule="exact"/>
        <w:rPr>
          <w:rFonts w:ascii="Arial" w:cs="Arial" w:eastAsia="Arial" w:hAnsi="Arial"/>
          <w:sz w:val="18"/>
          <w:szCs w:val="18"/>
          <w:color w:val="auto"/>
        </w:rPr>
      </w:pPr>
    </w:p>
    <w:p>
      <w:pPr>
        <w:ind w:left="1060" w:right="180" w:hanging="316"/>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Network Optimization: </w:t>
      </w:r>
      <w:r>
        <w:rPr>
          <w:rFonts w:ascii="Arial" w:cs="Arial" w:eastAsia="Arial" w:hAnsi="Arial"/>
          <w:sz w:val="18"/>
          <w:szCs w:val="18"/>
          <w:color w:val="auto"/>
        </w:rPr>
        <w:t>This integrated suite of software and services is designed to help service providers plan, build, launch, manage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 their mobile networks. Vendor and technology agnostic, this offering affords service providers the analytics and services capabilities needed to maximize network investments, accelerate and automate the roll out and upgrade of network technologies, and optimize network performance and capacity.</w:t>
      </w:r>
    </w:p>
    <w:p>
      <w:pPr>
        <w:spacing w:after="0" w:line="92"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Enterprise and B2B: </w:t>
      </w:r>
      <w:r>
        <w:rPr>
          <w:rFonts w:ascii="Arial" w:cs="Arial" w:eastAsia="Arial" w:hAnsi="Arial"/>
          <w:sz w:val="18"/>
          <w:szCs w:val="18"/>
          <w:color w:val="auto"/>
        </w:rPr>
        <w:t>This modular offering supports service providers’ lead-to-care processes for their small-to-medium-sized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customers. Our solutions enable accurate selling and quoting, fulfillment and delivery of services across traditional and virtualized networks, digital care and intelligence-based operations to automate and optimize end-to-end business operations. Our offering also enables service providers to grow their B2B revenues beyond connectivity through new domains such as cyber security, IoT services, OTT services and managed operations.</w:t>
      </w:r>
    </w:p>
    <w:p>
      <w:pPr>
        <w:spacing w:after="0" w:line="93" w:lineRule="exact"/>
        <w:rPr>
          <w:rFonts w:ascii="Arial" w:cs="Arial" w:eastAsia="Arial" w:hAnsi="Arial"/>
          <w:sz w:val="18"/>
          <w:szCs w:val="18"/>
          <w:color w:val="auto"/>
        </w:rPr>
      </w:pPr>
    </w:p>
    <w:p>
      <w:pPr>
        <w:ind w:left="1060" w:right="240" w:hanging="316"/>
        <w:spacing w:after="0" w:line="279"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OTT and Entertainment</w:t>
      </w:r>
      <w:r>
        <w:rPr>
          <w:rFonts w:ascii="Arial" w:cs="Arial" w:eastAsia="Arial" w:hAnsi="Arial"/>
          <w:sz w:val="17"/>
          <w:szCs w:val="17"/>
          <w:color w:val="auto"/>
        </w:rPr>
        <w:t>: Our modular entertainment offering addresses service providers’ need to provide integrated digital services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their partners’ services and OTT, simplify the customer experience with a digital identity solution, rapidly onboard and manage partners with an open SaaS partner platform. Our entertainment offering also includes Vindicia’s subscription management and monetization SaaS solution, supporting media companies’ digital subscriptions and different types of payment methods.</w:t>
      </w:r>
    </w:p>
    <w:p>
      <w:pPr>
        <w:spacing w:after="0" w:line="76" w:lineRule="exact"/>
        <w:rPr>
          <w:rFonts w:ascii="Arial" w:cs="Arial" w:eastAsia="Arial" w:hAnsi="Arial"/>
          <w:sz w:val="17"/>
          <w:szCs w:val="17"/>
          <w:color w:val="auto"/>
        </w:rPr>
      </w:pPr>
    </w:p>
    <w:p>
      <w:pPr>
        <w:ind w:left="1060" w:right="100" w:hanging="316"/>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Internet of Things (IoT): </w:t>
      </w:r>
      <w:r>
        <w:rPr>
          <w:rFonts w:ascii="Arial" w:cs="Arial" w:eastAsia="Arial" w:hAnsi="Arial"/>
          <w:sz w:val="18"/>
          <w:szCs w:val="18"/>
          <w:color w:val="auto"/>
        </w:rPr>
        <w:t>This suite of solutions enables service providers to offer intuitive, flexible and innovative IoT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Amdocs’ IoT monetization platform and connected home offering provides service providers with a reliable and scalable platform to support connected devices, a cloud-based environment to offer integrated home services, and a solution that allows enterprises to purchase connectivity from service providers in a wholesale mode.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Mobile Financial Services: </w:t>
      </w:r>
      <w:r>
        <w:rPr>
          <w:rFonts w:ascii="Arial" w:cs="Arial" w:eastAsia="Arial" w:hAnsi="Arial"/>
          <w:sz w:val="18"/>
          <w:szCs w:val="18"/>
          <w:color w:val="auto"/>
        </w:rPr>
        <w:t>Our financial-grade offerings enable service providers and financial institutions to serve financially underserved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segments by offering a variety of secure mobile financial services, such as money transfers, bill payments, mobile commerce, savings, loans, insurance, loyalty management and top-up transactions.</w:t>
      </w:r>
    </w:p>
    <w:p>
      <w:pPr>
        <w:spacing w:after="0" w:line="86"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Amdocs Optima: </w:t>
      </w:r>
      <w:r>
        <w:rPr>
          <w:rFonts w:ascii="Arial" w:cs="Arial" w:eastAsia="Arial" w:hAnsi="Arial"/>
          <w:sz w:val="18"/>
          <w:szCs w:val="18"/>
          <w:color w:val="auto"/>
        </w:rPr>
        <w:t>Built on the foundation of Amdocs Kenan and combined with capabilities of Amdocs C1, Amdocs Optima is a converged,</w:t>
      </w:r>
      <w:r>
        <w:rPr>
          <w:rFonts w:ascii="Arial" w:cs="Arial" w:eastAsia="Arial" w:hAnsi="Arial"/>
          <w:sz w:val="18"/>
          <w:szCs w:val="18"/>
          <w:i w:val="1"/>
          <w:iCs w:val="1"/>
          <w:color w:val="auto"/>
        </w:rPr>
        <w:t xml:space="preserve"> </w:t>
      </w:r>
      <w:r>
        <w:rPr>
          <w:rFonts w:ascii="Arial" w:cs="Arial" w:eastAsia="Arial" w:hAnsi="Arial"/>
          <w:sz w:val="18"/>
          <w:szCs w:val="18"/>
          <w:color w:val="auto"/>
        </w:rPr>
        <w:t>multi-tenant, smart digital commerce, billing and customer management platform enabling swift and secure monetization of products and services. It serves midsized service providers, mobile virtual network enablers/mobile virtual network operators, and cross-vertical business-to-business digital companies, and can be deployed on premise or in the cloud.</w:t>
      </w:r>
    </w:p>
    <w:p>
      <w:pPr>
        <w:spacing w:after="0" w:line="92"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Advertising and Media Solutions: </w:t>
      </w:r>
      <w:r>
        <w:rPr>
          <w:rFonts w:ascii="Arial" w:cs="Arial" w:eastAsia="Arial" w:hAnsi="Arial"/>
          <w:sz w:val="18"/>
          <w:szCs w:val="18"/>
          <w:color w:val="auto"/>
        </w:rPr>
        <w:t>Our advertising and media offerings for media publishers, TV networks, video streaming providers, ad</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and advertising service providers are comprised of a comprehensive, analytics-driven set of business and operational products and services designed to enable the management of media and advertising selling, fulfillment, operations, advertiser and consumer experience and financial processes across digital and print media.</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offer a broad suite of services to help service providers achieve their objectives through each stage of the business lifecycle. Our services methodology incorporates a rigorous focus on the people, processes and technology of an organization, and we invite active customer participation at all stages to help prioritize and implement time-critical system solutions that address the customer’s individual needs.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From advisory services through solution development and business operations to intelligent operations (managed services) and training, the extent of services provided varies from customer to customer. Our services engagements can range in size and scope and include advising customers on business and technical strategy, designing and implementing particular business solutions, managing specific business operations processes, adopting DevOps and orchestrating large-scale transformation projects. Depending on the customer’s needs, system implementation and integration activities are often conducted jointly by teams from Amdocs, our partner ecosystem and the customer. In some cases, Amdocs personnel provide support services to the customer’s own implementation and integration team, which has primary responsibility for the task. In other cases, we take a primary role in facilitating implementation and integration. Sometimes customers require turnkey solutions, in which case we provide full system implementation and integration services.</w:t>
      </w:r>
    </w:p>
    <w:p>
      <w:pPr>
        <w:spacing w:after="0" w:line="17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Once the system becomes operational,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key services are:</w:t>
      </w:r>
    </w:p>
    <w:p>
      <w:pPr>
        <w:spacing w:after="0" w:line="131" w:lineRule="exact"/>
        <w:rPr>
          <w:sz w:val="20"/>
          <w:szCs w:val="20"/>
          <w:color w:val="auto"/>
        </w:rPr>
      </w:pPr>
    </w:p>
    <w:p>
      <w:pPr>
        <w:jc w:val="both"/>
        <w:ind w:left="1060" w:right="300" w:hanging="316"/>
        <w:spacing w:after="0" w:line="312"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Advisory Services </w:t>
      </w:r>
      <w:r>
        <w:rPr>
          <w:rFonts w:ascii="Arial" w:cs="Arial" w:eastAsia="Arial" w:hAnsi="Arial"/>
          <w:sz w:val="16"/>
          <w:szCs w:val="16"/>
          <w:color w:val="auto"/>
        </w:rPr>
        <w:t>— We identify actionable and pragmatic solutions to business and operational challenges. A team of industry experts</w:t>
      </w:r>
      <w:r>
        <w:rPr>
          <w:rFonts w:ascii="Arial" w:cs="Arial" w:eastAsia="Arial" w:hAnsi="Arial"/>
          <w:sz w:val="16"/>
          <w:szCs w:val="16"/>
          <w:i w:val="1"/>
          <w:iCs w:val="1"/>
          <w:color w:val="auto"/>
        </w:rPr>
        <w:t xml:space="preserve"> </w:t>
      </w:r>
      <w:r>
        <w:rPr>
          <w:rFonts w:ascii="Arial" w:cs="Arial" w:eastAsia="Arial" w:hAnsi="Arial"/>
          <w:sz w:val="16"/>
          <w:szCs w:val="16"/>
          <w:color w:val="auto"/>
        </w:rPr>
        <w:t>design insights based on research, trend analysis, global best practices, innovation and partnerships. This service helps service providers meet their objectives, including digital transformation, IoT, customer experience, NFV, DevOps, NextGen IT, cloud, 5G and enterprise.</w:t>
      </w:r>
    </w:p>
    <w:p>
      <w:pPr>
        <w:spacing w:after="0" w:line="52" w:lineRule="exact"/>
        <w:rPr>
          <w:rFonts w:ascii="Arial" w:cs="Arial" w:eastAsia="Arial" w:hAnsi="Arial"/>
          <w:sz w:val="16"/>
          <w:szCs w:val="16"/>
          <w:color w:val="auto"/>
        </w:rPr>
      </w:pPr>
    </w:p>
    <w:p>
      <w:pPr>
        <w:jc w:val="both"/>
        <w:ind w:left="1060" w:right="140" w:hanging="316"/>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Intelligent Operations </w:t>
      </w:r>
      <w:r>
        <w:rPr>
          <w:rFonts w:ascii="Arial" w:cs="Arial" w:eastAsia="Arial" w:hAnsi="Arial"/>
          <w:sz w:val="18"/>
          <w:szCs w:val="18"/>
          <w:color w:val="auto"/>
        </w:rPr>
        <w:t>— We seek to transform traditional managed services towards autonomous operations, while continuing to manage</w:t>
      </w:r>
      <w:r>
        <w:rPr>
          <w:rFonts w:ascii="Arial" w:cs="Arial" w:eastAsia="Arial" w:hAnsi="Arial"/>
          <w:sz w:val="18"/>
          <w:szCs w:val="18"/>
          <w:i w:val="1"/>
          <w:iCs w:val="1"/>
          <w:color w:val="auto"/>
        </w:rPr>
        <w:t xml:space="preserve"> </w:t>
      </w:r>
      <w:r>
        <w:rPr>
          <w:rFonts w:ascii="Arial" w:cs="Arial" w:eastAsia="Arial" w:hAnsi="Arial"/>
          <w:sz w:val="18"/>
          <w:szCs w:val="18"/>
          <w:color w:val="auto"/>
        </w:rPr>
        <w:t>legacy systems. This includes rapid deployment of new services through DevOps capabilities, modernization of legacy systems, cloud and infrastructure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540"/>
        <w:spacing w:after="0" w:line="264" w:lineRule="auto"/>
        <w:rPr>
          <w:sz w:val="20"/>
          <w:szCs w:val="20"/>
          <w:color w:val="auto"/>
        </w:rPr>
      </w:pPr>
      <w:r>
        <w:rPr>
          <w:rFonts w:ascii="Arial" w:cs="Arial" w:eastAsia="Arial" w:hAnsi="Arial"/>
          <w:sz w:val="18"/>
          <w:szCs w:val="18"/>
          <w:color w:val="auto"/>
        </w:rPr>
        <w:t>services, while maintaining ongoing IT operations. Using open source, third–party solutions and Amdocs’ unique IP around artificial intelligence, predictive analytics and machine-to-machine learning, this suite of services spans both Amdocs products and third-party software.</w:t>
      </w:r>
    </w:p>
    <w:p>
      <w:pPr>
        <w:spacing w:after="0" w:line="87" w:lineRule="exact"/>
        <w:rPr>
          <w:sz w:val="20"/>
          <w:szCs w:val="20"/>
          <w:color w:val="auto"/>
        </w:rPr>
      </w:pPr>
    </w:p>
    <w:p>
      <w:pPr>
        <w:ind w:left="1060" w:right="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Network Service Assurance </w:t>
      </w:r>
      <w:r>
        <w:rPr>
          <w:rFonts w:ascii="Arial" w:cs="Arial" w:eastAsia="Arial" w:hAnsi="Arial"/>
          <w:sz w:val="18"/>
          <w:szCs w:val="18"/>
          <w:color w:val="auto"/>
        </w:rPr>
        <w:t>— We turn data analysis into actionable insights. This service integrates BSS, OSS, IT and network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present service providers a customer-centric view of network events.</w:t>
      </w:r>
    </w:p>
    <w:p>
      <w:pPr>
        <w:spacing w:after="0" w:line="75"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Digital Business Operations </w:t>
      </w:r>
      <w:r>
        <w:rPr>
          <w:rFonts w:ascii="Arial" w:cs="Arial" w:eastAsia="Arial" w:hAnsi="Arial"/>
          <w:sz w:val="18"/>
          <w:szCs w:val="18"/>
          <w:color w:val="auto"/>
        </w:rPr>
        <w:t>— We offer a suite of services, including order to activation and business process operations to digitalize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operations. These services combine domain-specific expertise and advanced technologies such as robotic process automation, predictive analytics, machine learning and technology for real-time, end-to-end visibility over any business process regardless of underlying silos. We aim to improve customer experience, decrease handling time, reduce OPEX and shorten time to introduce digital channels and new services.</w:t>
      </w:r>
    </w:p>
    <w:p>
      <w:pPr>
        <w:spacing w:after="0" w:line="93" w:lineRule="exact"/>
        <w:rPr>
          <w:rFonts w:ascii="Arial" w:cs="Arial" w:eastAsia="Arial" w:hAnsi="Arial"/>
          <w:sz w:val="18"/>
          <w:szCs w:val="18"/>
          <w:color w:val="auto"/>
        </w:rPr>
      </w:pPr>
    </w:p>
    <w:p>
      <w:pPr>
        <w:ind w:left="1060" w:right="60" w:hanging="316"/>
        <w:spacing w:after="0" w:line="34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Testing Services </w:t>
      </w:r>
      <w:r>
        <w:rPr>
          <w:rFonts w:ascii="Arial" w:cs="Arial" w:eastAsia="Arial" w:hAnsi="Arial"/>
          <w:sz w:val="16"/>
          <w:szCs w:val="16"/>
          <w:color w:val="auto"/>
        </w:rPr>
        <w:t>— Leveraging Amdocs’ patented testing framework, BEAT™, we offer our customers industry-specific testing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domain expertise and a global presence to help ensure seamless and ongoing support throughout multiple testing lifecycles.</w:t>
      </w:r>
    </w:p>
    <w:p>
      <w:pPr>
        <w:spacing w:after="0" w:line="29" w:lineRule="exact"/>
        <w:rPr>
          <w:rFonts w:ascii="Arial" w:cs="Arial" w:eastAsia="Arial" w:hAnsi="Arial"/>
          <w:sz w:val="16"/>
          <w:szCs w:val="16"/>
          <w:color w:val="auto"/>
        </w:rPr>
      </w:pPr>
    </w:p>
    <w:p>
      <w:pPr>
        <w:ind w:left="1060" w:right="100" w:hanging="316"/>
        <w:spacing w:after="0" w:line="26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Revenue Guard </w:t>
      </w:r>
      <w:r>
        <w:rPr>
          <w:rFonts w:ascii="Arial" w:cs="Arial" w:eastAsia="Arial" w:hAnsi="Arial"/>
          <w:sz w:val="18"/>
          <w:szCs w:val="18"/>
          <w:color w:val="auto"/>
        </w:rPr>
        <w:t>— We offer operational risk management services that are designed to ensure faster, more accurate detection and resolution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 leakage, security and fraud. These services leverage a combination of methodology, unique IP, expertise and innovative tools to provide end-to-end ownership and accountability for assuring business processes.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Brite:Bill </w:t>
      </w:r>
      <w:r>
        <w:rPr>
          <w:rFonts w:ascii="Arial" w:cs="Arial" w:eastAsia="Arial" w:hAnsi="Arial"/>
          <w:sz w:val="18"/>
          <w:szCs w:val="18"/>
          <w:color w:val="auto"/>
        </w:rPr>
        <w:t>— We offer a design-led, multi-channel bill presentment platform focused on customer experience management.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portfolio architecture allows our applications to work in multiple customer environments.</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To help service providers respond more quickly to changes in their markets, we embrace an open and integrated approach to our technology built on the following key principles:</w:t>
      </w:r>
    </w:p>
    <w:p>
      <w:pPr>
        <w:spacing w:after="0" w:line="76" w:lineRule="exact"/>
        <w:rPr>
          <w:sz w:val="20"/>
          <w:szCs w:val="20"/>
          <w:color w:val="auto"/>
        </w:rPr>
      </w:pPr>
    </w:p>
    <w:p>
      <w:pPr>
        <w:ind w:left="1060" w:right="3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Design led</w:t>
      </w:r>
      <w:r>
        <w:rPr>
          <w:rFonts w:ascii="Arial" w:cs="Arial" w:eastAsia="Arial" w:hAnsi="Arial"/>
          <w:sz w:val="18"/>
          <w:szCs w:val="18"/>
          <w:color w:val="auto"/>
        </w:rPr>
        <w:t>. Adopting design-led principles and methodologies across software applications to ensure improved and optimized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w:t>
      </w:r>
    </w:p>
    <w:p>
      <w:pPr>
        <w:spacing w:after="0" w:line="75" w:lineRule="exact"/>
        <w:rPr>
          <w:rFonts w:ascii="Arial" w:cs="Arial" w:eastAsia="Arial" w:hAnsi="Arial"/>
          <w:sz w:val="18"/>
          <w:szCs w:val="18"/>
          <w:color w:val="auto"/>
        </w:rPr>
      </w:pPr>
    </w:p>
    <w:p>
      <w:pPr>
        <w:ind w:left="1060" w:right="320" w:hanging="316"/>
        <w:spacing w:after="0" w:line="28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API enabled</w:t>
      </w:r>
      <w:r>
        <w:rPr>
          <w:rFonts w:ascii="Arial" w:cs="Arial" w:eastAsia="Arial" w:hAnsi="Arial"/>
          <w:sz w:val="17"/>
          <w:szCs w:val="17"/>
          <w:color w:val="auto"/>
        </w:rPr>
        <w:t>. Leveraging domain-driven design to expose APIs across key applications and ensure consumption and interaction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is easily enabled. For example, Amdocs Web Services Factory exposes the Amdocs portfolio application programming interfaces to external systems, allowing our applications to integrate with each other and with third-party applications.</w:t>
      </w:r>
    </w:p>
    <w:p>
      <w:pPr>
        <w:spacing w:after="0" w:line="70" w:lineRule="exact"/>
        <w:rPr>
          <w:rFonts w:ascii="Arial" w:cs="Arial" w:eastAsia="Arial" w:hAnsi="Arial"/>
          <w:sz w:val="17"/>
          <w:szCs w:val="17"/>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Cloud flexibility</w:t>
      </w:r>
      <w:r>
        <w:rPr>
          <w:rFonts w:ascii="Arial" w:cs="Arial" w:eastAsia="Arial" w:hAnsi="Arial"/>
          <w:sz w:val="18"/>
          <w:szCs w:val="18"/>
          <w:color w:val="auto"/>
        </w:rPr>
        <w:t>. Architected to run in public and on-premise cloud environments.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Microservices</w:t>
      </w:r>
      <w:r>
        <w:rPr>
          <w:rFonts w:ascii="Arial" w:cs="Arial" w:eastAsia="Arial" w:hAnsi="Arial"/>
          <w:sz w:val="18"/>
          <w:szCs w:val="18"/>
          <w:color w:val="auto"/>
        </w:rPr>
        <w:t>. Developing highly granular, lightweight distributed software architecture, shipped and delivered using Docker containers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orchestrated using Google Kubernetes, the industry-leading cluster management for containers.</w:t>
      </w:r>
    </w:p>
    <w:p>
      <w:pPr>
        <w:spacing w:after="0" w:line="75"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Designed to take full advantage of the capabilities of the underlying platform, allowing progressive system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with increases in business volumes. Using the same software, our applications can support operations for small and very large service providers.</w:t>
      </w:r>
    </w:p>
    <w:p>
      <w:pPr>
        <w:spacing w:after="0" w:line="86"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System and component architecture supports high availability and redundancy to allow connected and uninterrupted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full network utilization and device load.</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Modularity</w:t>
      </w:r>
      <w:r>
        <w:rPr>
          <w:rFonts w:ascii="Arial" w:cs="Arial" w:eastAsia="Arial" w:hAnsi="Arial"/>
          <w:sz w:val="18"/>
          <w:szCs w:val="18"/>
          <w:color w:val="auto"/>
        </w:rPr>
        <w:t>. Applications can be installed on an individual standalone basis, interfacing with the customer’s existing systems, or as part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Amdocs system environment. We believe this modularity provides our customers with a highly flexible solution that is able to incrementally expand with the customer’s growing needs and capabilities.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Upgradability and Backwards Compatibility</w:t>
      </w:r>
      <w:r>
        <w:rPr>
          <w:rFonts w:ascii="Arial" w:cs="Arial" w:eastAsia="Arial" w:hAnsi="Arial"/>
          <w:sz w:val="18"/>
          <w:szCs w:val="18"/>
          <w:color w:val="auto"/>
        </w:rPr>
        <w:t>. Version interoperability eliminates risky upgrades and allows for a gradual upgrade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of suite elements.</w:t>
      </w:r>
    </w:p>
    <w:p>
      <w:pPr>
        <w:spacing w:after="0" w:line="75"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Virtualization</w:t>
      </w:r>
      <w:r>
        <w:rPr>
          <w:rFonts w:ascii="Arial" w:cs="Arial" w:eastAsia="Arial" w:hAnsi="Arial"/>
          <w:sz w:val="18"/>
          <w:szCs w:val="18"/>
          <w:color w:val="auto"/>
        </w:rPr>
        <w:t>. Business agility improves with virtualization as it allows introduction of new services rapidly. Moreover, virtualization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cost by improving resource utilization, and by automating processes.</w:t>
      </w:r>
    </w:p>
    <w:p>
      <w:pPr>
        <w:spacing w:after="0" w:line="75" w:lineRule="exact"/>
        <w:rPr>
          <w:rFonts w:ascii="Arial" w:cs="Arial" w:eastAsia="Arial" w:hAnsi="Arial"/>
          <w:sz w:val="18"/>
          <w:szCs w:val="18"/>
          <w:color w:val="auto"/>
        </w:rPr>
      </w:pPr>
    </w:p>
    <w:p>
      <w:pPr>
        <w:ind w:left="1060" w:hanging="316"/>
        <w:spacing w:after="0" w:line="31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Open Source Software</w:t>
      </w:r>
      <w:r>
        <w:rPr>
          <w:rFonts w:ascii="Arial" w:cs="Arial" w:eastAsia="Arial" w:hAnsi="Arial"/>
          <w:sz w:val="16"/>
          <w:szCs w:val="16"/>
          <w:color w:val="auto"/>
        </w:rPr>
        <w:t>. Enabling rapid time to market and lower-cost functionality introduction, our software leverages open-source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to encourage standardization and improved quality where possible. Amdocs is playing a central role in the development of The Linux Foundation’s ONAP (Open Network Automation Platform), an advanced open source solution for the telecommunication industry.</w:t>
      </w:r>
    </w:p>
    <w:p>
      <w:pPr>
        <w:spacing w:after="0" w:line="52" w:lineRule="exact"/>
        <w:rPr>
          <w:rFonts w:ascii="Arial" w:cs="Arial" w:eastAsia="Arial" w:hAnsi="Arial"/>
          <w:sz w:val="16"/>
          <w:szCs w:val="16"/>
          <w:color w:val="auto"/>
        </w:rPr>
      </w:pPr>
    </w:p>
    <w:p>
      <w:pPr>
        <w:ind w:left="1060" w:right="44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Service-Oriented Architecture. </w:t>
      </w:r>
      <w:r>
        <w:rPr>
          <w:rFonts w:ascii="Arial" w:cs="Arial" w:eastAsia="Arial" w:hAnsi="Arial"/>
          <w:sz w:val="18"/>
          <w:szCs w:val="18"/>
          <w:color w:val="auto"/>
        </w:rPr>
        <w:t>SOA enables improved flow of information, rapid function development, easier scaling and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new services.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sales and marketing activities are primarily directed at major communications, cable, entertainment and media companies.</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a result of the strategic importance of our customer experience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Europe, Latin America and Asia Pacific.</w:t>
      </w:r>
    </w:p>
    <w:p>
      <w:pPr>
        <w:spacing w:after="0" w:line="18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certain hardware and database vendors. Our sales and marketing activities also support projects with partner companies, such as Adobe, Nokia Networks, Hewlett Packard Enterprise, IBM and Microsoft.</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Our target market is comprised of service providers in the communications, cable, entertainment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We have a global orientation and customers in over 85 countries.</w:t>
      </w:r>
    </w:p>
    <w:p>
      <w:pPr>
        <w:spacing w:after="0" w:line="17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customers include global and national communications, broadband, cable and satellite providers and network operators, as well as local marketing service providers, such as:</w:t>
      </w:r>
    </w:p>
    <w:p>
      <w:pPr>
        <w:sectPr>
          <w:pgSz w:w="11900" w:h="16838" w:orient="portrait"/>
          <w:cols w:equalWidth="0" w:num="1">
            <w:col w:w="11120"/>
          </w:cols>
          <w:pgMar w:left="240" w:top="459" w:right="53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 Telekom Austria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Airtel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Altice USA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America Movil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AT&amp;T Mexico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Bakcell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Proximus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Post 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Rogers Communications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Rostelecom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Reliance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Sunrise Telecom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SMART Communications</w:t>
      </w:r>
    </w:p>
    <w:p>
      <w:pPr>
        <w:spacing w:after="0" w:line="165" w:lineRule="exact"/>
        <w:rPr>
          <w:sz w:val="20"/>
          <w:szCs w:val="20"/>
          <w:color w:val="auto"/>
        </w:rPr>
      </w:pPr>
    </w:p>
    <w:p>
      <w:pPr>
        <w:sectPr>
          <w:pgSz w:w="11900" w:h="16838" w:orient="portrait"/>
          <w:cols w:equalWidth="0" w:num="2">
            <w:col w:w="5340" w:space="720"/>
            <w:col w:w="5060"/>
          </w:cols>
          <w:pgMar w:left="240" w:top="459" w:right="539" w:bottom="1440" w:gutter="0" w:footer="0" w:header="0"/>
          <w:type w:val="continuous"/>
        </w:sectPr>
      </w:pPr>
    </w:p>
    <w:p>
      <w:pPr>
        <w:jc w:val="center"/>
        <w:ind w:right="-2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240" w:top="459" w:right="5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66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519"/>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Bell Canada</w:t>
            </w:r>
          </w:p>
        </w:tc>
        <w:tc>
          <w:tcPr>
            <w:tcW w:w="3520" w:type="dxa"/>
            <w:vAlign w:val="bottom"/>
          </w:tcPr>
          <w:p>
            <w:pPr>
              <w:ind w:left="1040"/>
              <w:spacing w:after="0"/>
              <w:rPr>
                <w:sz w:val="20"/>
                <w:szCs w:val="20"/>
                <w:color w:val="auto"/>
              </w:rPr>
            </w:pPr>
            <w:r>
              <w:rPr>
                <w:rFonts w:ascii="Arial" w:cs="Arial" w:eastAsia="Arial" w:hAnsi="Arial"/>
                <w:sz w:val="18"/>
                <w:szCs w:val="18"/>
                <w:color w:val="auto"/>
              </w:rPr>
              <w:t>Telefónica Argentina</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Botswana Telecommunications Corporation Limited</w:t>
            </w:r>
          </w:p>
        </w:tc>
        <w:tc>
          <w:tcPr>
            <w:tcW w:w="3520" w:type="dxa"/>
            <w:vAlign w:val="bottom"/>
          </w:tcPr>
          <w:p>
            <w:pPr>
              <w:ind w:left="1040"/>
              <w:spacing w:after="0"/>
              <w:rPr>
                <w:sz w:val="20"/>
                <w:szCs w:val="20"/>
                <w:color w:val="auto"/>
              </w:rPr>
            </w:pPr>
            <w:r>
              <w:rPr>
                <w:rFonts w:ascii="Arial" w:cs="Arial" w:eastAsia="Arial" w:hAnsi="Arial"/>
                <w:sz w:val="18"/>
                <w:szCs w:val="18"/>
                <w:color w:val="auto"/>
              </w:rPr>
              <w:t>Telefónica Brasil</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BT</w:t>
            </w:r>
          </w:p>
        </w:tc>
        <w:tc>
          <w:tcPr>
            <w:tcW w:w="3520" w:type="dxa"/>
            <w:vAlign w:val="bottom"/>
          </w:tcPr>
          <w:p>
            <w:pPr>
              <w:ind w:left="1040"/>
              <w:spacing w:after="0"/>
              <w:rPr>
                <w:sz w:val="20"/>
                <w:szCs w:val="20"/>
                <w:color w:val="auto"/>
              </w:rPr>
            </w:pPr>
            <w:r>
              <w:rPr>
                <w:rFonts w:ascii="Arial" w:cs="Arial" w:eastAsia="Arial" w:hAnsi="Arial"/>
                <w:sz w:val="18"/>
                <w:szCs w:val="18"/>
                <w:color w:val="auto"/>
              </w:rPr>
              <w:t>Telefónica Chile</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Cable and Wireless</w:t>
            </w:r>
          </w:p>
        </w:tc>
        <w:tc>
          <w:tcPr>
            <w:tcW w:w="3520" w:type="dxa"/>
            <w:vAlign w:val="bottom"/>
          </w:tcPr>
          <w:p>
            <w:pPr>
              <w:ind w:left="1040"/>
              <w:spacing w:after="0"/>
              <w:rPr>
                <w:sz w:val="20"/>
                <w:szCs w:val="20"/>
                <w:color w:val="auto"/>
              </w:rPr>
            </w:pPr>
            <w:r>
              <w:rPr>
                <w:rFonts w:ascii="Arial" w:cs="Arial" w:eastAsia="Arial" w:hAnsi="Arial"/>
                <w:sz w:val="18"/>
                <w:szCs w:val="18"/>
                <w:color w:val="auto"/>
              </w:rPr>
              <w:t>Telefónica SA</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CenturyLink</w:t>
            </w:r>
          </w:p>
        </w:tc>
        <w:tc>
          <w:tcPr>
            <w:tcW w:w="3520" w:type="dxa"/>
            <w:vAlign w:val="bottom"/>
          </w:tcPr>
          <w:p>
            <w:pPr>
              <w:ind w:left="1040"/>
              <w:spacing w:after="0"/>
              <w:rPr>
                <w:sz w:val="20"/>
                <w:szCs w:val="20"/>
                <w:color w:val="auto"/>
              </w:rPr>
            </w:pPr>
            <w:r>
              <w:rPr>
                <w:rFonts w:ascii="Arial" w:cs="Arial" w:eastAsia="Arial" w:hAnsi="Arial"/>
                <w:sz w:val="18"/>
                <w:szCs w:val="18"/>
                <w:color w:val="auto"/>
              </w:rPr>
              <w:t>Telefónica Peru</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Claro Brasil</w:t>
            </w:r>
          </w:p>
        </w:tc>
        <w:tc>
          <w:tcPr>
            <w:tcW w:w="3520" w:type="dxa"/>
            <w:vAlign w:val="bottom"/>
          </w:tcPr>
          <w:p>
            <w:pPr>
              <w:ind w:left="1040"/>
              <w:spacing w:after="0"/>
              <w:rPr>
                <w:sz w:val="20"/>
                <w:szCs w:val="20"/>
                <w:color w:val="auto"/>
              </w:rPr>
            </w:pPr>
            <w:r>
              <w:rPr>
                <w:rFonts w:ascii="Arial" w:cs="Arial" w:eastAsia="Arial" w:hAnsi="Arial"/>
                <w:sz w:val="18"/>
                <w:szCs w:val="18"/>
                <w:color w:val="auto"/>
              </w:rPr>
              <w:t>TeliaSonera Sweden</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Claro Chile</w:t>
            </w:r>
          </w:p>
        </w:tc>
        <w:tc>
          <w:tcPr>
            <w:tcW w:w="3520" w:type="dxa"/>
            <w:vAlign w:val="bottom"/>
          </w:tcPr>
          <w:p>
            <w:pPr>
              <w:ind w:left="1040"/>
              <w:spacing w:after="0"/>
              <w:rPr>
                <w:sz w:val="20"/>
                <w:szCs w:val="20"/>
                <w:color w:val="auto"/>
              </w:rPr>
            </w:pPr>
            <w:r>
              <w:rPr>
                <w:rFonts w:ascii="Arial" w:cs="Arial" w:eastAsia="Arial" w:hAnsi="Arial"/>
                <w:sz w:val="18"/>
                <w:szCs w:val="18"/>
                <w:color w:val="auto"/>
              </w:rPr>
              <w:t>Telkom South Africa</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Claro Dominican Republic</w:t>
            </w:r>
          </w:p>
        </w:tc>
        <w:tc>
          <w:tcPr>
            <w:tcW w:w="3520" w:type="dxa"/>
            <w:vAlign w:val="bottom"/>
          </w:tcPr>
          <w:p>
            <w:pPr>
              <w:ind w:left="1040"/>
              <w:spacing w:after="0"/>
              <w:rPr>
                <w:sz w:val="20"/>
                <w:szCs w:val="20"/>
                <w:color w:val="auto"/>
              </w:rPr>
            </w:pPr>
            <w:r>
              <w:rPr>
                <w:rFonts w:ascii="Arial" w:cs="Arial" w:eastAsia="Arial" w:hAnsi="Arial"/>
                <w:sz w:val="18"/>
                <w:szCs w:val="18"/>
                <w:color w:val="auto"/>
              </w:rPr>
              <w:t>Telstra</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Claro Puerto Rico</w:t>
            </w:r>
          </w:p>
        </w:tc>
        <w:tc>
          <w:tcPr>
            <w:tcW w:w="3520" w:type="dxa"/>
            <w:vAlign w:val="bottom"/>
          </w:tcPr>
          <w:p>
            <w:pPr>
              <w:ind w:left="1040"/>
              <w:spacing w:after="0"/>
              <w:rPr>
                <w:sz w:val="20"/>
                <w:szCs w:val="20"/>
                <w:color w:val="auto"/>
              </w:rPr>
            </w:pPr>
            <w:r>
              <w:rPr>
                <w:rFonts w:ascii="Arial" w:cs="Arial" w:eastAsia="Arial" w:hAnsi="Arial"/>
                <w:sz w:val="18"/>
                <w:szCs w:val="18"/>
                <w:color w:val="auto"/>
              </w:rPr>
              <w:t>TELUS Communications</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Comcast</w:t>
            </w:r>
          </w:p>
        </w:tc>
        <w:tc>
          <w:tcPr>
            <w:tcW w:w="3520" w:type="dxa"/>
            <w:vAlign w:val="bottom"/>
          </w:tcPr>
          <w:p>
            <w:pPr>
              <w:ind w:left="1040"/>
              <w:spacing w:after="0"/>
              <w:rPr>
                <w:sz w:val="20"/>
                <w:szCs w:val="20"/>
                <w:color w:val="auto"/>
              </w:rPr>
            </w:pPr>
            <w:r>
              <w:rPr>
                <w:rFonts w:ascii="Arial" w:cs="Arial" w:eastAsia="Arial" w:hAnsi="Arial"/>
                <w:sz w:val="18"/>
                <w:szCs w:val="18"/>
                <w:color w:val="auto"/>
                <w:w w:val="92"/>
              </w:rPr>
              <w:t>Three Ireland (Hutchison) Limited</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Deutsche Telekom</w:t>
            </w:r>
          </w:p>
        </w:tc>
        <w:tc>
          <w:tcPr>
            <w:tcW w:w="3520" w:type="dxa"/>
            <w:vAlign w:val="bottom"/>
          </w:tcPr>
          <w:p>
            <w:pPr>
              <w:ind w:left="1040"/>
              <w:spacing w:after="0"/>
              <w:rPr>
                <w:sz w:val="20"/>
                <w:szCs w:val="20"/>
                <w:color w:val="auto"/>
              </w:rPr>
            </w:pPr>
            <w:r>
              <w:rPr>
                <w:rFonts w:ascii="Arial" w:cs="Arial" w:eastAsia="Arial" w:hAnsi="Arial"/>
                <w:sz w:val="18"/>
                <w:szCs w:val="18"/>
                <w:color w:val="auto"/>
              </w:rPr>
              <w:t>TIM</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Dex Media</w:t>
            </w:r>
          </w:p>
        </w:tc>
        <w:tc>
          <w:tcPr>
            <w:tcW w:w="3520" w:type="dxa"/>
            <w:vAlign w:val="bottom"/>
          </w:tcPr>
          <w:p>
            <w:pPr>
              <w:ind w:left="1040"/>
              <w:spacing w:after="0"/>
              <w:rPr>
                <w:sz w:val="20"/>
                <w:szCs w:val="20"/>
                <w:color w:val="auto"/>
              </w:rPr>
            </w:pPr>
            <w:r>
              <w:rPr>
                <w:rFonts w:ascii="Arial" w:cs="Arial" w:eastAsia="Arial" w:hAnsi="Arial"/>
                <w:sz w:val="18"/>
                <w:szCs w:val="18"/>
                <w:color w:val="auto"/>
              </w:rPr>
              <w:t>TIM Brasil</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Dish Network</w:t>
            </w:r>
          </w:p>
        </w:tc>
        <w:tc>
          <w:tcPr>
            <w:tcW w:w="3520" w:type="dxa"/>
            <w:vAlign w:val="bottom"/>
          </w:tcPr>
          <w:p>
            <w:pPr>
              <w:ind w:left="1040"/>
              <w:spacing w:after="0"/>
              <w:rPr>
                <w:sz w:val="20"/>
                <w:szCs w:val="20"/>
                <w:color w:val="auto"/>
              </w:rPr>
            </w:pPr>
            <w:r>
              <w:rPr>
                <w:rFonts w:ascii="Arial" w:cs="Arial" w:eastAsia="Arial" w:hAnsi="Arial"/>
                <w:sz w:val="18"/>
                <w:szCs w:val="18"/>
                <w:color w:val="auto"/>
              </w:rPr>
              <w:t>T-Mobile USA</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EE</w:t>
            </w:r>
          </w:p>
        </w:tc>
        <w:tc>
          <w:tcPr>
            <w:tcW w:w="3520" w:type="dxa"/>
            <w:vAlign w:val="bottom"/>
          </w:tcPr>
          <w:p>
            <w:pPr>
              <w:ind w:left="1040"/>
              <w:spacing w:after="0"/>
              <w:rPr>
                <w:sz w:val="20"/>
                <w:szCs w:val="20"/>
                <w:color w:val="auto"/>
              </w:rPr>
            </w:pPr>
            <w:r>
              <w:rPr>
                <w:rFonts w:ascii="Arial" w:cs="Arial" w:eastAsia="Arial" w:hAnsi="Arial"/>
                <w:sz w:val="18"/>
                <w:szCs w:val="18"/>
                <w:color w:val="auto"/>
              </w:rPr>
              <w:t>True Corporation</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Elisa</w:t>
            </w:r>
          </w:p>
        </w:tc>
        <w:tc>
          <w:tcPr>
            <w:tcW w:w="3520" w:type="dxa"/>
            <w:vAlign w:val="bottom"/>
          </w:tcPr>
          <w:p>
            <w:pPr>
              <w:ind w:left="1040"/>
              <w:spacing w:after="0"/>
              <w:rPr>
                <w:sz w:val="20"/>
                <w:szCs w:val="20"/>
                <w:color w:val="auto"/>
              </w:rPr>
            </w:pPr>
            <w:r>
              <w:rPr>
                <w:rFonts w:ascii="Arial" w:cs="Arial" w:eastAsia="Arial" w:hAnsi="Arial"/>
                <w:sz w:val="18"/>
                <w:szCs w:val="18"/>
                <w:color w:val="auto"/>
              </w:rPr>
              <w:t>UPC Broadband Holding B.V.</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FarEasTone</w:t>
            </w:r>
          </w:p>
        </w:tc>
        <w:tc>
          <w:tcPr>
            <w:tcW w:w="3520" w:type="dxa"/>
            <w:vAlign w:val="bottom"/>
          </w:tcPr>
          <w:p>
            <w:pPr>
              <w:ind w:left="1040"/>
              <w:spacing w:after="0"/>
              <w:rPr>
                <w:sz w:val="20"/>
                <w:szCs w:val="20"/>
                <w:color w:val="auto"/>
              </w:rPr>
            </w:pPr>
            <w:r>
              <w:rPr>
                <w:rFonts w:ascii="Arial" w:cs="Arial" w:eastAsia="Arial" w:hAnsi="Arial"/>
                <w:sz w:val="18"/>
                <w:szCs w:val="18"/>
                <w:color w:val="auto"/>
              </w:rPr>
              <w:t>US Cellular</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Globe Telecom</w:t>
            </w:r>
          </w:p>
        </w:tc>
        <w:tc>
          <w:tcPr>
            <w:tcW w:w="3520" w:type="dxa"/>
            <w:vAlign w:val="bottom"/>
          </w:tcPr>
          <w:p>
            <w:pPr>
              <w:ind w:left="1040"/>
              <w:spacing w:after="0"/>
              <w:rPr>
                <w:sz w:val="20"/>
                <w:szCs w:val="20"/>
                <w:color w:val="auto"/>
              </w:rPr>
            </w:pPr>
            <w:r>
              <w:rPr>
                <w:rFonts w:ascii="Arial" w:cs="Arial" w:eastAsia="Arial" w:hAnsi="Arial"/>
                <w:sz w:val="18"/>
                <w:szCs w:val="18"/>
                <w:color w:val="auto"/>
              </w:rPr>
              <w:t>UTS</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Instituto Costarricense de Electricidad</w:t>
            </w:r>
          </w:p>
        </w:tc>
        <w:tc>
          <w:tcPr>
            <w:tcW w:w="3520" w:type="dxa"/>
            <w:vAlign w:val="bottom"/>
          </w:tcPr>
          <w:p>
            <w:pPr>
              <w:ind w:left="1040"/>
              <w:spacing w:after="0"/>
              <w:rPr>
                <w:sz w:val="20"/>
                <w:szCs w:val="20"/>
                <w:color w:val="auto"/>
              </w:rPr>
            </w:pPr>
            <w:r>
              <w:rPr>
                <w:rFonts w:ascii="Arial" w:cs="Arial" w:eastAsia="Arial" w:hAnsi="Arial"/>
                <w:sz w:val="18"/>
                <w:szCs w:val="18"/>
                <w:color w:val="auto"/>
              </w:rPr>
              <w:t>Verizon Communications</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J:COM</w:t>
            </w:r>
          </w:p>
        </w:tc>
        <w:tc>
          <w:tcPr>
            <w:tcW w:w="3520" w:type="dxa"/>
            <w:vAlign w:val="bottom"/>
          </w:tcPr>
          <w:p>
            <w:pPr>
              <w:ind w:left="1040"/>
              <w:spacing w:after="0"/>
              <w:rPr>
                <w:sz w:val="20"/>
                <w:szCs w:val="20"/>
                <w:color w:val="auto"/>
              </w:rPr>
            </w:pPr>
            <w:r>
              <w:rPr>
                <w:rFonts w:ascii="Arial" w:cs="Arial" w:eastAsia="Arial" w:hAnsi="Arial"/>
                <w:sz w:val="18"/>
                <w:szCs w:val="18"/>
                <w:color w:val="auto"/>
              </w:rPr>
              <w:t>Veon</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Kazakhtelecom</w:t>
            </w:r>
          </w:p>
        </w:tc>
        <w:tc>
          <w:tcPr>
            <w:tcW w:w="3520" w:type="dxa"/>
            <w:vAlign w:val="bottom"/>
          </w:tcPr>
          <w:p>
            <w:pPr>
              <w:ind w:left="1040"/>
              <w:spacing w:after="0"/>
              <w:rPr>
                <w:sz w:val="20"/>
                <w:szCs w:val="20"/>
                <w:color w:val="auto"/>
              </w:rPr>
            </w:pPr>
            <w:r>
              <w:rPr>
                <w:rFonts w:ascii="Arial" w:cs="Arial" w:eastAsia="Arial" w:hAnsi="Arial"/>
                <w:sz w:val="18"/>
                <w:szCs w:val="18"/>
                <w:color w:val="auto"/>
              </w:rPr>
              <w:t>Virgin Media</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Kcell</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 Germany</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KPN</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 Hungary</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KT Corporation</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 India</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Kyivstar</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 Ireland</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M1</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 Italy</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Mtel</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VodafoneZiggo</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Magyar Telekom</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 Romania</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NetCom</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 Spain</w:t>
            </w: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Oi</w:t>
            </w:r>
          </w:p>
        </w:tc>
        <w:tc>
          <w:tcPr>
            <w:tcW w:w="3520" w:type="dxa"/>
            <w:vAlign w:val="bottom"/>
          </w:tcPr>
          <w:p>
            <w:pPr>
              <w:ind w:left="1040"/>
              <w:spacing w:after="0"/>
              <w:rPr>
                <w:sz w:val="20"/>
                <w:szCs w:val="20"/>
                <w:color w:val="auto"/>
              </w:rPr>
            </w:pPr>
            <w:r>
              <w:rPr>
                <w:rFonts w:ascii="Arial" w:cs="Arial" w:eastAsia="Arial" w:hAnsi="Arial"/>
                <w:sz w:val="18"/>
                <w:szCs w:val="18"/>
                <w:color w:val="auto"/>
              </w:rPr>
              <w:t>Vodafone UK</w:t>
            </w:r>
          </w:p>
        </w:tc>
      </w:tr>
      <w:tr>
        <w:trPr>
          <w:trHeight w:val="230"/>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Optus</w:t>
            </w:r>
          </w:p>
        </w:tc>
        <w:tc>
          <w:tcPr>
            <w:tcW w:w="3520" w:type="dxa"/>
            <w:vAlign w:val="bottom"/>
          </w:tcPr>
          <w:p>
            <w:pPr>
              <w:ind w:left="1040"/>
              <w:spacing w:after="0"/>
              <w:rPr>
                <w:sz w:val="20"/>
                <w:szCs w:val="20"/>
                <w:color w:val="auto"/>
              </w:rPr>
            </w:pPr>
            <w:r>
              <w:rPr>
                <w:rFonts w:ascii="Arial" w:cs="Arial" w:eastAsia="Arial" w:hAnsi="Arial"/>
                <w:sz w:val="18"/>
                <w:szCs w:val="18"/>
                <w:color w:val="auto"/>
              </w:rPr>
              <w:t>XL Axiata</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200" w:firstLine="441"/>
        <w:spacing w:after="0" w:line="279" w:lineRule="auto"/>
        <w:rPr>
          <w:sz w:val="20"/>
          <w:szCs w:val="20"/>
          <w:color w:val="auto"/>
        </w:rPr>
      </w:pPr>
      <w:r>
        <w:rPr>
          <w:rFonts w:ascii="Arial" w:cs="Arial" w:eastAsia="Arial" w:hAnsi="Arial"/>
          <w:sz w:val="17"/>
          <w:szCs w:val="17"/>
          <w:color w:val="auto"/>
        </w:rPr>
        <w:t>Our business is dependent on a limited number of significant customers, of which AT&amp;T has historically been our largest. AT&amp;T accounted for 33% of our revenue in fiscal years 2017 and 2016, respectively. Aggregate revenue derived from the multiple business arrangements we have with the ten largest of our significant customers accounted for approximately 71% of our revenue in fiscal 2017 and 73% in fiscal 2016. Revenue attributable to DIRECTV following its July 2015 acquisition by AT&amp;T has been included in the total revenue attributable to AT&amp;T.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65.9%</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70.1%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Europe</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12.6</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13.8</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11.6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21.5</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22.2</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18.3</w:t>
            </w: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market for customer experience solutions in the communications, cable, entertainment and media industry continues to become more competitive. Amdocs’ competitive landscape is comprised of internal IT</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240" w:top="446" w:right="5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departments of large communications companies, as well as independent competitors or new entrants that may compete broadly with us or in limited segments of our market, and can be generally categorized as follows:</w:t>
      </w:r>
    </w:p>
    <w:p>
      <w:pPr>
        <w:spacing w:after="0" w:line="76"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providers of BSS/OSS systems, including CSG International, Oracle, Redknee, Salesforce and SAP;</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 integrators and providers of IT services, such as Accenture, Cognizant, CSC, Hewlett Packard Enterprise, IBM Global Services, Infosys, Tata Consultancy Services, Tech Mahindra and Wipro (some of whom we also cooperate with in certain opportunities and projects); and</w:t>
      </w:r>
    </w:p>
    <w:p>
      <w:pPr>
        <w:spacing w:after="0" w:line="86" w:lineRule="exact"/>
        <w:rPr>
          <w:rFonts w:ascii="Arial" w:cs="Arial" w:eastAsia="Arial" w:hAnsi="Arial"/>
          <w:sz w:val="18"/>
          <w:szCs w:val="18"/>
          <w:color w:val="auto"/>
        </w:rPr>
      </w:pPr>
    </w:p>
    <w:p>
      <w:pPr>
        <w:ind w:left="1060" w:right="320" w:hanging="316"/>
        <w:spacing w:after="0" w:line="342"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network equipment providers such as Cisco, Ericsson, Huawei, Nokia Networks, NEC and its subsidiary NetCracker, and ZTE (some of whom we also cooperate with in certain opportunities and projects and some of whom have also moved into the BSS/OSS space).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131" w:lineRule="exact"/>
        <w:rPr>
          <w:sz w:val="20"/>
          <w:szCs w:val="20"/>
          <w:color w:val="auto"/>
        </w:rPr>
      </w:pPr>
    </w:p>
    <w:p>
      <w:pPr>
        <w:ind w:left="1060" w:right="100" w:hanging="316"/>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applying our 35-year heritage to the development and delivery of products and professional services that enable our customers to overcome their challenges and achieve service differentiation by providing a personalized and intelligent customer experience, shaping the quality of network experience and simplifying the complexity of the operating environment,</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continuing to design and develop solutions targeted specifically to the communications, cable, entertainment and media industry,</w:t>
      </w:r>
    </w:p>
    <w:p>
      <w:pPr>
        <w:spacing w:after="0" w:line="142" w:lineRule="exact"/>
        <w:rPr>
          <w:rFonts w:ascii="Arial" w:cs="Arial" w:eastAsia="Arial" w:hAnsi="Arial"/>
          <w:sz w:val="17"/>
          <w:szCs w:val="17"/>
          <w:color w:val="auto"/>
        </w:rPr>
      </w:pPr>
    </w:p>
    <w:p>
      <w:pPr>
        <w:ind w:left="1060" w:right="4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high-availability cloud technology and high-quality, reliable, scalable, integrated and modular applications,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 and outstanding leaders.</w:t>
      </w:r>
    </w:p>
    <w:p>
      <w:pPr>
        <w:spacing w:after="0" w:line="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See “Directors, Senior Management and Employees — Workforce Personnel” for further details regarding our employees and our relationships with them.</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Facilities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lease land and buildings for our executive offices, sales, marketing, administrative, development and support centers. We lease an aggregate of approximately 3.4 million square feet worldwide, including significant leases in the United States, Israel, Canada, Cyprus, India and the United Kingdom. Our aggregate annual lease costs with respect to our properties as of September 30, 2017, including maintenance and other related costs,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were approximately $66 million. The following table summarizes information with respect to the principal facilities leased by us and our subsidiaries as of September 30, 2017:</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Area</w:t>
            </w:r>
          </w:p>
        </w:tc>
      </w:tr>
      <w:tr>
        <w:trPr>
          <w:trHeight w:val="282"/>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(Sq. Feet)</w:t>
            </w:r>
          </w:p>
        </w:tc>
      </w:tr>
      <w:tr>
        <w:trPr>
          <w:trHeight w:val="196"/>
        </w:trPr>
        <w:tc>
          <w:tcPr>
            <w:tcW w:w="20" w:type="dxa"/>
            <w:vAlign w:val="bottom"/>
          </w:tcPr>
          <w:p>
            <w:pPr>
              <w:spacing w:after="0"/>
              <w:rPr>
                <w:sz w:val="17"/>
                <w:szCs w:val="17"/>
                <w:color w:val="auto"/>
              </w:rPr>
            </w:pPr>
          </w:p>
        </w:tc>
        <w:tc>
          <w:tcPr>
            <w:tcW w:w="5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United</w:t>
            </w: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States:</w:t>
            </w: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Champaign, IL</w:t>
            </w:r>
          </w:p>
        </w:tc>
        <w:tc>
          <w:tcPr>
            <w:tcW w:w="860" w:type="dxa"/>
            <w:vAlign w:val="bottom"/>
          </w:tcPr>
          <w:p>
            <w:pPr>
              <w:jc w:val="right"/>
              <w:spacing w:after="0"/>
              <w:rPr>
                <w:sz w:val="20"/>
                <w:szCs w:val="20"/>
                <w:color w:val="auto"/>
              </w:rPr>
            </w:pPr>
            <w:r>
              <w:rPr>
                <w:rFonts w:ascii="Arial" w:cs="Arial" w:eastAsia="Arial" w:hAnsi="Arial"/>
                <w:sz w:val="18"/>
                <w:szCs w:val="18"/>
                <w:color w:val="auto"/>
              </w:rPr>
              <w:t>176,283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 Louis, MO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Seattle, WA</w:t>
            </w:r>
          </w:p>
        </w:tc>
        <w:tc>
          <w:tcPr>
            <w:tcW w:w="860" w:type="dxa"/>
            <w:vAlign w:val="bottom"/>
          </w:tcPr>
          <w:p>
            <w:pPr>
              <w:jc w:val="right"/>
              <w:spacing w:after="0"/>
              <w:rPr>
                <w:sz w:val="20"/>
                <w:szCs w:val="20"/>
                <w:color w:val="auto"/>
              </w:rPr>
            </w:pPr>
            <w:r>
              <w:rPr>
                <w:rFonts w:ascii="Arial" w:cs="Arial" w:eastAsia="Arial" w:hAnsi="Arial"/>
                <w:sz w:val="18"/>
                <w:szCs w:val="18"/>
                <w:color w:val="auto"/>
              </w:rPr>
              <w:t>55,396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Eldorado Hills, CA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Israel:</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Ra’anana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Sderot</w:t>
            </w:r>
          </w:p>
        </w:tc>
        <w:tc>
          <w:tcPr>
            <w:tcW w:w="860" w:type="dxa"/>
            <w:vAlign w:val="bottom"/>
          </w:tcPr>
          <w:p>
            <w:pPr>
              <w:jc w:val="right"/>
              <w:spacing w:after="0"/>
              <w:rPr>
                <w:sz w:val="20"/>
                <w:szCs w:val="20"/>
                <w:color w:val="auto"/>
              </w:rPr>
            </w:pPr>
            <w:r>
              <w:rPr>
                <w:rFonts w:ascii="Arial" w:cs="Arial" w:eastAsia="Arial" w:hAnsi="Arial"/>
                <w:sz w:val="18"/>
                <w:szCs w:val="18"/>
                <w:color w:val="auto"/>
              </w:rPr>
              <w:t>143,192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Nazereth</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Montreal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Ottawa</w:t>
            </w:r>
          </w:p>
        </w:tc>
        <w:tc>
          <w:tcPr>
            <w:tcW w:w="860" w:type="dxa"/>
            <w:vAlign w:val="bottom"/>
          </w:tcPr>
          <w:p>
            <w:pPr>
              <w:jc w:val="right"/>
              <w:spacing w:after="0"/>
              <w:rPr>
                <w:sz w:val="20"/>
                <w:szCs w:val="20"/>
                <w:color w:val="auto"/>
              </w:rPr>
            </w:pPr>
            <w:r>
              <w:rPr>
                <w:rFonts w:ascii="Arial" w:cs="Arial" w:eastAsia="Arial" w:hAnsi="Arial"/>
                <w:sz w:val="18"/>
                <w:szCs w:val="18"/>
                <w:color w:val="auto"/>
              </w:rPr>
              <w:t>40,422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Toronto</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118,568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Cyprus (Limassol)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India:</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Pune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Delhi</w:t>
            </w:r>
          </w:p>
        </w:tc>
        <w:tc>
          <w:tcPr>
            <w:tcW w:w="860" w:type="dxa"/>
            <w:vAlign w:val="bottom"/>
          </w:tcPr>
          <w:p>
            <w:pPr>
              <w:jc w:val="right"/>
              <w:spacing w:after="0"/>
              <w:rPr>
                <w:sz w:val="20"/>
                <w:szCs w:val="20"/>
                <w:color w:val="auto"/>
              </w:rPr>
            </w:pPr>
            <w:r>
              <w:rPr>
                <w:rFonts w:ascii="Arial" w:cs="Arial" w:eastAsia="Arial" w:hAnsi="Arial"/>
                <w:sz w:val="18"/>
                <w:szCs w:val="18"/>
                <w:color w:val="auto"/>
              </w:rPr>
              <w:t>204,053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Mumbai</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1,046,668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 locations (30 countries)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347,827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3,353,642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leases expire on various dates through 2026, not including various options to terminate or extend lease terms. In December 2017, the Company entered into agreements with Union Investments and Development Limited (“Union”) to partner through a legal entity that would be equally owned by the Company and Union for the purpose of acquiring land which the Company intends to use as the site for a new campus in Ra’anana, Israel. The transaction for the acquisition of the land is expected to be completed in the near term upon satisfaction of customary closing conditions. Please see Note 22 to our consolidated financial statement.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Equipment</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develop our customer experience solutions over a system of UNIX, Linux and Windows servers owned or leased by us. We use a variety of software products in our development centers, including products by Microsoft, Oracle, Syncsort, Red Hat, CA, IBM, Hewlett-Packard or others. Our data storage is based mainly on equipment from EMC, NetApp, IBM, Hitachi and Hewlett-Packard. Our development servers are connected to more than 30,000 personal computers owned or leased by us.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Automatic tape libraries and virtual tape libraries provide full and incremental backups of the data used in and generated by our business. The backup tapes are kept on-site, off-site and on the cloud, as appropriate, to ensure security and integrity, and are used as part of our disaster recovery plan. The distributed development sites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that we operate worldwide are connected by a high-speed redundant wide area network, using telecommunication equipment manufactured by, among others, Cisco and Avaya.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Amdocs is a leading provider of software and services for communications, cable, entertainment and media industry service providers in both developed countries and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 contextual and valuable at every point of engagement and across all channels.</w:t>
      </w:r>
    </w:p>
    <w:p>
      <w:pPr>
        <w:spacing w:after="0" w:line="15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develop, implement and manage software and services associated with BSS/OSS, the service-driven network and other network solutions, entertainment offerings, and digital solutions to enable service providers to efficiently and cost-effectively introduce new products and services, process orders, monetize data, support new business models and generally enhance their understanding of their customers. Our technology and expertise help service providers to further transform into digital service providers, enhance their OTT entertainment offerings and serve their customers across all channels. We refer to these products, systems and services collectively as customer experience solutions because of the crucial impact they have on the service providers’ end-user experience.</w:t>
      </w:r>
    </w:p>
    <w:p>
      <w:pPr>
        <w:spacing w:after="0" w:line="19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 global communications industry impacted by unprecedented growth in data demand, an increasing number of connected devices, improvement in IoT technologies, the rising influence of device makers, social networks and over-the-top players that bypass traditional service providers, consumers expect immediate and constant connectivity to personalized services, information and applications. To capture new revenue streams, service providers are continuing to transform to become digital service providers, investing in their networks to meet the demand for increased bandwidth and are searching for ways to provide new services.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 and their markets grow and change.</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part, we have sought, through acquisitions, to expand our service offerings and customer base and to enhance our ability to provide intelligent operations (managed services) to our customers. In recent years, we have completed numerous acquisitions (including our fiscal 2016 acquisitions of Vindicia, Brite:Bill and Pontis and our fiscal 2017 acquisition of Kenzan), which, among other things, we believe will enable us to expand our digital offerings and technological expertise. As part of our strategy, we may continue to pursue acquisitions and other initiatives in order to offer new products or services, enter into new vertical markets or otherwise enhance our market position or strategic strengths.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offerings of software and related services consist of:</w:t>
      </w:r>
    </w:p>
    <w:p>
      <w:pPr>
        <w:spacing w:after="0" w:line="131" w:lineRule="exact"/>
        <w:rPr>
          <w:sz w:val="20"/>
          <w:szCs w:val="20"/>
          <w:color w:val="auto"/>
        </w:rPr>
      </w:pPr>
    </w:p>
    <w:p>
      <w:pPr>
        <w:jc w:val="both"/>
        <w:ind w:left="1060" w:right="10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complete, modular yet integrated open portfolio of customer experience solutions, including digital experience and digital monetization, network solutions, enterprise and business-to-business, on-demand entertainment and OTT, IoT, artificial intelligence and mobile financial services, all employing a unified foundation of products and tools.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6"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comprehensive line of services designed to address every stage of a service provider’s lifecycle. Our services include advisory services, intelligent operations, digital business operations, testing, revenue guard and Brite:Bill (personalized digital interactive billing services). Our intelligent operations provide multi-year, flexible and tailored business processes and applications services, including application development and maintenance, IT and infrastructure services, testing and professional services that are designed to assist customers in the selection, implementation, operation, management and maintenance of their IT systems.</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designed our customer experience solutions to meet the high-volume, complex needs of Tier-1 and Tier-2 service providers and to address the issues of service providers in high-growth emerging markets. In addition, Amdocs Optima has been designed to service midsized communications businesses and mobile virtual network enablers/mobile virtual network operators, as well as energy providers. We support our customers’ various lines of business, including wireline, wireless, broadband, cable and satellite, and a wide range of communication services, including voice, video, data, content, electronic and mobile commerce applications. In addition, we support service providers that offer bundled or convergent service packages.</w:t>
      </w:r>
    </w:p>
    <w:p>
      <w:pPr>
        <w:spacing w:after="0" w:line="193"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We also offer advertising and media products and services for media publishers, TV networks, video streaming providers, ad agencies and advertising service providers to facilitate cost-effective operations, from selling ads to the management of the fulfillment, operations, advertiser and consumer experience and financial processes across digital and print media.</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entertainment and media industry. In fiscal 2017, customers in North America accounted for 65.9% of our revenue, while customers in Europe and the rest of the world accounted for 12.6% and 21.5%, respectively. We maintain development facilities in Brazil, Canada, Cyprus, India, Ireland, Israel, Mexico, the Philippines, the United Kingdom and the United States. Historically, AT&amp;T has been our largest customer, accounting for 33% of our revenue in fiscal years 2017 and 2016, respectively. Aggregate revenue derived from the multiple business arrangements we have with our ten largest customers accounted for approximately 71% of our revenue in fiscal 2017 and 73% in fiscal 2016. Revenue attributable to DIRECTV following its July 2015 acquisition by AT&amp;T has been included in the total revenue attributable to AT&amp;T. We believe that demand for our customer experience solutions is primarily driven by the following key factors:</w:t>
      </w:r>
    </w:p>
    <w:p>
      <w:pPr>
        <w:spacing w:after="0" w:line="84"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Transformation within the communications industry, including:</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continued transformation of service providers to digital service providers,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continued growth in Latin America and Southeast Asia,</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130" w:lineRule="exact"/>
        <w:rPr>
          <w:rFonts w:ascii="Arial" w:cs="Arial" w:eastAsia="Arial" w:hAnsi="Arial"/>
          <w:sz w:val="18"/>
          <w:szCs w:val="18"/>
          <w:color w:val="auto"/>
        </w:rPr>
      </w:pPr>
    </w:p>
    <w:p>
      <w:pPr>
        <w:ind w:left="1300" w:right="680" w:hanging="218"/>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Wide-scale foundational technology changes including the leveraging of open-source, cloud-enabled and cloud-native operating infrastructure, microservices-based architecture, API-based ecosystems, and aggressive digital modernization transformations,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380" w:hanging="218"/>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Evolving service provider business models and opportunities like OTT partnerships, content development and offerings, advertising, enterprise and small or medium-sized business modernization, and innovative consumer bundling solutions,</w:t>
      </w:r>
    </w:p>
    <w:p>
      <w:pPr>
        <w:spacing w:after="0" w:line="51" w:lineRule="exact"/>
        <w:rPr>
          <w:rFonts w:ascii="Arial" w:cs="Arial" w:eastAsia="Arial" w:hAnsi="Arial"/>
          <w:sz w:val="17"/>
          <w:szCs w:val="17"/>
          <w:color w:val="auto"/>
        </w:rPr>
      </w:pPr>
    </w:p>
    <w:p>
      <w:pPr>
        <w:ind w:left="1300" w:right="420" w:hanging="218"/>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Network evolution in order to support growing technology needs associated with Internet of Things (IoT), autonomous vehicles and augmented and virtual reality,</w:t>
      </w:r>
    </w:p>
    <w:p>
      <w:pPr>
        <w:spacing w:after="0" w:line="75" w:lineRule="exact"/>
        <w:rPr>
          <w:rFonts w:ascii="Arial" w:cs="Arial" w:eastAsia="Arial" w:hAnsi="Arial"/>
          <w:sz w:val="18"/>
          <w:szCs w:val="18"/>
          <w:color w:val="auto"/>
        </w:rPr>
      </w:pPr>
    </w:p>
    <w:p>
      <w:pPr>
        <w:ind w:left="1300" w:right="220" w:hanging="218"/>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New communications technologies such as 5G wireless technology, LORA, NB-IOT, network functions virtualization (NFV), network automation and edge computing,</w:t>
      </w:r>
    </w:p>
    <w:p>
      <w:pPr>
        <w:spacing w:after="0" w:line="75" w:lineRule="exact"/>
        <w:rPr>
          <w:rFonts w:ascii="Arial" w:cs="Arial" w:eastAsia="Arial" w:hAnsi="Arial"/>
          <w:sz w:val="18"/>
          <w:szCs w:val="18"/>
          <w:color w:val="auto"/>
        </w:rPr>
      </w:pPr>
    </w:p>
    <w:p>
      <w:pPr>
        <w:ind w:left="1300" w:hanging="218"/>
        <w:spacing w:after="0"/>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Emerging initiatives like artificial intelligence, including machine learning (ML) and natural language processing (NLP), and blockchain.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130" w:lineRule="exact"/>
        <w:rPr>
          <w:rFonts w:ascii="Arial" w:cs="Arial" w:eastAsia="Arial" w:hAnsi="Arial"/>
          <w:sz w:val="18"/>
          <w:szCs w:val="18"/>
          <w:color w:val="auto"/>
        </w:rPr>
      </w:pPr>
    </w:p>
    <w:p>
      <w:pPr>
        <w:ind w:left="1300" w:right="480" w:hanging="218"/>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need for service providers to personalize the customer’s experience and provide contextual and personalized engagements at all points in their omni-channel customer journey,</w:t>
      </w:r>
    </w:p>
    <w:p>
      <w:pPr>
        <w:spacing w:after="0" w:line="75" w:lineRule="exact"/>
        <w:rPr>
          <w:rFonts w:ascii="Arial" w:cs="Arial" w:eastAsia="Arial" w:hAnsi="Arial"/>
          <w:sz w:val="18"/>
          <w:szCs w:val="18"/>
          <w:color w:val="auto"/>
        </w:rPr>
      </w:pPr>
    </w:p>
    <w:p>
      <w:pPr>
        <w:ind w:left="1300" w:right="440" w:hanging="218"/>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increasing customer expectations for new, innovative services and applications that are personally relevant and that can be accessed anytime, anywhere and from any device, and</w:t>
      </w:r>
    </w:p>
    <w:p>
      <w:pPr>
        <w:spacing w:after="0" w:line="75" w:lineRule="exact"/>
        <w:rPr>
          <w:rFonts w:ascii="Arial" w:cs="Arial" w:eastAsia="Arial" w:hAnsi="Arial"/>
          <w:sz w:val="18"/>
          <w:szCs w:val="18"/>
          <w:color w:val="auto"/>
        </w:rPr>
      </w:pPr>
    </w:p>
    <w:p>
      <w:pPr>
        <w:ind w:left="1300" w:hanging="218"/>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ever-increasing expectations for service and support, including proactive multi-modal customer care and commerce,.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130" w:lineRule="exact"/>
        <w:rPr>
          <w:rFonts w:ascii="Arial" w:cs="Arial" w:eastAsia="Arial" w:hAnsi="Arial"/>
          <w:sz w:val="18"/>
          <w:szCs w:val="18"/>
          <w:color w:val="auto"/>
        </w:rPr>
      </w:pPr>
    </w:p>
    <w:p>
      <w:pPr>
        <w:ind w:left="1300" w:right="400" w:hanging="218"/>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75" w:lineRule="exact"/>
        <w:rPr>
          <w:rFonts w:ascii="Arial" w:cs="Arial" w:eastAsia="Arial" w:hAnsi="Arial"/>
          <w:sz w:val="18"/>
          <w:szCs w:val="18"/>
          <w:color w:val="auto"/>
        </w:rPr>
      </w:pPr>
    </w:p>
    <w:p>
      <w:pPr>
        <w:ind w:left="1300" w:right="380" w:hanging="218"/>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automating, introducing artificial intelligence, and integrating business processes that span service providers’ BSS/OSS and network solutions,</w:t>
      </w:r>
    </w:p>
    <w:p>
      <w:pPr>
        <w:spacing w:after="0" w:line="75" w:lineRule="exact"/>
        <w:rPr>
          <w:rFonts w:ascii="Arial" w:cs="Arial" w:eastAsia="Arial" w:hAnsi="Arial"/>
          <w:sz w:val="18"/>
          <w:szCs w:val="18"/>
          <w:color w:val="auto"/>
        </w:rPr>
      </w:pPr>
    </w:p>
    <w:p>
      <w:pPr>
        <w:ind w:left="1300" w:hanging="218"/>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implementing and integrating new next-generation networks (and retiring legacy networks) to deploy new technologies, and</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transforming fragmented legacy OSS to introduce new services in a timely and cost-effective manner.</w:t>
      </w:r>
    </w:p>
    <w:p>
      <w:pPr>
        <w:spacing w:after="0" w:line="22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fiscal 2017, our total revenue was $3.87 billion, of which $3.81 billion, or 98.5%, was attributable to the sale of customer experience solutions. Revenue from managed services arrangements (for customer experience solutions and entertainment and media directory systems) is a significant part of our business generating substantial, long-term recurring revenue streams and cash flow. Revenue from managed services arrangements accounted for approximately $2.01 billion and $1.95 billion of revenue in fiscal 2017 and 2016,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markets and to provide new and enhanced functionality to our existing product offerings. We leverage leading-edge development technologies like DevOps, Continuous Integration/Continuous Development (CI/CD) and Agile, to ensure we are able to develop and deliver our solutions efficiently and cost-effectively.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Substantially all of our research and development expenditures are directed at our customer experience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small cells and Wi-Fi; big data analytics and intelligence capabilities leveraging Natural Language Processing and artificial intelligence toward consumer and business satisfaction, marketing effectiveness and network operations and experience; increased focused for the business segment, digital, commerce and entertainment domains, and on foundational technologies including microservices and cloud infrastructure readiness.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6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following table sets forth for the fiscal years ended September 30, 2017, 2016 and 2015, certain items in our consolidated statements of income reflected as a percentage of revenue (figures may not sum because of rounding):</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tcBorders>
              <w:bottom w:val="single" w:sz="8" w:color="auto"/>
            </w:tcBorders>
            <w:gridSpan w:val="5"/>
          </w:tcPr>
          <w:p>
            <w:pPr>
              <w:jc w:val="center"/>
              <w:ind w:left="257"/>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64.8</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64.8</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64.5</w:t>
            </w: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300" w:type="dxa"/>
            <w:vAlign w:val="bottom"/>
            <w:gridSpan w:val="3"/>
          </w:tcPr>
          <w:p>
            <w:pPr>
              <w:jc w:val="right"/>
              <w:ind w:right="620"/>
              <w:spacing w:after="0"/>
              <w:rPr>
                <w:sz w:val="20"/>
                <w:szCs w:val="20"/>
                <w:color w:val="auto"/>
              </w:rPr>
            </w:pPr>
            <w:r>
              <w:rPr>
                <w:rFonts w:ascii="Arial" w:cs="Arial" w:eastAsia="Arial" w:hAnsi="Arial"/>
                <w:sz w:val="18"/>
                <w:szCs w:val="18"/>
                <w:color w:val="auto"/>
              </w:rPr>
              <w:t>6.7</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12.2</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12.1</w:t>
            </w: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w w:val="93"/>
              </w:rPr>
              <w:t>Amortization of purchased intangible assets and other</w:t>
            </w:r>
          </w:p>
        </w:tc>
        <w:tc>
          <w:tcPr>
            <w:tcW w:w="3300" w:type="dxa"/>
            <w:vAlign w:val="bottom"/>
            <w:gridSpan w:val="3"/>
          </w:tcPr>
          <w:p>
            <w:pPr>
              <w:jc w:val="right"/>
              <w:ind w:right="620"/>
              <w:spacing w:after="0"/>
              <w:rPr>
                <w:sz w:val="20"/>
                <w:szCs w:val="20"/>
                <w:color w:val="auto"/>
              </w:rPr>
            </w:pPr>
            <w:r>
              <w:rPr>
                <w:rFonts w:ascii="Arial" w:cs="Arial" w:eastAsia="Arial" w:hAnsi="Arial"/>
                <w:sz w:val="18"/>
                <w:szCs w:val="18"/>
                <w:color w:val="auto"/>
              </w:rPr>
              <w:t>2.9</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r>
      <w:tr>
        <w:trPr>
          <w:trHeight w:val="223"/>
        </w:trPr>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6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6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85.8</w:t>
            </w:r>
          </w:p>
        </w:tc>
        <w:tc>
          <w:tcPr>
            <w:tcW w:w="200" w:type="dxa"/>
            <w:vAlign w:val="bottom"/>
          </w:tcPr>
          <w:p>
            <w:pPr>
              <w:spacing w:after="0"/>
              <w:rPr>
                <w:sz w:val="19"/>
                <w:szCs w:val="19"/>
                <w:color w:val="auto"/>
              </w:rPr>
            </w:pPr>
          </w:p>
        </w:tc>
      </w:tr>
      <w:tr>
        <w:trPr>
          <w:trHeight w:val="372"/>
        </w:trPr>
        <w:tc>
          <w:tcPr>
            <w:tcW w:w="4400" w:type="dxa"/>
            <w:vAlign w:val="bottom"/>
          </w:tcPr>
          <w:p>
            <w:pPr>
              <w:spacing w:after="0"/>
              <w:rPr>
                <w:sz w:val="24"/>
                <w:szCs w:val="24"/>
                <w:color w:val="auto"/>
              </w:rPr>
            </w:pPr>
          </w:p>
        </w:tc>
        <w:tc>
          <w:tcPr>
            <w:tcW w:w="2300" w:type="dxa"/>
            <w:vAlign w:val="bottom"/>
          </w:tcPr>
          <w:p>
            <w:pPr>
              <w:jc w:val="right"/>
              <w:ind w:right="189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w w:val="91"/>
              </w:rPr>
              <w:t>Year Ended 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14.2</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14.1</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11.3%</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11.0%</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12.2%</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Fiscal Years Ended September 30, 2017 and 2016</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2017, compared to the fiscal year ended September 30, 2016. Following the table is a discussion and analysis of our business and results of operations for these fiscal years.</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Increase (Decrease)</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3,867,155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3,718,229</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148,926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2,507,656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2,408,040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99,616</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252,292</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464,883</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109,873</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3,349,822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3,235,088</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114,734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517,333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483,141</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34,192</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484,698</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28,214</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75,367</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409,331</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27,495</w:t>
            </w:r>
          </w:p>
        </w:tc>
        <w:tc>
          <w:tcPr>
            <w:tcW w:w="3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by $148.9 million, or 4.0%, to $3,867.2 million in fiscal year 2017, from $3,718.2 million in fiscal year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revenue, which was net of a decrease of approximately 1.0% from the sale of directory systems, was primarily attributable to increased activity in North America and was also positively affected by activities related to Vindicia, Brite:Bill and Pontis, which we acquired in September 2016.</w:t>
      </w:r>
    </w:p>
    <w:p>
      <w:pPr>
        <w:spacing w:after="0" w:line="14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$179.4 million, or 4.9%, to $3,809.1 million in fiscal year 2017, from $3,629.7 million in fiscal year 2016. The increase in revenue was primarily attributable to increased activity in North America and was also positively affected by activities related to Vindicia, Brite:Bill and Pontis, which we acquired in September 2016. Revenue resulting from the sale of customer experience solutions represented 98.5% and 97.6% of our total revenue in fiscal years 2017 and 2016, respectively.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attributable to the sale of directory systems decreased by $30.4 million, or 34.4%, to $58.1 million in fiscal year 2017, from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$88.5 million in fiscal year 2016. This decrease was primarily attributable to continued slowness in the directory systems market and we anticipate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the sale of directory systems will continue to decline in fiscal year 2018. Revenue from the sale of directory systems represented 1.5%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2.4% of our total revenue in fiscal years 2017 and 2016, respectively.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In fiscal year 2017, revenue from customers in North America, Europe and the rest of the world accounted for 65.9%, 12.6% and 21.5%, respectively, of total revenue, compared to 64.0%, 13.8% and 22.2%, respectively, in fiscal year 2016. The increase in the percentage of revenue from customers in North America was primarily attributable to increased activity with several customers, particularly AT&amp;T and Pay TV service providers. The decrease in revenue from customers in Europe was attributable to lower revenue from transformation and implementation projects. Revenue from customers in the rest of the world slightly increased in fiscal year 2017, while total revenue increased at a higher rate, which resulted in a decrease in revenue from customers in the rest of the world as a percentage of total revenue. The slight increase in revenue from customers in the rest of the world was driven by increased activity in Asia-Pacific, which was partially offset by lower revenue from customers in Central and Latin America.</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consists primarily of costs associated with providing services to customers, including compensation expense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costs of third-party products, as well as fee and royalty payments to software suppliers. Cost of revenue increased by $99.6 million, or 4.1%,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$2,507.7 million in fiscal year 2017, from $2,408.0 million in fiscal year 2016. As a percentage of revenue, cost of revenue remained flat at 64.8%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both fiscal years 2017 and 2016. We were able to maintain our gross margin in fiscal year 2017 as a result of ongoing focus on achieving operational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efficiencies, despite the negative effect of our activity outside of our established markets, where we continued our penetration efforts in order to expand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business into those markets.</w:t>
      </w:r>
    </w:p>
    <w:p>
      <w:pPr>
        <w:spacing w:after="0" w:line="21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increased by $6.8 million, or 2.7%, to $259.1 million in fiscal year 2017, from $252.3 million in fiscal year 2016. Research and development expense decreased as a percentage of revenue from 6.8% in fiscal year 2016, to 6.7% in fiscal year 2017.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which is primarily comprised of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$7.9 million, or 1.7%, to $472.8 million in fiscal year 2017, from $464.9 million in fiscal year 2016. Selling, general and administrative expense decreased as a percentage of revenue from 12.5% in fiscal year 2016, to 12.2% in fiscal year 2017. The decrease in selling, general and administrative expense as a percentage of revenue was primarily attributable to changes in the accounts receivable allowances that were partially offset by activities related to Vindicia, Brite:Bill and Pontis, which we acquired in September 2016. Selling, general and administrative expense may fluctuate from time to time, depending upon such factors as changes in our workforce and sales efforts and the results of any operational efficiency programs that we may undertake.</w:t>
      </w:r>
    </w:p>
    <w:p>
      <w:pPr>
        <w:spacing w:after="0" w:line="18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increased by $0.4 million, or 0.4%,</w:t>
      </w:r>
      <w:r>
        <w:rPr>
          <w:rFonts w:ascii="Arial" w:cs="Arial" w:eastAsia="Arial" w:hAnsi="Arial"/>
          <w:sz w:val="17"/>
          <w:szCs w:val="17"/>
          <w:i w:val="1"/>
          <w:iCs w:val="1"/>
          <w:color w:val="auto"/>
        </w:rPr>
        <w:t xml:space="preserve"> </w:t>
      </w:r>
      <w:r>
        <w:rPr>
          <w:rFonts w:ascii="Arial" w:cs="Arial" w:eastAsia="Arial" w:hAnsi="Arial"/>
          <w:sz w:val="17"/>
          <w:szCs w:val="17"/>
          <w:color w:val="auto"/>
        </w:rPr>
        <w:t>to $110.3 million in fiscal year 2017, from $109.9 million in fiscal year 2016. The increase in amortization of purchased intangible assets and other was attributable to an increase in amortization of intangible assets due to the acquisitions of Vindicia, Brite:Bill and Pontis, which was offset by timing of amortization charges of previously purchased intangible assets and a decrease in acquisition-related costs.</w:t>
      </w:r>
    </w:p>
    <w:p>
      <w:pPr>
        <w:spacing w:after="0" w:line="17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increased by $34.2 million, or 7.1%, to $517.3 million in fiscal year 2017, from $483.1 million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2016. Operating income increased as a percentage of revenue, from 13.0% in fiscal year 2016 to 13.4% in fiscal year 2017. The increase in operating income as a percentage of revenue was attributable to operating expenses, particularly selling, general and administrative expense, increasing at a lower rate than revenue.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changed from a net gain of $1.6 million in fiscal year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a net loss of $4.4 million in fiscal year 2017. This change in interest and other (expense) income, net, was primarily attributable to foreign exchange impacts.</w:t>
      </w:r>
    </w:p>
    <w:p>
      <w:pPr>
        <w:spacing w:after="0" w:line="18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year 2017 were $76.1 million on pre-tax income of $512.9 million, resulting in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14.8%, compared to 15.5% in fiscal year 2016. Our effective tax rate may fluctuate between periods as a result of discrete items that may affect a particular period. Please see Note 10 to our consolidated financial statements.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$27.5 million, or 6.7%, to $436.8 million in fiscal year 2017, from $409.3 million in fiscal year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net income was primarily attributable to the increase in operating income.</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Diluted earnings per share increased by $0.25, or 9.2%, to $2.96 in fiscal year 2017, from $2.71 in fiscal year 2016.</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diluted earnings per share was primarily attributable to the increase in net income, and, to a lesser extent, the decrease in the diluted weighted average number of shares outstanding, which resulted from share repurchases.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Fiscal Years Ended September 30, 2016 and 2015</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2016, compared to the fiscal year ended September 30, 2015. Following the table is a discussion and analysis of our business and results of operations for these fiscal years.</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 September 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Amount</w:t>
            </w:r>
          </w:p>
        </w:tc>
        <w:tc>
          <w:tcPr>
            <w:tcW w:w="7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3,718,229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3,643,538</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2,408,040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2,349,488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252,292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254,944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(2,652)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440,085</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24,798</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109,873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70,073</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39,800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3,235,088</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3,127,590</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107,498</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(32,807)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(2,544)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(4,101)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513,404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(28,706)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taxes</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67,241</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446,163</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(36,832)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by $74.7 million, or 2.0%, to $3,718.2 million in fiscal year 2016, from $3,643.5 million in fiscal year 2015.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revenue was attributable to increased activity in the rest of the world and, to a lesser extent, in Europe, partially offset by lower revenue from North America. The 2.0% increase in revenue was net of a decrease of approximately 1.5% from foreign exchange fluctuations.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Revenue attributable to the sale of customer experience solutions increased by $87.2 million, or 2.5%, to $3,629.7 million in fiscal year 2016, from $3,542.5 million in fiscal year 2015. The increase in revenue was attributable to increased activity in the rest of the world and, to a lesser extent, in Europe, partially offset by lower revenue from North America. Revenue resulting from the sale of customer experience solutions represented 97.6% and 97.2% of our total revenue in fiscal years 2016 and 2015, respectively.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Revenue attributable to the sale of directory systems decreased by $12.5 million, or 12.4%, to $88.5 in fiscal year 2016, from $101.0 million in fiscal year 2015. This decrease was primarily attributable to continued slowness in the directory systems market. Revenue from the sale of directory systems represented 2.4% and 2.8% of our total revenue in fiscal years 2016 and 2015, respectively.</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fiscal year 2016, revenue from customers in North America, Europe and the rest of the world accounted for 64.0%, 13.8% and 22.2%, respectively, of total revenue, compared to 70.1%, 11.6% and 18.3%, respectively, in fiscal year 2015. The decrease in the percentage of revenue from customers in North America was driven by the increase in revenue from customers in Europe and the rest of the world, while revenue from customers in North America decreased, mainly due to AT&amp;T’s slower pace of discretionary spending. The increase in revenue from customers in Europe was attributable to expanding our business relations with new and existing customers, including Vodafone and former Comverse customers. Revenue from customers in the rest of the world increased as a result of our progress in implementing complex modernization projects in both Latin America and Asia-Pacific, as well as capitalizing on the sustained business momentum with former Comverse customers.</w:t>
      </w:r>
    </w:p>
    <w:p>
      <w:pPr>
        <w:spacing w:after="0" w:line="17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$58.6 million, or 2.5%, to $2,408.0 million in fiscal year 2016, from $2,349.5 million in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2015. As a percentage of revenue, cost of revenue increased to 64.8% in fiscal year 2016, from 64.5% in fiscal year 2015. The decrease in the gross margin in fiscal year 2016 was primarily attributable to a gain resulting from changes in fair value of certain acquisition-related liabilities recognized in fiscal year 2015, which was partially offset by improvement to our gross margin as a result of ongoing focus on achieving operational efficiencies.</w:t>
      </w:r>
    </w:p>
    <w:p>
      <w:pPr>
        <w:spacing w:after="0" w:line="154"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decreased by $2.7 million, or 1.0%, to $252.3 million in fiscal year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$254.9 million in fiscal year 2015. Research and development expense decreased as a percentage of revenue from 7.0% in fiscal year 2015, to 6.8% in fiscal year 2016.</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which is primarily comprised of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$24.8 million, or 5.6%, to $464.9 million in fiscal year 2016, from $440.1 million in fiscal year 2015. The increase in selling, general and administrative expense was primarily attributable to the acquisition of the BSS assets of Comverse, as well as to an increase in the allowance for doubtful accounts.</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increased by $39.8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56.8%, to $109.9 million in fiscal year 2016, from $70.1 million in fiscal year 2015. The increase in amortization of purchased intangible assets and other was primarily attributable to an increase in amortization of intangible assets due to the acquisition of the BSS assets of Comverse, and, to a lesser extent, an increase in acquisition-related costs.</w:t>
      </w:r>
    </w:p>
    <w:p>
      <w:pPr>
        <w:spacing w:after="0" w:line="18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The fiscal year 2015 restructuring charges were recognized in connection with the acquisition of the BSS assets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Comverse.</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Operating income decreased by $32.8 million, or 6.4%, to $483.1 million in fiscal year 2016, from $515.9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2015. Operating income decreased as a percentage of revenue, from 14.2% in fiscal year 2015 to 13.0% in fiscal year 2016. The decrease in operating income as a percentage of revenue was attributable to operating expenses, particularly amortization of purchased intangible assets and other, as well as cost of revenue, increasing at a higher rate than revenue. Positive foreign exchange impacts on our operating expenses were partially offset by the negative foreign exchange impacts on our revenue, resulting in a minor positive impact on our operating income.</w:t>
      </w:r>
    </w:p>
    <w:p>
      <w:pPr>
        <w:spacing w:after="0" w:line="17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changed from a net loss of $2.5 million in fiscal year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a net gain of $1.6 million in fiscal year 2016. This change in interest and other income (expense), net, was primarily attributable to foreign exchange impacts.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year 2016 were $75.4 million on pre-tax income of $484.7 million, resulting in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15.5%, compared to 13.1% in fiscal year 2015. Our effective tax rate may fluctuate between periods as a result of discrete items that may affect a particular period. Please see Note 10 to our consolidated financial statements.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by $36.8 million, or 8.3%, to $409.3 million in fiscal year 2016, from $446.2 million in fiscal year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net income was primarily attributable to the decrease in operating income.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Diluted earnings per share decreased by $0.14, or 4.9%, to $2.71 in fiscal year 2016, from $2.85 in fiscal year 2015.</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diluted earnings per share was mainly attributable to the decrease in net income, which was partially offset by the decrease in the diluted weighted average number of shares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w:t>
      </w:r>
      <w:r>
        <w:rPr>
          <w:rFonts w:ascii="Arial" w:cs="Arial" w:eastAsia="Arial" w:hAnsi="Arial"/>
          <w:sz w:val="16"/>
          <w:szCs w:val="16"/>
          <w:i w:val="1"/>
          <w:iCs w:val="1"/>
          <w:color w:val="auto"/>
        </w:rPr>
        <w:t xml:space="preserve"> </w:t>
      </w:r>
      <w:r>
        <w:rPr>
          <w:rFonts w:ascii="Arial" w:cs="Arial" w:eastAsia="Arial" w:hAnsi="Arial"/>
          <w:sz w:val="16"/>
          <w:szCs w:val="16"/>
          <w:color w:val="auto"/>
        </w:rPr>
        <w:t>short-term debt, totaled $979.6 million as of September 30, 2017, compared to $895.7 million as of September 30, 2016. The increase during fiscal year 2017 was mainly attributable to $636.1 million in cash flow from operations and $87.6 million of proceeds from stock option exercises, partially offset by $340.6 million used to repurchase our ordinary shares, $133.4 million for capital expenditures, net, and $121.5 million of cash dividend payments. Net cash provided by operating activities amounted to $636.1 million and $620.2 million in fiscal years 2017 and 2016, respectively.</w:t>
      </w:r>
    </w:p>
    <w:p>
      <w:pPr>
        <w:spacing w:after="0" w:line="15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 We plan to return approximately 100% of our free cash flow to shareholders (before the capital expenditures associated with the multiyear development of our new campus in Israel (please see Note 22 to our consolidated financial statements)) through our ongoing share repurchase and dividend program in fiscal year 2018.</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bank deposits, money market funds, U.S. government treasuries, corporate bonds and U.S. agency securities. We believe we have conservative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investment policy guidelines. Our interest-bearing investments are stated at fair value with the unrealized gains or losses reported as a separate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component of accumulated other comprehensive income (loss), net of tax, unless a security is other than temporarily impaired, in which case the loss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recorded in the consolidated statements of income. Our interest-bearing investments are priced by pricing vendors and are classified as Level 1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Level 2 investments, since these vendors either provide a quoted market price in an active market or use other observable inputs to price these securities.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During fiscal years 2017 and 2016 we recognized immaterial credit losses. Please see Notes 4 and 5 to our consolidated financial statements.</w:t>
      </w:r>
    </w:p>
    <w:p>
      <w:pPr>
        <w:spacing w:after="0" w:line="222"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i w:val="1"/>
          <w:iCs w:val="1"/>
          <w:color w:val="auto"/>
        </w:rPr>
        <w:t xml:space="preserve">Revolving Credit Facility, Letters of Credit and Guarantees. </w:t>
      </w:r>
      <w:r>
        <w:rPr>
          <w:rFonts w:ascii="Arial" w:cs="Arial" w:eastAsia="Arial" w:hAnsi="Arial"/>
          <w:sz w:val="18"/>
          <w:szCs w:val="18"/>
          <w:color w:val="auto"/>
        </w:rPr>
        <w:t>In 2011, we entered into an unsecured $500.0 million five-year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syndicate of banks. In December 2014 and in December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2017, the credit facility was amended and restated to, among other things, extend the maturity date of the facility to December 2019 and December 2022, respectively.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in part on our credit rating. In September 2016, we borrowed an aggregate of $200.0 million under the facility and repaid it in October 2016. In March 2017, we borrowed an aggregate of $200.0 million under the facility and repaid it in April 2017. As of September 30, 2017, we were in compliance with the financial covenants under the revolving credit facility and had no outstanding borrowings under this facility.</w:t>
      </w:r>
    </w:p>
    <w:p>
      <w:pPr>
        <w:spacing w:after="0" w:line="18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of September 30, 2017, we had additional uncommitted lines of credit available for general corporate and other specific purposes and had outstanding letters of credit and bank guarantees from various banks totaling $33.7 million. These were supported by a combination of the uncommitted lines of credit that we maintain with various banks.</w:t>
      </w:r>
    </w:p>
    <w:p>
      <w:pPr>
        <w:spacing w:after="0" w:line="18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fiscal year 2016, we acquired three technology companies to expand our digital offering: Vindicia, Brite:Bill and Pontis,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purchase price of $258.5 million in cash, with the potential for additional consideration subject to the achievement of certain performance metrics.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consist of purchases of computer equipment, and the remainder is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mainly to leasehold improvements. Our capital expenditures were approximately $133.4 million in fiscal year 2017. Our fiscal year 2017 capital expenditures were mainly attributable to investments in our operating facilities and our development centers around the world. Our policy is to fund our capital expenditures from operating cash flows and we do not anticipate any changes to this policy in the foreseeable future. We expect to incur incremental net investment of up to $350.0 million over a period of four to five years in connection with the development of our new campus in Israel, of which approximately $100.0 million is expected to be incurred in fiscal year 2018. Please see Note 22 to our consolidated financial statements.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From time to time, our Board of Directors has adopted share repurchase plans authorizing the repurchase of our outstanding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ordinary shares. The current share repurchase plan, adopted by our Board of Directors on February 2, 2016, authorizes the repurchase of up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$750.0 million of our outstanding ordinary shares with no expiration date. In fiscal year 2017, we repurchased 5.5 million ordinary shares at an average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price of $61.70 per share (excluding broker and transaction fees), and as of September 30, 2017, we had remaining authority to repurchase up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$256.3 million of our outstanding ordinary shares. On November 8, 2017, our Board of Directors adopted another share repurchase plan for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repurchase of up to an additional $800.0 million of our outstanding ordinary shares with no expiration date. The authorizations permit us to purchase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ordinary shares in open market or privately negotiated transactions at times and prices that we consider appropriate.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2017, 2016 and 2015:</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60" w:type="dxa"/>
            <w:vAlign w:val="bottom"/>
            <w:gridSpan w:val="2"/>
          </w:tcPr>
          <w:p>
            <w:pPr>
              <w:ind w:left="1060"/>
              <w:spacing w:after="0"/>
              <w:rPr>
                <w:sz w:val="20"/>
                <w:szCs w:val="20"/>
                <w:color w:val="auto"/>
              </w:rPr>
            </w:pPr>
            <w:r>
              <w:rPr>
                <w:rFonts w:ascii="Arial" w:cs="Arial" w:eastAsia="Arial" w:hAnsi="Arial"/>
                <w:sz w:val="14"/>
                <w:szCs w:val="14"/>
                <w:b w:val="1"/>
                <w:bCs w:val="1"/>
                <w:color w:val="auto"/>
              </w:rPr>
              <w:t>Dividends Per</w:t>
            </w:r>
          </w:p>
        </w:tc>
        <w:tc>
          <w:tcPr>
            <w:tcW w:w="2140" w:type="dxa"/>
            <w:vAlign w:val="bottom"/>
          </w:tcPr>
          <w:p>
            <w:pPr>
              <w:spacing w:after="0"/>
              <w:rPr>
                <w:sz w:val="14"/>
                <w:szCs w:val="14"/>
                <w:color w:val="auto"/>
              </w:rPr>
            </w:pPr>
          </w:p>
        </w:tc>
        <w:tc>
          <w:tcPr>
            <w:tcW w:w="158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 Amount</w:t>
            </w:r>
          </w:p>
        </w:tc>
        <w:tc>
          <w:tcPr>
            <w:tcW w:w="1620" w:type="dxa"/>
            <w:vAlign w:val="bottom"/>
          </w:tcPr>
          <w:p>
            <w:pPr>
              <w:spacing w:after="0"/>
              <w:rPr>
                <w:sz w:val="14"/>
                <w:szCs w:val="14"/>
                <w:color w:val="auto"/>
              </w:rPr>
            </w:pPr>
          </w:p>
        </w:tc>
      </w:tr>
      <w:tr>
        <w:trPr>
          <w:trHeight w:val="185"/>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Ordinary Share</w:t>
            </w:r>
          </w:p>
        </w:tc>
        <w:tc>
          <w:tcPr>
            <w:tcW w:w="21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Record Date</w:t>
            </w: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Payment Date</w:t>
            </w:r>
          </w:p>
        </w:tc>
      </w:tr>
      <w:tr>
        <w:trPr>
          <w:trHeight w:val="223"/>
        </w:trPr>
        <w:tc>
          <w:tcPr>
            <w:tcW w:w="244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0.220</w:t>
            </w:r>
          </w:p>
        </w:tc>
        <w:tc>
          <w:tcPr>
            <w:tcW w:w="2140" w:type="dxa"/>
            <w:vAlign w:val="bottom"/>
          </w:tcPr>
          <w:p>
            <w:pPr>
              <w:ind w:left="360"/>
              <w:spacing w:after="0"/>
              <w:rPr>
                <w:sz w:val="20"/>
                <w:szCs w:val="20"/>
                <w:color w:val="auto"/>
              </w:rPr>
            </w:pPr>
            <w:r>
              <w:rPr>
                <w:rFonts w:ascii="Arial" w:cs="Arial" w:eastAsia="Arial" w:hAnsi="Arial"/>
                <w:sz w:val="18"/>
                <w:szCs w:val="18"/>
                <w:color w:val="auto"/>
              </w:rPr>
              <w:t>September 29, 2017</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31.7</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23, 2017</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9, 2017</w:t>
            </w:r>
          </w:p>
        </w:tc>
        <w:tc>
          <w:tcPr>
            <w:tcW w:w="1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0.220</w:t>
            </w:r>
          </w:p>
        </w:tc>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2017</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32.0</w:t>
            </w: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July 14, 2017</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February 1, 2017</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0.220</w:t>
            </w:r>
          </w:p>
        </w:tc>
        <w:tc>
          <w:tcPr>
            <w:tcW w:w="2140" w:type="dxa"/>
            <w:vAlign w:val="bottom"/>
          </w:tcPr>
          <w:p>
            <w:pPr>
              <w:ind w:left="360"/>
              <w:spacing w:after="0"/>
              <w:rPr>
                <w:sz w:val="20"/>
                <w:szCs w:val="20"/>
                <w:color w:val="auto"/>
              </w:rPr>
            </w:pPr>
            <w:r>
              <w:rPr>
                <w:rFonts w:ascii="Arial" w:cs="Arial" w:eastAsia="Arial" w:hAnsi="Arial"/>
                <w:sz w:val="18"/>
                <w:szCs w:val="18"/>
                <w:color w:val="auto"/>
              </w:rPr>
              <w:t>March 31, 2017</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1620" w:type="dxa"/>
            <w:vAlign w:val="bottom"/>
          </w:tcPr>
          <w:p>
            <w:pPr>
              <w:ind w:left="360"/>
              <w:spacing w:after="0"/>
              <w:rPr>
                <w:sz w:val="20"/>
                <w:szCs w:val="20"/>
                <w:color w:val="auto"/>
              </w:rPr>
            </w:pPr>
            <w:r>
              <w:rPr>
                <w:rFonts w:ascii="Arial" w:cs="Arial" w:eastAsia="Arial" w:hAnsi="Arial"/>
                <w:sz w:val="18"/>
                <w:szCs w:val="18"/>
                <w:color w:val="auto"/>
              </w:rPr>
              <w:t>April 14, 2017</w:t>
            </w:r>
          </w:p>
        </w:tc>
      </w:tr>
      <w:tr>
        <w:trPr>
          <w:trHeight w:val="216"/>
        </w:trPr>
        <w:tc>
          <w:tcPr>
            <w:tcW w:w="20" w:type="dxa"/>
            <w:vAlign w:val="bottom"/>
          </w:tcPr>
          <w:p>
            <w:pPr>
              <w:spacing w:after="0"/>
              <w:rPr>
                <w:sz w:val="18"/>
                <w:szCs w:val="18"/>
                <w:color w:val="auto"/>
              </w:rPr>
            </w:pPr>
          </w:p>
        </w:tc>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2016</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0.195</w:t>
            </w:r>
          </w:p>
        </w:tc>
        <w:tc>
          <w:tcPr>
            <w:tcW w:w="2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December 30, 2016</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28.6</w:t>
            </w:r>
          </w:p>
        </w:tc>
        <w:tc>
          <w:tcPr>
            <w:tcW w:w="1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January 13, 2017</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July 26, 2016</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0.195</w:t>
            </w:r>
          </w:p>
        </w:tc>
        <w:tc>
          <w:tcPr>
            <w:tcW w:w="2140" w:type="dxa"/>
            <w:vAlign w:val="bottom"/>
          </w:tcPr>
          <w:p>
            <w:pPr>
              <w:ind w:left="360"/>
              <w:spacing w:after="0"/>
              <w:rPr>
                <w:sz w:val="20"/>
                <w:szCs w:val="20"/>
                <w:color w:val="auto"/>
              </w:rPr>
            </w:pPr>
            <w:r>
              <w:rPr>
                <w:rFonts w:ascii="Arial" w:cs="Arial" w:eastAsia="Arial" w:hAnsi="Arial"/>
                <w:sz w:val="18"/>
                <w:szCs w:val="18"/>
                <w:color w:val="auto"/>
              </w:rPr>
              <w:t>September 30, 2016</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28.7</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21, 2016</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4, 2016</w:t>
            </w:r>
          </w:p>
        </w:tc>
        <w:tc>
          <w:tcPr>
            <w:tcW w:w="1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0.195</w:t>
            </w:r>
          </w:p>
        </w:tc>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2016</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28.8</w:t>
            </w: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July 15, 2016</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February 2, 2016</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0.195</w:t>
            </w:r>
          </w:p>
        </w:tc>
        <w:tc>
          <w:tcPr>
            <w:tcW w:w="2140" w:type="dxa"/>
            <w:vAlign w:val="bottom"/>
          </w:tcPr>
          <w:p>
            <w:pPr>
              <w:ind w:left="360"/>
              <w:spacing w:after="0"/>
              <w:rPr>
                <w:sz w:val="20"/>
                <w:szCs w:val="20"/>
                <w:color w:val="auto"/>
              </w:rPr>
            </w:pPr>
            <w:r>
              <w:rPr>
                <w:rFonts w:ascii="Arial" w:cs="Arial" w:eastAsia="Arial" w:hAnsi="Arial"/>
                <w:sz w:val="18"/>
                <w:szCs w:val="18"/>
                <w:color w:val="auto"/>
              </w:rPr>
              <w:t>March 31, 2016</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29.2</w:t>
            </w:r>
          </w:p>
        </w:tc>
        <w:tc>
          <w:tcPr>
            <w:tcW w:w="1620" w:type="dxa"/>
            <w:vAlign w:val="bottom"/>
          </w:tcPr>
          <w:p>
            <w:pPr>
              <w:ind w:left="360"/>
              <w:spacing w:after="0"/>
              <w:rPr>
                <w:sz w:val="20"/>
                <w:szCs w:val="20"/>
                <w:color w:val="auto"/>
              </w:rPr>
            </w:pPr>
            <w:r>
              <w:rPr>
                <w:rFonts w:ascii="Arial" w:cs="Arial" w:eastAsia="Arial" w:hAnsi="Arial"/>
                <w:sz w:val="18"/>
                <w:szCs w:val="18"/>
                <w:color w:val="auto"/>
              </w:rPr>
              <w:t>April 15, 2016</w:t>
            </w:r>
          </w:p>
        </w:tc>
      </w:tr>
      <w:tr>
        <w:trPr>
          <w:trHeight w:val="216"/>
        </w:trPr>
        <w:tc>
          <w:tcPr>
            <w:tcW w:w="20" w:type="dxa"/>
            <w:vAlign w:val="bottom"/>
          </w:tcPr>
          <w:p>
            <w:pPr>
              <w:spacing w:after="0"/>
              <w:rPr>
                <w:sz w:val="18"/>
                <w:szCs w:val="18"/>
                <w:color w:val="auto"/>
              </w:rPr>
            </w:pPr>
          </w:p>
        </w:tc>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10, 2015</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0.170</w:t>
            </w:r>
          </w:p>
        </w:tc>
        <w:tc>
          <w:tcPr>
            <w:tcW w:w="2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December 31, 2015</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25.6</w:t>
            </w:r>
          </w:p>
        </w:tc>
        <w:tc>
          <w:tcPr>
            <w:tcW w:w="1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January 15, 2016</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July 29, 2015</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0.170</w:t>
            </w:r>
          </w:p>
        </w:tc>
        <w:tc>
          <w:tcPr>
            <w:tcW w:w="2140" w:type="dxa"/>
            <w:vAlign w:val="bottom"/>
          </w:tcPr>
          <w:p>
            <w:pPr>
              <w:ind w:left="360"/>
              <w:spacing w:after="0"/>
              <w:rPr>
                <w:sz w:val="20"/>
                <w:szCs w:val="20"/>
                <w:color w:val="auto"/>
              </w:rPr>
            </w:pPr>
            <w:r>
              <w:rPr>
                <w:rFonts w:ascii="Arial" w:cs="Arial" w:eastAsia="Arial" w:hAnsi="Arial"/>
                <w:sz w:val="18"/>
                <w:szCs w:val="18"/>
                <w:color w:val="auto"/>
              </w:rPr>
              <w:t>September 30, 2015</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25.7</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16, 2015</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April 29, 2015</w:t>
            </w:r>
          </w:p>
        </w:tc>
        <w:tc>
          <w:tcPr>
            <w:tcW w:w="1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0.170</w:t>
            </w:r>
          </w:p>
        </w:tc>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2015</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26.1</w:t>
            </w: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July 17, 2015</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January 27, 2015</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0.170</w:t>
            </w:r>
          </w:p>
        </w:tc>
        <w:tc>
          <w:tcPr>
            <w:tcW w:w="2140" w:type="dxa"/>
            <w:vAlign w:val="bottom"/>
          </w:tcPr>
          <w:p>
            <w:pPr>
              <w:ind w:left="360"/>
              <w:spacing w:after="0"/>
              <w:rPr>
                <w:sz w:val="20"/>
                <w:szCs w:val="20"/>
                <w:color w:val="auto"/>
              </w:rPr>
            </w:pPr>
            <w:r>
              <w:rPr>
                <w:rFonts w:ascii="Arial" w:cs="Arial" w:eastAsia="Arial" w:hAnsi="Arial"/>
                <w:sz w:val="18"/>
                <w:szCs w:val="18"/>
                <w:color w:val="auto"/>
              </w:rPr>
              <w:t>March 31, 2015</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26.3</w:t>
            </w:r>
          </w:p>
        </w:tc>
        <w:tc>
          <w:tcPr>
            <w:tcW w:w="1620" w:type="dxa"/>
            <w:vAlign w:val="bottom"/>
          </w:tcPr>
          <w:p>
            <w:pPr>
              <w:ind w:left="360"/>
              <w:spacing w:after="0"/>
              <w:rPr>
                <w:sz w:val="20"/>
                <w:szCs w:val="20"/>
                <w:color w:val="auto"/>
              </w:rPr>
            </w:pPr>
            <w:r>
              <w:rPr>
                <w:rFonts w:ascii="Arial" w:cs="Arial" w:eastAsia="Arial" w:hAnsi="Arial"/>
                <w:sz w:val="18"/>
                <w:szCs w:val="18"/>
                <w:color w:val="auto"/>
              </w:rPr>
              <w:t>April 16, 2015</w:t>
            </w:r>
          </w:p>
        </w:tc>
      </w:tr>
      <w:tr>
        <w:trPr>
          <w:trHeight w:val="216"/>
        </w:trPr>
        <w:tc>
          <w:tcPr>
            <w:tcW w:w="20" w:type="dxa"/>
            <w:vAlign w:val="bottom"/>
          </w:tcPr>
          <w:p>
            <w:pPr>
              <w:spacing w:after="0"/>
              <w:rPr>
                <w:sz w:val="18"/>
                <w:szCs w:val="18"/>
                <w:color w:val="auto"/>
              </w:rPr>
            </w:pPr>
          </w:p>
        </w:tc>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4, 2014</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0.155</w:t>
            </w:r>
          </w:p>
        </w:tc>
        <w:tc>
          <w:tcPr>
            <w:tcW w:w="2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December 31, 2014</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24.1</w:t>
            </w:r>
          </w:p>
        </w:tc>
        <w:tc>
          <w:tcPr>
            <w:tcW w:w="1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January 16, 2015</w:t>
            </w:r>
          </w:p>
        </w:tc>
      </w:tr>
    </w:tbl>
    <w:p>
      <w:pPr>
        <w:spacing w:after="0" w:line="21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November 8, 2017, our Board of Directors approved a quarterly dividend payment of $0.22 per share, and set December 29, 2017 as the record date for determining the shareholders entitled to receive the dividend, which is payable on January 19, 2018. On November 8, 2017, our Board of Directors also approved, subject to shareholder approval at the January 2018 annual general meeting of shareholders, an increase in the quarterly cash dividend to $0.25 per share, anticipated to be paid in April 2018.</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2017, and the effect such obligations are expected to have on our liquidity and cash flows in future periods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336"/>
              <w:spacing w:after="0"/>
              <w:rPr>
                <w:sz w:val="20"/>
                <w:szCs w:val="20"/>
                <w:color w:val="auto"/>
              </w:rPr>
            </w:pPr>
            <w:r>
              <w:rPr>
                <w:rFonts w:ascii="Arial" w:cs="Arial" w:eastAsia="Arial" w:hAnsi="Arial"/>
                <w:sz w:val="14"/>
                <w:szCs w:val="14"/>
                <w:b w:val="1"/>
                <w:bCs w:val="1"/>
                <w:color w:val="auto"/>
                <w:w w:val="92"/>
              </w:rPr>
              <w:t>Payments Due by Period</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Total</w:t>
            </w:r>
          </w:p>
        </w:tc>
        <w:tc>
          <w:tcPr>
            <w:tcW w:w="108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6"/>
              </w:rPr>
              <w:t>Less Than</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5"/>
              </w:rPr>
              <w:t>1-3</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w w:val="95"/>
              </w:rPr>
              <w:t>4-5</w:t>
            </w:r>
          </w:p>
        </w:tc>
        <w:tc>
          <w:tcPr>
            <w:tcW w:w="116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1 Year</w:t>
            </w:r>
          </w:p>
        </w:tc>
        <w:tc>
          <w:tcPr>
            <w:tcW w:w="44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Years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Pension funding</w:t>
            </w:r>
          </w:p>
        </w:tc>
        <w:tc>
          <w:tcPr>
            <w:tcW w:w="4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325.7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167.0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60.4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394.2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192.3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64.2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total amount of unrecognized tax benefits for uncertain tax positions was $193.0 million as of September 30, 2017. Payment of these obligations would result from settlements with taxing authorities. Due to the difficulty in determining the timing of resolution of audits, these obligations are not included in the above table.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of September 30, 2017, we had deferred tax assets of $94.6 million, derived primarily from tax credits, net capital and operating loss carryforwards related to some of our subsidiaries, which were offset by valuation allowances due to the uncertainty of realizing any tax benefit for such credits and losses.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8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87"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Fair value measurement of short-term interest-bearing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60" w:right="20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Revenue is recognized only when all of the following conditions have been met: (i) there is persuasive evidence of an arrangement; (ii) delivery has occurred; (iii) the fee is fixed or determinable; and (iv) collectibility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18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93"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We follow very specific and detailed guidelines, several of which are discussed above, in measuring revenue; however, certain judgments affect the application of our revenue recognition policy. We evaluate contracts entered into at or near the same time with the same customer (or related parties of the customer) and determine if the contracts should be combined in accordance with the guidance for revenue recognition.</w:t>
      </w:r>
    </w:p>
    <w:p>
      <w:pPr>
        <w:spacing w:after="0" w:line="166"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For arrangements with multiple deliverables within the scope of software revenue recognition guidance, we allocate revenue to each component based upon its relative fair value, which is determined based on the Vendor Specific Objective Evidence (“VSOE”) of fair value for that element. Such determination is judgmental and for most contracts is based on normal pricing and discounting practices for those elements when sold separately in similar arrangements. In the absence of fair value for a delivered element, we use the residual method. The residual method requires that we first allocate revenue based on fair value to the undelivered elements and then the residual revenue is allocated to the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modification and implementation and maintenance to determine the appropriate value for the license component. Under the guidance for revenue arrangements with multiple deliverables that are outside the scope of the software revenue recognition guidance, we allocate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for non-software arrangements.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judgmental and is made through consultation with and approval by management.</w:t>
      </w:r>
    </w:p>
    <w:p>
      <w:pPr>
        <w:spacing w:after="0" w:line="1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Revenue from third-party hardware and software sales is recorded at a gross or net amount according to certain indicators. In certain arrangements, we may earn revenue from other third-party services which is recorded at a gross amount as we are the primary obligor under the arrangement. The application of these indicators for gross and net reporting of revenue depends on the relative facts and circumstances of each sale and requires significant judgment.</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Accounting</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16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18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w:t>
      </w:r>
    </w:p>
    <w:p>
      <w:pPr>
        <w:spacing w:after="0" w:line="15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accordance with business combinations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our consolidated statements of income.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17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Share-based compensation cost is measured at the grant date based on the value of the award and is recognized as expense over the requisite service periods. We estimate the fair value of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is reduced for estimated forfeitures. Determining the fair value of share-based awards at the grant date requires the exercise of judgment, including estimating expected dividends. In addition, the 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17 to our consolidated financial statements.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6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years 2017, 2016 or 2015.</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years 2017, 2016 or 2015.</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During fiscal years 2017, 2016 and 2015,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income (loss). We estimate the fair value of such derivative contracts by reference to forward and spot rates quoted in active markets.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Measurement of Short-Term Interest-Bearing Investments</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short-term interest-bearing investments are classified as available-for-sale securities and are stated at fair value in our consolidated balance sheets. Unrealized gains or losses are reported as a separate component of accumulated other comprehensive income (loss), net of tax. Such short-term interest-bearing investments consist primarily of bank deposits, money market funds, U.S. government treasuries, corporate bonds and U.S. agency securities. We believe we have conservative investment policy guidelines. Our interest-bearing investments are priced by pricing vendors and are classified as Level 1 or Level 2 investments, since these vendors either provide a quoted market price in an active market or use observable inputs such as quoted market prices for similar instruments, market dealer quotes, market spreads, non-binding market prices that are corroborated by observable market data and other observable market information and discounted cash flow techniques using observable market inputs. For securities with unrealized losses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credit losses. To the extent that the net present value of the projected cash flows was less than the amortized cost of the security, the difference is considered a credit loss and is recorded through earnings. The inputs on the future performance of the underlying assets used in the cash flow models include prepayments, defaults and loss severity assumptions. The other-than-temporary impairment on our short-term interest-bearing investments was immaterial during fiscal years 2017, 2016 and 2015.</w:t>
      </w:r>
    </w:p>
    <w:p>
      <w:pPr>
        <w:spacing w:after="0" w:line="185"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2017.</w:t>
      </w:r>
    </w:p>
    <w:p>
      <w:pPr>
        <w:spacing w:after="0" w:line="166"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We regularly review the allowance for doubtful accounts by considering factors that may affect a customer’s ability to pay, such as historical experience, credit quality, age of the accounts receivable balances, and current economic conditions.</w:t>
      </w:r>
    </w:p>
    <w:p>
      <w:pPr>
        <w:spacing w:after="0" w:line="16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November 30, 2017, our directors and officers were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tcPr>
          <w:p>
            <w:pPr>
              <w:jc w:val="right"/>
              <w:ind w:right="51"/>
              <w:spacing w:after="0"/>
              <w:rPr>
                <w:sz w:val="20"/>
                <w:szCs w:val="20"/>
                <w:color w:val="auto"/>
              </w:rPr>
            </w:pPr>
            <w:r>
              <w:rPr>
                <w:rFonts w:ascii="Arial" w:cs="Arial" w:eastAsia="Arial" w:hAnsi="Arial"/>
                <w:sz w:val="14"/>
                <w:szCs w:val="14"/>
                <w:b w:val="1"/>
                <w:bCs w:val="1"/>
                <w:color w:val="auto"/>
              </w:rPr>
              <w:t>Age</w:t>
            </w:r>
          </w:p>
        </w:tc>
        <w:tc>
          <w:tcPr>
            <w:tcW w:w="5200" w:type="dxa"/>
            <w:vAlign w:val="bottom"/>
          </w:tcPr>
          <w:p>
            <w:pPr>
              <w:ind w:left="242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A. Minicucci(2)</w:t>
            </w:r>
          </w:p>
        </w:tc>
        <w:tc>
          <w:tcPr>
            <w:tcW w:w="20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65</w:t>
            </w:r>
          </w:p>
        </w:tc>
        <w:tc>
          <w:tcPr>
            <w:tcW w:w="5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Chairman of the Board, Amdocs Limited</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Adrian Gardner(1)</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5200" w:type="dxa"/>
            <w:vAlign w:val="bottom"/>
          </w:tcPr>
          <w:p>
            <w:pPr>
              <w:ind w:left="140"/>
              <w:spacing w:after="0"/>
              <w:rPr>
                <w:sz w:val="20"/>
                <w:szCs w:val="20"/>
                <w:color w:val="auto"/>
              </w:rPr>
            </w:pPr>
            <w:r>
              <w:rPr>
                <w:rFonts w:ascii="Arial" w:cs="Arial" w:eastAsia="Arial" w:hAnsi="Arial"/>
                <w:sz w:val="18"/>
                <w:szCs w:val="18"/>
                <w:color w:val="auto"/>
                <w:w w:val="99"/>
              </w:rPr>
              <w:t>Director and Chairman of the Audit Committee, Amdocs Limited</w:t>
            </w: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T. McLennan(2)</w:t>
            </w:r>
          </w:p>
        </w:tc>
        <w:tc>
          <w:tcPr>
            <w:tcW w:w="204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72</w:t>
            </w:r>
          </w:p>
        </w:tc>
        <w:tc>
          <w:tcPr>
            <w:tcW w:w="5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Director and Chairman of the Management Resources and</w:t>
            </w: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Committee, Amdocs Limited</w:t>
            </w:r>
          </w:p>
        </w:tc>
      </w:tr>
      <w:tr>
        <w:trPr>
          <w:trHeight w:val="202"/>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rPr>
              <w:t>Simon Olswang(1)(3)</w:t>
            </w:r>
          </w:p>
        </w:tc>
        <w:tc>
          <w:tcPr>
            <w:tcW w:w="20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73</w:t>
            </w:r>
          </w:p>
        </w:tc>
        <w:tc>
          <w:tcPr>
            <w:tcW w:w="5200" w:type="dxa"/>
            <w:vAlign w:val="bottom"/>
          </w:tcPr>
          <w:p>
            <w:pPr>
              <w:ind w:left="140"/>
              <w:spacing w:after="0" w:line="201" w:lineRule="exact"/>
              <w:rPr>
                <w:sz w:val="20"/>
                <w:szCs w:val="20"/>
                <w:color w:val="auto"/>
              </w:rPr>
            </w:pPr>
            <w:r>
              <w:rPr>
                <w:rFonts w:ascii="Arial" w:cs="Arial" w:eastAsia="Arial" w:hAnsi="Arial"/>
                <w:sz w:val="18"/>
                <w:szCs w:val="18"/>
                <w:color w:val="auto"/>
                <w:w w:val="91"/>
              </w:rPr>
              <w:t>Director and Chairman of the Nominating and Corporate Governance</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Committee, Amdocs Limited</w:t>
            </w: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Zohar Zisapel(4)</w:t>
            </w:r>
          </w:p>
        </w:tc>
        <w:tc>
          <w:tcPr>
            <w:tcW w:w="204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68</w:t>
            </w:r>
          </w:p>
        </w:tc>
        <w:tc>
          <w:tcPr>
            <w:tcW w:w="5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Director and Chairman of the Technology and Innovation Committee,</w:t>
            </w: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Amdocs Limited</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Julian A. Brodsky(3)</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84</w:t>
            </w:r>
          </w:p>
        </w:tc>
        <w:tc>
          <w:tcPr>
            <w:tcW w:w="5200" w:type="dxa"/>
            <w:vAlign w:val="bottom"/>
          </w:tcPr>
          <w:p>
            <w:pPr>
              <w:ind w:left="140"/>
              <w:spacing w:after="0"/>
              <w:rPr>
                <w:sz w:val="20"/>
                <w:szCs w:val="20"/>
                <w:color w:val="auto"/>
              </w:rPr>
            </w:pPr>
            <w:r>
              <w:rPr>
                <w:rFonts w:ascii="Arial" w:cs="Arial" w:eastAsia="Arial" w:hAnsi="Arial"/>
                <w:sz w:val="18"/>
                <w:szCs w:val="18"/>
                <w:color w:val="auto"/>
              </w:rPr>
              <w:t>Director, Amdocs Limited</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Clayton Christensen</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 Amdocs Limited</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James S. Kahan(3)</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70</w:t>
            </w:r>
          </w:p>
        </w:tc>
        <w:tc>
          <w:tcPr>
            <w:tcW w:w="5200" w:type="dxa"/>
            <w:vAlign w:val="bottom"/>
          </w:tcPr>
          <w:p>
            <w:pPr>
              <w:ind w:left="140"/>
              <w:spacing w:after="0"/>
              <w:rPr>
                <w:sz w:val="20"/>
                <w:szCs w:val="20"/>
                <w:color w:val="auto"/>
              </w:rPr>
            </w:pPr>
            <w:r>
              <w:rPr>
                <w:rFonts w:ascii="Arial" w:cs="Arial" w:eastAsia="Arial" w:hAnsi="Arial"/>
                <w:sz w:val="18"/>
                <w:szCs w:val="18"/>
                <w:color w:val="auto"/>
              </w:rPr>
              <w:t>Director, Amdocs Limited</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Richard T.C. LeFave(1)(2)(4)</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 Amdocs Limited</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Giora Yaron(4)</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5200" w:type="dxa"/>
            <w:vAlign w:val="bottom"/>
          </w:tcPr>
          <w:p>
            <w:pPr>
              <w:ind w:left="140"/>
              <w:spacing w:after="0"/>
              <w:rPr>
                <w:sz w:val="20"/>
                <w:szCs w:val="20"/>
                <w:color w:val="auto"/>
              </w:rPr>
            </w:pPr>
            <w:r>
              <w:rPr>
                <w:rFonts w:ascii="Arial" w:cs="Arial" w:eastAsia="Arial" w:hAnsi="Arial"/>
                <w:sz w:val="18"/>
                <w:szCs w:val="18"/>
                <w:color w:val="auto"/>
              </w:rPr>
              <w:t>Director, Amdocs Limited</w:t>
            </w: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Eli Gelman(4)</w:t>
            </w:r>
          </w:p>
        </w:tc>
        <w:tc>
          <w:tcPr>
            <w:tcW w:w="204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59</w:t>
            </w:r>
          </w:p>
        </w:tc>
        <w:tc>
          <w:tcPr>
            <w:tcW w:w="5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Director, Amdocs Limited; President and Chief Executive Officer,</w:t>
            </w: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Amdocs Management Limited</w:t>
            </w:r>
          </w:p>
        </w:tc>
      </w:tr>
      <w:tr>
        <w:trPr>
          <w:trHeight w:val="202"/>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rPr>
              <w:t>Tamar Rapaport-Dagim</w:t>
            </w:r>
          </w:p>
        </w:tc>
        <w:tc>
          <w:tcPr>
            <w:tcW w:w="20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46</w:t>
            </w:r>
          </w:p>
        </w:tc>
        <w:tc>
          <w:tcPr>
            <w:tcW w:w="5200" w:type="dxa"/>
            <w:vAlign w:val="bottom"/>
          </w:tcPr>
          <w:p>
            <w:pPr>
              <w:ind w:left="140"/>
              <w:spacing w:after="0" w:line="201" w:lineRule="exact"/>
              <w:rPr>
                <w:sz w:val="20"/>
                <w:szCs w:val="20"/>
                <w:color w:val="auto"/>
              </w:rPr>
            </w:pPr>
            <w:r>
              <w:rPr>
                <w:rFonts w:ascii="Arial" w:cs="Arial" w:eastAsia="Arial" w:hAnsi="Arial"/>
                <w:sz w:val="18"/>
                <w:szCs w:val="18"/>
                <w:color w:val="auto"/>
              </w:rPr>
              <w:t>Senior Vice President and Chief Financial Officer, Amdocs</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Management Limited</w:t>
            </w: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Shuky Sheffer</w:t>
            </w:r>
          </w:p>
        </w:tc>
        <w:tc>
          <w:tcPr>
            <w:tcW w:w="204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57</w:t>
            </w:r>
          </w:p>
        </w:tc>
        <w:tc>
          <w:tcPr>
            <w:tcW w:w="5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Senior Vice President and President of Global Business Group,</w:t>
            </w: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Amdocs Management Limited</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Rajat Raheja</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48</w:t>
            </w:r>
          </w:p>
        </w:tc>
        <w:tc>
          <w:tcPr>
            <w:tcW w:w="5200" w:type="dxa"/>
            <w:vAlign w:val="bottom"/>
          </w:tcPr>
          <w:p>
            <w:pPr>
              <w:ind w:left="140"/>
              <w:spacing w:after="0"/>
              <w:rPr>
                <w:sz w:val="20"/>
                <w:szCs w:val="20"/>
                <w:color w:val="auto"/>
              </w:rPr>
            </w:pPr>
            <w:r>
              <w:rPr>
                <w:rFonts w:ascii="Arial" w:cs="Arial" w:eastAsia="Arial" w:hAnsi="Arial"/>
                <w:sz w:val="18"/>
                <w:szCs w:val="18"/>
                <w:color w:val="auto"/>
                <w:w w:val="99"/>
              </w:rPr>
              <w:t>Division President, Amdocs Development Center India Pvt. Ltd.</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Matthew Smith</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Secretary, Amdocs Limited; Head of Investor Relations, Amdocs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the Management Resources and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the Technology and Innovation Committee</w:t>
      </w:r>
    </w:p>
    <w:p>
      <w:pPr>
        <w:spacing w:after="0" w:line="21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 director of one other publicly-held company, Alliance Data Systems,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Adrian Gardner has been a director of Amdocs since 1998 and is Chairman of the Audit Committee. Mr. Gardner serves as Chief Financial Officer of Ipes Holdings Limited, a provider of outsourced services to private equity firms, from October 2016. Mr. Gardner has served as a member of the Audit &amp; Risk Committee of Worcester College, Oxford University since May 2017. From 2014 to September 2016, Mr. Gardner served as Chief Financial Officer of International Personal Finance plc, an international home credit business. Mr. Gardner was Chief Financial Officer and a director of RSM Tenon Group PLC, a London-based accounting and advisory firm listed on the London Stock Exchange,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w:t>
      </w:r>
    </w:p>
    <w:p>
      <w:pPr>
        <w:spacing w:after="0" w:line="6" w:lineRule="exact"/>
        <w:rPr>
          <w:sz w:val="20"/>
          <w:szCs w:val="20"/>
          <w:color w:val="auto"/>
        </w:rPr>
      </w:pPr>
    </w:p>
    <w:p>
      <w:pPr>
        <w:ind w:left="200" w:right="60"/>
        <w:spacing w:after="0" w:line="290" w:lineRule="auto"/>
        <w:rPr>
          <w:sz w:val="20"/>
          <w:szCs w:val="20"/>
          <w:color w:val="auto"/>
        </w:rPr>
      </w:pPr>
      <w:r>
        <w:rPr>
          <w:rFonts w:ascii="Arial" w:cs="Arial" w:eastAsia="Arial" w:hAnsi="Arial"/>
          <w:sz w:val="17"/>
          <w:szCs w:val="17"/>
          <w:color w:val="auto"/>
        </w:rPr>
        <w:t>Mr. Gardner is a fellow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1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John T. McLennan has been a director of Amdocs since 1999 and is Chairman of the Management Resources and Compensation Committee. From 2000 until 2004, he served as Vice-Chair and Chief Executive Officer of Allstream (formerly AT&amp;T Canada). Mr. McLennan founded Jenmark Consulting Inc. and was its President from 1997 until 2000. From 1993 to 1997, Mr. McLennan served as the President and Chief Executive Officer of Bell Canada. Prior to that, he held various positions at several telecommunications companies, including BCE Mobile Communications and Cantel Inc. Mr. McLennan is also a director of Emera Inc., a Canadian publicly-held energy services company, and was its Chairman from 2009 to 2014.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Simon Olswang has been a director of Amdocs since 2004 and is Chairman of the Nominating and Corporate Governance Committee.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clean water company listed on the London AIM market. In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spacing w:after="0" w:line="182"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Zohar Zisapel has been a director of Amdocs since 2008 and is the Chairman of the Technology and Innovation Committee. Mr. Zisapel co-founded RAD Data Communications Ltd., a privately-held voice and data communications company and part of the RAD Group, a family of independent networking and telecommunications companies, and was its CEO from 1982 until 1998 and Chairman from 1998 until 2012. Mr. Zisapel also serves as chairman of Ceragon Networks Ltd. and as a director of Radcom Ltd., both public companies traded on Nasdaq, and on the boards of directors of several privately-held companies. Mr. Zisapel served as chairman of the Israel Association of Electronic Industries from 1998 until 2001. Mr. Zisapel received an Honorary Doctorate from the Technion — Israel Institute of Technology, and he is teaching Entrepreneurship at the Tel Aviv University. Mr. Zisapel’s experience as founder, chairman and director of several public and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private high technology companies, and his leadership in several government organizations, demonstrate his leadership capability and provide him with valuable insights into the voice and data communications industries.</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Julian A. Brodsky has been a director of Amdocs since 2003. Since 2011, Mr. Brodsky has served as a senior advisor to Comcast Corporation. Mr. Brodsky served as a director of Comcast Corporation from 1969 to 2011, and as Vice Chairman of Comcast Corporation from 1989 to 2011. From 1999 to 2004, Mr. Brodsky was Chairman of Comcast Ventures (formerly Comcast Interactive Capital, LP), a venture fund affiliated with Comcast. He is a director of RBB Fund, Inc. Mr. Brodsky brings to our Board of Directors deep and extensive knowledge of business in general and of the cable industry in particular gained through his longstanding executive leadership roles at Comcast, as well as financial expertise in capital markets, accounting and tax matters gained through his experience as Chief Financial Officer of Comcast and as a practicing CPA.</w:t>
      </w:r>
    </w:p>
    <w:p>
      <w:pPr>
        <w:spacing w:after="0" w:line="165"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Clayton Christensen has been a director of Amdocs since April 2015. Dr. Christensen is the Kim B. Clark Professor of Business Administration at the Harvard Business School where he has been a faculty member since 1992. He also served as President and Chairman of CPS Technologies, an industrial materials company, from 1984 to 1989. From 1979 to 1984, Dr. Christensen worked as a consultant and project manager for the Boston Consulting Group. Dr. Christensen is the founder of Rose Park Advisors, an investment firm, Innosight LLC, an innovation consulting firm, and the Christensen Institute for Disruptive Change, a non-profit organization focused on innovation. He is a director of Tata Consultancy Services, an IT consulting firm and part of the Tata group, Franklin Covey Co., a public company focused on performance improvement, and Intermountain Healthcare, a not-for-profit healthcare provider. Dr. Christensen’s qualifications to serve on our Board of Directors include his research and teaching interests, which are centered on building new growth businesses and sustaining the success of companies. Dr. Christensen’s previous work with various companies provides him with a broad perspective in the areas of management and operations.</w:t>
      </w:r>
    </w:p>
    <w:p>
      <w:pPr>
        <w:spacing w:after="0" w:line="167"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James S. Kahan has been a director of Amdocs since 1998. From 1983 until his retirement in 2007, he worked at SBC,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w:t>
      </w:r>
    </w:p>
    <w:p>
      <w:pPr>
        <w:ind w:left="200" w:right="340"/>
        <w:spacing w:after="0" w:line="254" w:lineRule="auto"/>
        <w:rPr>
          <w:sz w:val="20"/>
          <w:szCs w:val="20"/>
          <w:color w:val="auto"/>
        </w:rPr>
      </w:pPr>
      <w:r>
        <w:rPr>
          <w:rFonts w:ascii="Arial" w:cs="Arial" w:eastAsia="Arial" w:hAnsi="Arial"/>
          <w:sz w:val="18"/>
          <w:szCs w:val="18"/>
          <w:color w:val="auto"/>
        </w:rPr>
        <w:t>Mr. Kahan also serves on the Board of Directors of Live Nation Entertainment, Inc., a publicly-traded live music and ticketing entity, as well as two private companies.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1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19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Giora Yaron has been a director of Amdocs since 2009. Dr. Yaron co-founded Itamar Medical Ltd., a publicly-traded medical technology company, and has been its co-chairman since 1997 and since 2015, served as its chairman.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serves as Chairman of the Board at Excelero (ExpressIO), a company focused on providing ultra-fast block storage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solution and Equalum focused on streaming in real-time 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9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Eli Gelman has been a director of Amdocs since 2002. Mr. Gelman became the President and Chief Executive Officer of Amdocs Management Limited, our wholly-owned subsidiary, in 2010.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With more than 30 years of experience in the software industry, he possesses a vast institutional knowledge and strategic understanding of our organization and industry.</w:t>
      </w:r>
    </w:p>
    <w:p>
      <w:pPr>
        <w:spacing w:after="0" w:line="169"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color w:val="auto"/>
        </w:rPr>
        <w:t>Tamar Rapaport-Dagim has been Senior Vice President and Chief Financial Officer of Amdocs Management Limited since 2007.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Shuky Sheffer has been Senior Vice President and President of the Global Business Group since October 2013.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Rajat Raheja has been our Division President for India operations since February 2016. Mr. Raheja has close to 23 years of experience and most recently served as Director, Global Services at Deloitte Consulting. Prior to joining Amdocs, Mr. Raheja held leadership positions in Deloitte Consulting, Arthur Andersen, PricewaterhouseCoopers and Tata Telecom.</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During fiscal 2017,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 Employee Director and who is not the chairman of such committee received an annual cash payment of $25,000. Each member of our Management Resources and Compensation Committee who is a Non-Employee Director and who is not a committee chairman received an annual cash payment of $15,000. Each member of our Nominating and Corporate Governance and Technology and Innovation Committees who is a Non-Employee Director and who is not a committee chairman received an annual cash payment of $10,000. The Chairman of our Audit Committee received an annual cash payment of $35,000 and the Chairman of our Management Resources and Compensation Committee received an annual cash payment of $25,000. The Chairmen of our Nominating and Corporate Governance and Technology and Innovation Committees each received an annual cash payment of $20,000. Each Non-Employee Director received an annual grant of restricted shares at a total value of $245,000. The Chairman of the Board of Directors received an additional annual amount equal to $200,000 awarded in the form of restricted shares. All restricted share awards to our Non-Employee Directors are fully vested upon grant. The price per share for the purpose of determining the value of the grants to our Non-Employee 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17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total of 15 persons who served either as directors or officers of Amdocs during all or part of fiscal 2017 received remuneration from Amdocs. The aggregate remuneration paid by us to such persons in fiscal 2017 was approximately $6.9 million, compared to $6.3 million in each of fiscal 2016 and fiscal 2015,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2017, we granted to such persons options to purchase an aggregate of 111,701 ordinary shares at a weighted average price of $58.60 per share with vesting generally over four-year terms and expiring ten years from the date of grant, and an aggregate of 257,376 restricted shares typically subject to three to four-year vesting and often times, achievement of certain performance thresholds, and in the case of our directors, no vesting restrictions. All options and restricted share awards were granted pursuant to our 1998 Stock Option and Incentive Plan, as amended. See discussion below — “Share Ownership — Employee Stock Option and Incentive Plan.”</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Practices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Eleven directors currently serve on our Board of Directors, all of whom were elected at our annual meeting of shareholders on January 27, 2017.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w:t>
      </w:r>
    </w:p>
    <w:p>
      <w:pPr>
        <w:spacing w:after="0" w:line="18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23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Olswang,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Arial" w:cs="Arial" w:eastAsia="Arial" w:hAnsi="Arial"/>
          <w:sz w:val="17"/>
          <w:szCs w:val="17"/>
          <w:i w:val="1"/>
          <w:iCs w:val="1"/>
          <w:color w:val="auto"/>
        </w:rPr>
        <w:t>www.amdocs.com.</w:t>
      </w:r>
    </w:p>
    <w:p>
      <w:pPr>
        <w:spacing w:after="0" w:line="18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19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Minicucci,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16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 Gelman, LeFave and Dr. Yaron.</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Workforce Personnel</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table presents the approximate number of our workforce as of each date indicated, by function and by geographical location (in each of which we operate at multiple sites):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0"/>
              </w:rPr>
              <w:t>As of 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90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6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4,346</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4,491</w:t>
            </w:r>
          </w:p>
        </w:tc>
        <w:tc>
          <w:tcPr>
            <w:tcW w:w="620" w:type="dxa"/>
            <w:vAlign w:val="bottom"/>
          </w:tcPr>
          <w:p>
            <w:pPr>
              <w:jc w:val="right"/>
              <w:spacing w:after="0"/>
              <w:rPr>
                <w:sz w:val="20"/>
                <w:szCs w:val="20"/>
                <w:color w:val="auto"/>
              </w:rPr>
            </w:pPr>
            <w:r>
              <w:rPr>
                <w:rFonts w:ascii="Arial" w:cs="Arial" w:eastAsia="Arial" w:hAnsi="Arial"/>
                <w:sz w:val="18"/>
                <w:szCs w:val="18"/>
                <w:color w:val="auto"/>
              </w:rPr>
              <w:t>4,755</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Israel</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4,614</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4,659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India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9,960</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9,089</w:t>
            </w:r>
          </w:p>
        </w:tc>
        <w:tc>
          <w:tcPr>
            <w:tcW w:w="620" w:type="dxa"/>
            <w:vAlign w:val="bottom"/>
          </w:tcPr>
          <w:p>
            <w:pPr>
              <w:jc w:val="right"/>
              <w:spacing w:after="0"/>
              <w:rPr>
                <w:sz w:val="20"/>
                <w:szCs w:val="20"/>
                <w:color w:val="auto"/>
              </w:rPr>
            </w:pPr>
            <w:r>
              <w:rPr>
                <w:rFonts w:ascii="Arial" w:cs="Arial" w:eastAsia="Arial" w:hAnsi="Arial"/>
                <w:sz w:val="18"/>
                <w:szCs w:val="18"/>
                <w:color w:val="auto"/>
              </w:rPr>
              <w:t>8,142</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 of the World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4,192</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6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22,063</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21,050</w:t>
            </w:r>
          </w:p>
        </w:tc>
        <w:tc>
          <w:tcPr>
            <w:tcW w:w="6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Administration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1,558</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1,573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Workforce</w:t>
            </w:r>
            <w:r>
              <w:rPr>
                <w:rFonts w:ascii="Arial" w:cs="Arial" w:eastAsia="Arial" w:hAnsi="Arial"/>
                <w:sz w:val="15"/>
                <w:szCs w:val="15"/>
                <w:color w:val="auto"/>
              </w:rPr>
              <w:t>(1)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23,636</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22,561</w:t>
            </w:r>
          </w:p>
        </w:tc>
        <w:tc>
          <w:tcPr>
            <w:tcW w:w="6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workforce numbers as of September 2017, 2016 and 2015 restated to exclude subcontractors.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8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 xml:space="preserve">A small number of our employees in Canada, our employees in Brazil and our employees in Chile have union representation. We also have an affiliation with a non-active union in Mexico. We have a works council body in the Netherlands and Germany which represents the employees and with which we work closely to ensure compliance with the applicable local law. We also have an employee representative body in France and in Finland. In recent years, Israeli labor unions have increased their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Arial" w:cs="Arial" w:eastAsia="Arial" w:hAnsi="Arial"/>
          <w:sz w:val="17"/>
          <w:szCs w:val="17"/>
          <w:i w:val="1"/>
          <w:iCs w:val="1"/>
          <w:color w:val="auto"/>
        </w:rPr>
        <w:t>The skilled and highly qualified workforce that we need to develop, implement and modify our solutions may be difficult to hire, train</w:t>
      </w:r>
      <w:r>
        <w:rPr>
          <w:rFonts w:ascii="Arial" w:cs="Arial" w:eastAsia="Arial" w:hAnsi="Arial"/>
          <w:sz w:val="17"/>
          <w:szCs w:val="17"/>
          <w:color w:val="auto"/>
        </w:rPr>
        <w:t xml:space="preserve"> </w:t>
      </w:r>
      <w:r>
        <w:rPr>
          <w:rFonts w:ascii="Arial" w:cs="Arial" w:eastAsia="Arial" w:hAnsi="Arial"/>
          <w:sz w:val="17"/>
          <w:szCs w:val="17"/>
          <w:i w:val="1"/>
          <w:iCs w:val="1"/>
          <w:color w:val="auto"/>
        </w:rPr>
        <w:t>and retain, and we could face increased costs to attract and retain our skilled workforce</w:t>
      </w:r>
      <w:r>
        <w:rPr>
          <w:rFonts w:ascii="Arial" w:cs="Arial" w:eastAsia="Arial" w:hAnsi="Arial"/>
          <w:sz w:val="17"/>
          <w:szCs w:val="17"/>
          <w:color w:val="auto"/>
        </w:rPr>
        <w: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As of November 30, 2017, the aggregate number of our ordinary shares beneficially owned by our directors and executive officers was 1,907,443 shares. As of November 30, 2017, none of our directors or members of senior management beneficially owned 1% or more of our outstanding ordinary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Board of Directors adopted, and our shareholders approved, our 1998 Stock Option and Incentive Plan, as amended, which we refer to as the Equity Incentive Plan, pursuant to which up to 67,550,000 of our ordinary shares may be issued.</w:t>
      </w:r>
    </w:p>
    <w:p>
      <w:pPr>
        <w:spacing w:after="0" w:line="170"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2017, of the 67,550,000 ordinary shares available for issuance under the Equity Incentive Plan, 52,180,146 ordinary shares had been issued as a result of option exercises and restricted share issuances. As of September 30, 2017, 8,278,433 ordinary shares remained available for future grants, subject to a sublimit applicable to the award of restricted shares or awards dominated in stock units. As of November 30, 2017, there were outstanding options to purchase an aggregate of 7,182,901 ordinary shares at exercise prices ranging from $16.92 to $67.17 per share and 130,213 shares are subject to outstanding restricted stock units.</w:t>
      </w:r>
    </w:p>
    <w:p>
      <w:pPr>
        <w:spacing w:after="0" w:line="167"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November 30, 2017 of</w:t>
      </w:r>
    </w:p>
    <w:p>
      <w:pPr>
        <w:spacing w:after="0" w:line="46" w:lineRule="exact"/>
        <w:rPr>
          <w:sz w:val="20"/>
          <w:szCs w:val="20"/>
          <w:color w:val="auto"/>
        </w:rPr>
      </w:pPr>
    </w:p>
    <w:p>
      <w:pPr>
        <w:ind w:left="200" w:firstLine="4"/>
        <w:spacing w:after="0" w:line="252" w:lineRule="auto"/>
        <w:tabs>
          <w:tab w:leader="none" w:pos="4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143,914,331 ordinary shares outstanding as of November 30, 2017, net of shares held in treasury. Information concerning shareholders other than our directors and officers is based on periodic public filings made by such shareholders and may not necessarily be accurate as of November 30, 2017. None of our major shareholders have voting rights that are different from those of any other shareholder.</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gridSpan w:val="3"/>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LLC(1)</w:t>
            </w:r>
          </w:p>
        </w:tc>
        <w:tc>
          <w:tcPr>
            <w:tcW w:w="8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81"/>
              </w:rPr>
              <w:t>FMR</w:t>
            </w:r>
          </w:p>
        </w:tc>
        <w:tc>
          <w:tcPr>
            <w:tcW w:w="56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14,872,361</w:t>
            </w:r>
          </w:p>
        </w:tc>
        <w:tc>
          <w:tcPr>
            <w:tcW w:w="6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(15 persons)(2)</w:t>
            </w:r>
          </w:p>
        </w:tc>
        <w:tc>
          <w:tcPr>
            <w:tcW w:w="860" w:type="dxa"/>
            <w:vAlign w:val="bottom"/>
          </w:tcPr>
          <w:p>
            <w:pPr>
              <w:jc w:val="right"/>
              <w:spacing w:after="0"/>
              <w:rPr>
                <w:sz w:val="20"/>
                <w:szCs w:val="20"/>
                <w:color w:val="auto"/>
              </w:rPr>
            </w:pPr>
            <w:r>
              <w:rPr>
                <w:rFonts w:ascii="Arial" w:cs="Arial" w:eastAsia="Arial" w:hAnsi="Arial"/>
                <w:sz w:val="18"/>
                <w:szCs w:val="18"/>
                <w:color w:val="auto"/>
              </w:rPr>
              <w:t>1,907,443</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60" w:hanging="436"/>
        <w:spacing w:after="0" w:line="27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a Schedule 13G/A filed by FMR LLC, or FMR, with the SEC on August 10, 2017, as of July 31, 2017, FMR had sole power to vote or direct the vote over 1,122,307 shares and sole power to dispose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4" w:lineRule="auto"/>
        <w:rPr>
          <w:sz w:val="20"/>
          <w:szCs w:val="20"/>
          <w:color w:val="auto"/>
        </w:rPr>
      </w:pPr>
      <w:r>
        <w:rPr>
          <w:rFonts w:ascii="Arial" w:cs="Arial" w:eastAsia="Arial" w:hAnsi="Arial"/>
          <w:sz w:val="18"/>
          <w:szCs w:val="18"/>
          <w:color w:val="auto"/>
        </w:rPr>
        <w:t>direct the disposition of 14,872,36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spacing w:after="0" w:line="2" w:lineRule="exact"/>
        <w:rPr>
          <w:sz w:val="20"/>
          <w:szCs w:val="20"/>
          <w:color w:val="auto"/>
        </w:rPr>
      </w:pPr>
    </w:p>
    <w:p>
      <w:pPr>
        <w:ind w:left="640" w:right="60" w:hanging="436"/>
        <w:spacing w:after="0" w:line="261"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November 30, 2017. As of such date, none of our directors or executive officers beneficially owned 1% or more of our outstanding ordinary shares.</w:t>
      </w:r>
    </w:p>
    <w:p>
      <w:pPr>
        <w:spacing w:after="0" w:line="184"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As of November 30, 2017, our ordinary shares were held by 1,651 record holders. Based on a review of the information provided to us by our transfer agent, 907 record holders, holding approximately 85% of our outstanding ordinary shares held of record, were residents of the United States.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Zohar Zisapel, a member of our board of directors, is a member of the board of directors and a significant shareholder of Radcom Ltd (“Radcom”). In 2015, certain of our subsidiaries entered into a number of contracts with Radcom for it to act as a subcontractor for us and/or a value added reseller. In addition, in the ordinary course of business we purchase certain products from other entities in which Mr. Zisapel has an interest. In fiscal 2017, our aggregate payments with respect to all these transactions were substantially less than 1% of our total operating expenses.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See “Financial Statements” for our audited Consolidated Financial Statements and Financial Statement Schedule filed as part of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consolidated financial position, results of operations or cash flows.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are currently defending a lawsuit against certain of our subsidiaries in the U.S. District Court in Oregon alleging breach of contract and trade secret misappropriation. According to the suit, we improperly utilized information received in connection with our electronic payment processing solution, which is one of several components of our mobile financial services offerings. During fiscal year 2016, the District Court denied our motions to dismiss and to compel arbitration with respect to certain of the claims, and the proceedings will continue. We intend to continue to vigorously defend against the allegations set forth in the complaint. At this stage, we cannot determine that a loss amount is probable and are unable to reasonably estimate the ultimate outcome of the above suit, therefore no amounts have been accrued related to the outcome of such suit.</w:t>
      </w:r>
    </w:p>
    <w:p>
      <w:pPr>
        <w:spacing w:after="0" w:line="16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Certain of our subsidiaries are currently in a dispute with a state-owned telecom enterprise in Ecuador, which appears to have political aspects. Our counterparty has claimed monetary damages. The dispute is over a contract, under which we were providing certain services, which has been terminated by the counterparty in connection with such dispute, and is under scrutiny by certain local governmental authorities. We believe we have solid arguments and are vigorously defending our rights. To date, however, such defense efforts, including motions alleging constitutional defects, have encountered a dismissive approach by the Ecuadorian Courts, with reasoning that we believe is inconsistent with applicable law. We are unable to reasonably estimate the ultimate outcome of the above dispute.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 The following table sets forth the high and low reported sale prices for our ordinary shares for the periods indicated:</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14"/>
                <w:szCs w:val="14"/>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$39.01</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$31.41</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$48.99</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$36.39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$61.46</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$44.06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$61.33</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$50.06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$67.98</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$54.91</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i w:val="1"/>
                <w:iCs w:val="1"/>
                <w:color w:val="auto"/>
              </w:rPr>
              <w:t>Fiscal 2016: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$61.27</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$53.74</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$60.62</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$50.06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$60.47</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$54.12</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$61.33</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$55.01</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2017: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First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$61.11</w:t>
            </w: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$54.91</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$62.65</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$56.10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$66.48</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$60.30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$67.98</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$62.13</w:t>
            </w:r>
          </w:p>
        </w:tc>
      </w:tr>
      <w:tr>
        <w:trPr>
          <w:trHeight w:val="216"/>
        </w:trPr>
        <w:tc>
          <w:tcPr>
            <w:tcW w:w="7700" w:type="dxa"/>
            <w:vAlign w:val="bottom"/>
          </w:tcPr>
          <w:p>
            <w:pPr>
              <w:spacing w:after="0"/>
              <w:rPr>
                <w:sz w:val="20"/>
                <w:szCs w:val="20"/>
                <w:color w:val="auto"/>
              </w:rPr>
            </w:pPr>
            <w:r>
              <w:rPr>
                <w:rFonts w:ascii="Arial" w:cs="Arial" w:eastAsia="Arial" w:hAnsi="Arial"/>
                <w:sz w:val="18"/>
                <w:szCs w:val="18"/>
                <w:i w:val="1"/>
                <w:iCs w:val="1"/>
                <w:color w:val="auto"/>
              </w:rPr>
              <w:t>Fiscal 2018: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 November 30, 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$66.99</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$61.00</w:t>
            </w: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June 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$66.48</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$63.62</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July 2017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$67.51</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$63.79</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August 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$67.98</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$62.13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September 2017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$65.05</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$62.39</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October 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$66.35</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$64.15</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November 2017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$66.99</w:t>
            </w:r>
          </w:p>
        </w:tc>
        <w:tc>
          <w:tcPr>
            <w:tcW w:w="240" w:type="dxa"/>
            <w:vAlign w:val="bottom"/>
          </w:tcPr>
          <w:p>
            <w:pPr>
              <w:spacing w:after="0"/>
              <w:rPr>
                <w:sz w:val="20"/>
                <w:szCs w:val="20"/>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$61.00</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8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19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Board of Directors is authorized to issue a maximum of (i) 25,000,000 preferred shares and (ii) 700,000,000 ordinary shares, consisting of voting and non-voting ordinary shares without further shareholder approval. As of September 30, 2017, 144,391,245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31"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53" w:lineRule="exact"/>
        <w:rPr>
          <w:rFonts w:ascii="Arial" w:cs="Arial" w:eastAsia="Arial" w:hAnsi="Arial"/>
          <w:sz w:val="16"/>
          <w:szCs w:val="16"/>
          <w:color w:val="auto"/>
        </w:rPr>
      </w:pPr>
    </w:p>
    <w:p>
      <w:pPr>
        <w:ind w:left="1060" w:right="120" w:hanging="316"/>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shares and to provide for the designations, powers, preferences and relative participating, optional or other special rights and qualifications, limitations or restrictions thereon.</w:t>
      </w:r>
    </w:p>
    <w:p>
      <w:pPr>
        <w:spacing w:after="0" w:line="86"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one series issued at different times may differ as to the dates from which dividends shall accrue.</w:t>
      </w:r>
    </w:p>
    <w:p>
      <w:pPr>
        <w:spacing w:after="0" w:line="75" w:lineRule="exact"/>
        <w:rPr>
          <w:rFonts w:ascii="Arial" w:cs="Arial" w:eastAsia="Arial" w:hAnsi="Arial"/>
          <w:sz w:val="18"/>
          <w:szCs w:val="18"/>
          <w:color w:val="auto"/>
        </w:rPr>
      </w:pPr>
    </w:p>
    <w:p>
      <w:pPr>
        <w:ind w:left="1060" w:right="20" w:hanging="316"/>
        <w:spacing w:after="0" w:line="27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or winding-up of Amdocs Limited, the holders of preferred shares are entitled to a</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83" w:lineRule="exact"/>
        <w:rPr>
          <w:rFonts w:ascii="Arial" w:cs="Arial" w:eastAsia="Arial" w:hAnsi="Arial"/>
          <w:sz w:val="17"/>
          <w:szCs w:val="17"/>
          <w:color w:val="auto"/>
        </w:rPr>
      </w:pPr>
    </w:p>
    <w:p>
      <w:pPr>
        <w:ind w:left="1060" w:right="380" w:hanging="316"/>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except as otherwise provided for by the directors upon the issue of any new series of preferred shares,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have no right or power to vote on any question or in any proceeding or to be represented at, or to receive notice of, any meeting of shareholders.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76" w:lineRule="exact"/>
        <w:rPr>
          <w:sz w:val="20"/>
          <w:szCs w:val="20"/>
          <w:color w:val="auto"/>
        </w:rPr>
      </w:pPr>
    </w:p>
    <w:p>
      <w:pPr>
        <w:ind w:left="1060" w:right="16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when and as dividends are declared on our shares, the holders of voting ordinary shares and non-voting shares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share for share, in such dividends except that if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77" w:lineRule="auto"/>
        <w:rPr>
          <w:sz w:val="20"/>
          <w:szCs w:val="20"/>
          <w:color w:val="auto"/>
        </w:rPr>
      </w:pPr>
      <w:r>
        <w:rPr>
          <w:rFonts w:ascii="Arial" w:cs="Arial" w:eastAsia="Arial" w:hAnsi="Arial"/>
          <w:sz w:val="18"/>
          <w:szCs w:val="18"/>
          <w:color w:val="auto"/>
        </w:rPr>
        <w:t>dividends are declared that are payable in voting ordinary shares or non-voting ordinary shares, dividends must be declared that are payable at the same rate in both classes of shares.</w:t>
      </w:r>
    </w:p>
    <w:p>
      <w:pPr>
        <w:spacing w:after="0" w:line="76" w:lineRule="exact"/>
        <w:rPr>
          <w:sz w:val="20"/>
          <w:szCs w:val="20"/>
          <w:color w:val="auto"/>
        </w:rPr>
      </w:pPr>
    </w:p>
    <w:p>
      <w:pPr>
        <w:ind w:left="1060" w:right="40" w:hanging="316"/>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Non-Voting Ordinary Shares into Voting Ordinary Shares </w:t>
      </w:r>
      <w:r>
        <w:rPr>
          <w:rFonts w:ascii="Arial" w:cs="Arial" w:eastAsia="Arial" w:hAnsi="Arial"/>
          <w:sz w:val="18"/>
          <w:szCs w:val="18"/>
          <w:color w:val="auto"/>
        </w:rPr>
        <w:t>— upon the transfer of non-voting ordinary shares from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to any third party not affiliated with such original holder, non-voting ordinary shares are redesignated in our books as voting ordinary shares and automatically convert into the same number of voting ordinary shares.</w:t>
      </w:r>
    </w:p>
    <w:p>
      <w:pPr>
        <w:spacing w:after="0" w:line="86" w:lineRule="exact"/>
        <w:rPr>
          <w:rFonts w:ascii="Arial" w:cs="Arial" w:eastAsia="Arial" w:hAnsi="Arial"/>
          <w:sz w:val="18"/>
          <w:szCs w:val="18"/>
          <w:color w:val="auto"/>
        </w:rPr>
      </w:pPr>
    </w:p>
    <w:p>
      <w:pPr>
        <w:ind w:left="1060" w:right="120" w:hanging="316"/>
        <w:spacing w:after="0" w:line="342"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paid in full shall be distributed to the holders of voting ordinary shares and non-voting ordinary shares equally share for share.</w:t>
      </w:r>
    </w:p>
    <w:p>
      <w:pPr>
        <w:spacing w:after="0" w:line="29" w:lineRule="exact"/>
        <w:rPr>
          <w:rFonts w:ascii="Arial" w:cs="Arial" w:eastAsia="Arial" w:hAnsi="Arial"/>
          <w:sz w:val="16"/>
          <w:szCs w:val="16"/>
          <w:color w:val="auto"/>
        </w:rPr>
      </w:pPr>
    </w:p>
    <w:p>
      <w:pPr>
        <w:ind w:left="1060" w:right="16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non-voting ordinary shares are not entitled to any voting rights.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priorities of the preferred shares as are set out in the Articles.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71"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are no provisions in the Memorandum or Articles that provide for a classified board of directors or for cumulative voting for directors.</w:t>
      </w:r>
    </w:p>
    <w:p>
      <w:pPr>
        <w:spacing w:after="0" w:line="23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6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6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8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181"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170"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12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directors may reduce our share capital or any other capital subject to us satisfying the solvency requirements set out in the Companies Law.</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December 2017, we entered into an Amended and Restated Credit Agreement among us, certain of our subsidiaries, the lenders from time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party thereto, JPMorgan Chase Bank, N.A., as administrative agent, J.P. Morgan Europe Limited, as London agent, and JPMorgan Chase Bank,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N.A., Toronto branch, as Canadian agent, providing for an unsecured $500 million five-year revolving credit facility with a syndicate of banks.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facility is available for general corporate purposes, including acquisitions and repurchases of our ordinary shares that we may consider from time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time, and has a maturity date in December 2022. The Amended and Restated Credit Agreement replaces our Credit Agreement, dated as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12, 2014, by and among us, certain of our subsidiaries, JPMorgan Chase Bank, N.A., as administrative agent, J.P. Morgan Europe Limited,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London agent, and JPMorgan Chase Bank, N.A., Toronto branch, as Canadian agent. A copy of the Amended and Restated Credit Agreement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as Exhibit 4.d to this Annual Report.</w:t>
      </w:r>
    </w:p>
    <w:p>
      <w:pPr>
        <w:spacing w:after="0" w:line="211" w:lineRule="exact"/>
        <w:rPr>
          <w:sz w:val="20"/>
          <w:szCs w:val="20"/>
          <w:color w:val="auto"/>
        </w:rPr>
      </w:pPr>
    </w:p>
    <w:p>
      <w:pPr>
        <w:jc w:val="both"/>
        <w:ind w:left="200" w:right="580" w:firstLine="441"/>
        <w:spacing w:after="0" w:line="259" w:lineRule="auto"/>
        <w:rPr>
          <w:sz w:val="20"/>
          <w:szCs w:val="20"/>
          <w:color w:val="auto"/>
        </w:rPr>
      </w:pPr>
      <w:r>
        <w:rPr>
          <w:rFonts w:ascii="Arial" w:cs="Arial" w:eastAsia="Arial" w:hAnsi="Arial"/>
          <w:sz w:val="18"/>
          <w:szCs w:val="18"/>
          <w:color w:val="auto"/>
        </w:rPr>
        <w:t>In February 2017, we entered into a Master Services Agreement with AT&amp;T Services, Inc., which replaces in its entirety the Software and Professional Services that we entered into with AT&amp;T Services, Inc. effective August 7, 2003. The agreement provides that Amdocs will provide software and services to AT&amp;T as specified therein and remains in effect until September 30, 2021. A copy of the Master Services Agreement is included as Exhibit 4.b.6 to this Annual Report.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past two years, we have not entered into any other material contracts other than contracts entered into in the ordinary course of our business.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117" w:lineRule="exact"/>
        <w:rPr>
          <w:sz w:val="20"/>
          <w:szCs w:val="20"/>
          <w:color w:val="auto"/>
        </w:rPr>
      </w:pPr>
    </w:p>
    <w:p>
      <w:pPr>
        <w:jc w:val="both"/>
        <w:ind w:left="200" w:right="260" w:firstLine="441"/>
        <w:spacing w:after="0" w:line="259"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effective tax rate was 14.8% for fiscal 2017, compared to 15.5% for fiscal 2016 and 13.1% for fiscal 2015.</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including the potential impact, which we are currently assessing, of the recent tax reform efforts in the United States.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Tax legislation in Guernsey subjects us to the standard rate of corporate income tax for a Guernsey resident company of zero percent.</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Indian Tax Considerations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Through subsidiaries, we operate development centers and a business processing operations center in India. In 2017, the corporate tax rate applicable in India on trading activities was 34.6%. Our subsidiary in India operates under specific favorable tax entitlements that are based upon pre-approved information technology related services activity. As a result, these activities are entitled to considerable corporate income tax exemptions on eligible profits from export of services derived from such pre-approved information technology activity, provided our subsidiary continues to meet the conditions required for such tax benefits.</w:t>
      </w:r>
    </w:p>
    <w:p>
      <w:pPr>
        <w:spacing w:after="0" w:line="188"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During the year 2016-17 our main subsidiary in India changed its corporate legal structure from a private limited company (PLC) to a limited liability partnership (LLP) through conversion by process of law effective 28th Feb 2017. Thereafter, all rights and liabilities of the PLC under agreements are vested in the LLP by operation of law.</w:t>
      </w:r>
    </w:p>
    <w:p>
      <w:pPr>
        <w:spacing w:after="0" w:line="181"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As of April 1, 2011, the Minimum Alternative Tax, or MAT, became applicable to all of our PLC Indian operations. The MAT is levied on book profits at the effective rate of 20% and can be carried forward for 10 years to be credited against corporate income taxes. As for the LLP, as a result of the conversion certain accumulated tax credits will not be available to be set off against future income of the LLP, however, for LLP the AMT provisions are applicable such that LLPs are subject to AMT at a rate of 21.34% on adjusted total income (Income as computed under the normal provisions, increased by prescribed adjustments) if tax on income under normal provisions is lower than the AMT, and can be carried forward for 10 years.</w:t>
      </w:r>
    </w:p>
    <w:p>
      <w:pPr>
        <w:spacing w:after="0" w:line="19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main Indian subsidiary is subject to a separate tax entitlement under which its operating units are exempt from tax on the respective tax incentive-eligible activity for the first five years of operations and enjoys a 50% reduction on its corporate income tax for such activity for the following five years.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Israeli Tax Considerations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i w:val="1"/>
          <w:iCs w:val="1"/>
          <w:color w:val="auto"/>
        </w:rPr>
        <w:t xml:space="preserve">General Corporate Taxation in Israel. </w:t>
      </w:r>
      <w:r>
        <w:rPr>
          <w:rFonts w:ascii="Arial" w:cs="Arial" w:eastAsia="Arial" w:hAnsi="Arial"/>
          <w:sz w:val="18"/>
          <w:szCs w:val="18"/>
          <w:color w:val="auto"/>
        </w:rPr>
        <w:t>The general corporate tax rate on taxable income is 24% (reduced from 25% to 24% with effect as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2017). The corporate tax rate will be further reduced to 23% as of January 1, 2018. However, the effective tax rate applicable to the taxable income of an Israeli company that is eligible for tax benefits by virtue of the Law for the Encouragement of Capital Investments may be considerably lower.</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granted “Approved Enterprise” status pursuant to the Law for the Encouragement of Capital Investments, 1959, or the Investment Law, which provides certain tax and financial benefits to investment programs that have been granted such status.</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general, investment programs of our primary Israeli subsidiary that have obtained instruments of approval for an Approved Enterprise issued by the Israeli Investment Center prior to the change in legislation in 2005 continue to be subject to the old provisions of the Investment Law as described below. In addition, our primary Israeli subsidiary made several expansions to its Approved Enterprise under the terms of the Investment Law of 2005.</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Benefits.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Our primary Israeli subsidiary has elected the alternative benefits’ route with respect to its existing Approved Enterprise and its expansions, pursuant to which it enjoys, in relation to its Approved Enterprise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operations, certain tax holidays, based on the location of activities within Israel, for a period of two to ten years and, in the case of a two year tax holiday, reduced tax rates for an additional period of up to eight years (and, in certain cases, up to 13 years). In case it pays a dividend, at any time, out of income generated during the tax holiday period in respect of its Approved Enterprise, it will be subject to corporate tax at the otherwise applicable rate of 10% of the income from which such dividend has been paid. This tax is in addition to the withholding tax on dividends as described below. The tax benefits, available with respect to an Approved Enterprise only to taxable income attributable to that specific enterprise, are provided according to an allocation formula set forth in the Investment Law or in the relevant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18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paid out of income derived by an Approved Enterprise are subject to withholding tax at a reduced rate (15%,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general rate of 30%). If a dividend is paid by our primary Israeli subsidiary, such dividend may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earnings generated during the tax holiday period related to its Approved Enterprise status.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recent years changes were introduced to the Investment Law, specifically a major amendment of the Investment Law in 2011 and 2017.</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2011 amendment (“Preferred Enterprise”)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Among other things, these changes include a prospective termination of all tax incentives available under the law prior to the amendment. The amendment to the Investment Law also introduced a new concept of “Preferred Enterprise.” However, under the transition rules, with respect to the applicability of the provisions of the Investment Law as amended in 2011, benefits granted pursuant to incentive programs commenced prior to 2011 would continue to apply until their expiration, unless the company affirmatively elects to apply the regime provided pursuant to the amended Investment Law. Our primary Israeli subsidiary has not yet made such election.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2017 amendment (“Preferred Technological Enterprises”)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Amendment 73 to the Investment Law, which came into effect January 1, 2017, stipulates that regulations are to be promulgated by no later than March 31, 2017, so as to implement the “Nexus Principles,” based on OECD guidelines recently published as part of the Base Erosion and Profit Shifting (BEPS) project.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new incentives regime will apply to “Preferred Technological Enterprises” that meet certain conditions.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corporate tax rate for Special Preferred Technological Enterprise (companies which are part of a group with annual consolidated revenue in excess of NIS 10 billion - approximately US$2.7 billion at current exchange rates -) will be 6%. The reduced tax rate shall apply only with respect to the revenue attributable to the portion of intellectual property developed in Israel.</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withholding tax on dividends paid to a foreign parent company holding at least 90% of the shares of the distributing company out of earnings that are eligible for the reduced corporate tax rate (in our case, 6%) will be 4%. For other dividend distributions out of earnings of a Preferred Technological Enterprise, the withholding tax rate will be 20% (or a lower rate under a tax treaty, if applicable)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regulations concerning the nexus approach were enacted in 2017.</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2017, our primary Israeli subsidiary continues to apply the benefits under the terms of the law as provided prior to the 2011 amendment. We are evaluating the potential benefits of applying the 2011 and 2017 amendments.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 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such holder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8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discussion describes material U.S. federal income tax consequences to a U.S. holder of the ownership or disposition of our ordinary shares. A U.S. holder is a beneficial owner of our ordinary shares that is:</w:t>
      </w:r>
    </w:p>
    <w:p>
      <w:pPr>
        <w:spacing w:after="0" w:line="62" w:lineRule="exact"/>
        <w:rPr>
          <w:sz w:val="20"/>
          <w:szCs w:val="20"/>
          <w:color w:val="auto"/>
        </w:rPr>
      </w:pPr>
    </w:p>
    <w:p>
      <w:pPr>
        <w:ind w:left="1280" w:hanging="212"/>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340" w:hanging="272"/>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117" w:lineRule="exact"/>
        <w:rPr>
          <w:rFonts w:ascii="Arial" w:cs="Arial" w:eastAsia="Arial" w:hAnsi="Arial"/>
          <w:sz w:val="18"/>
          <w:szCs w:val="18"/>
          <w:color w:val="auto"/>
        </w:rPr>
      </w:pPr>
    </w:p>
    <w:p>
      <w:pPr>
        <w:ind w:left="1380" w:hanging="312"/>
        <w:spacing w:after="0"/>
        <w:tabs>
          <w:tab w:leader="none" w:pos="1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28" w:lineRule="exact"/>
        <w:rPr>
          <w:rFonts w:ascii="Arial" w:cs="Arial" w:eastAsia="Arial" w:hAnsi="Arial"/>
          <w:sz w:val="17"/>
          <w:szCs w:val="17"/>
          <w:color w:val="auto"/>
        </w:rPr>
      </w:pPr>
    </w:p>
    <w:p>
      <w:pPr>
        <w:ind w:left="640" w:right="280" w:firstLine="428"/>
        <w:spacing w:after="0" w:line="277" w:lineRule="auto"/>
        <w:tabs>
          <w:tab w:leader="none" w:pos="13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(including potential application of the alternative minimum tax), U.S. federal income tax consequences to certain U.S. holders that are subject to special treatment (such as broker-dealers, insurance companies, tax-exempt organizations, financial institutions, U.S. holders that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hold ordinary shares as part of a “straddle,” “hedge” or “conversion transaction” with other investments, U.S. holders that hold ordinary shares in connection with a trade or business outside the United States,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alternative minimum or Medicare contribution tax consequences.</w:t>
      </w:r>
    </w:p>
    <w:p>
      <w:pPr>
        <w:spacing w:after="0" w:line="18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“–Passive Foreign Investment Company Considerations” below, this discussion assumes that we are not and have not been a passive foreign investment company (a “PFIC”) for any taxable year.</w:t>
      </w:r>
    </w:p>
    <w:p>
      <w:pPr>
        <w:spacing w:after="0" w:line="15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6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Dividends paid by us generally will be foreign source “passive category income” or, in certain cases, “general category income” for U.S. foreign tax credit purposes, which may be relevant in calculating a U.S. holder’s foreign tax credit limitation.</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Disposition of Ordinary Shares. </w:t>
      </w:r>
      <w:r>
        <w:rPr>
          <w:rFonts w:ascii="Arial" w:cs="Arial" w:eastAsia="Arial" w:hAnsi="Arial"/>
          <w:sz w:val="16"/>
          <w:szCs w:val="16"/>
          <w:color w:val="auto"/>
        </w:rPr>
        <w:t>Subject to the PFIC rules described below, upon the sale, exchange or other disposition of our ordinary shares, a</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w:t>
      </w:r>
    </w:p>
    <w:p>
      <w:pPr>
        <w:spacing w:after="0" w:line="16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If, for any taxable year, 75% or more of our gross income consists of certain 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passive income, or the average quarterly value during a taxable year of our passive assets (generally assets that generate passive income) is 50% or more of the value of all of our assets (including goodwill) for such year, we will be treated as a PFIC for such year. If we are treated as a PFIC for any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taxable year 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believe that we were not a PFIC for our taxable year ended September 30, 2017.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PFIC status.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addition, if we were a PFIC for any taxable year in which we make a distribution or the preceding taxable year, the preferential rules 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“qualified dividend income” described above would not apply. If a U.S. holder owns ordinary shares during any year in which we are a PFIC, the 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 generally must file annual reports to the IRS.</w:t>
      </w:r>
    </w:p>
    <w:p>
      <w:pPr>
        <w:spacing w:after="0" w:line="21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U.S. holders generally will be subject to information reporting requirements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that are paid within the United States or through U.S.-related financial intermediaries, as well as with respect to gross proceeds from disposition of our ordinary shares, unless the U.S. holder is an “exempt recipient.” U.S. holders may also be subject to backup withholding (currently at a 28%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Certain U.S. holders who are individuals or entities closely-held by individuals are required to report information with respect to their investment in our ordinary shares not held through a custodial account with a U.S. financial institution to the IRS. In general a U.S. holder holding specified “foreign financial assets” (which generally would include our ordinary shares or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Some of this information may also be found on our website at </w:t>
      </w:r>
      <w:r>
        <w:rPr>
          <w:rFonts w:ascii="Arial" w:cs="Arial" w:eastAsia="Arial" w:hAnsi="Arial"/>
          <w:sz w:val="16"/>
          <w:szCs w:val="16"/>
          <w:i w:val="1"/>
          <w:iCs w:val="1"/>
          <w:color w:val="auto"/>
        </w:rPr>
        <w:t>www.amdocs.com.</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314-212-8328</w:t>
      </w: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60"/>
        <w:spacing w:after="0" w:line="378"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jc w:val="both"/>
        <w:ind w:left="200" w:right="140" w:firstLine="441"/>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fiscal year 2017, approximately 70% to 80% of our revenue and approximately 50% to 60% of our operating expenses were in U.S. dollars or linked to the U.S. dollar.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Canadian dollars, euros and Australian dollars, and anticipated costs to be incurred in a foreign currency, primarily Israeli shekels, Indian rupees and British pounds. We also use such contracts to hedge the net impact of the variability in exchange rates on certain balance sheet items such as accounts receivable and employee related accruals denominated primarily in Israeli shekels, Canadian dollars, euros and Australian dollars.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16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2017. Notional values are in U.S. dollars and are translated and calculated based on forward rates as of September 30, 2017, for forward contracts, and based on spot rates as of September 30, 2017 for options.</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Notional Value*</w:t>
            </w:r>
          </w:p>
        </w:tc>
        <w:tc>
          <w:tcPr>
            <w:tcW w:w="1840" w:type="dxa"/>
            <w:vAlign w:val="bottom"/>
            <w:gridSpan w:val="4"/>
          </w:tcPr>
          <w:p>
            <w:pPr>
              <w:ind w:left="980"/>
              <w:spacing w:after="0"/>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 (in millions)</w:t>
            </w:r>
          </w:p>
        </w:tc>
        <w:tc>
          <w:tcPr>
            <w:tcW w:w="1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00" w:hanging="436"/>
        <w:spacing w:after="0" w:line="27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interest expenses and income are sensitive to changes in interest rates, as all of our cash deposits and some of our borrowings, are subject to interest rate changes. Our short-term interest-bearing investments are invested in short-term conservative debt instruments, primarily U.S. dollar-denominated, and consist mainly of bank deposits, money market funds, U.S. government treasuries, corporate bonds and U.S. agency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2017,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2017, which is included herein.</w:t>
      </w:r>
    </w:p>
    <w:p>
      <w:pPr>
        <w:spacing w:after="0" w:line="18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year ended September 30, 2017 that has materially affected, or is reasonably likely to materially affect, our internal control over financial reporting.</w:t>
      </w:r>
    </w:p>
    <w:p>
      <w:pPr>
        <w:spacing w:after="0" w:line="18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121"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81" w:lineRule="exact"/>
        <w:rPr>
          <w:sz w:val="20"/>
          <w:szCs w:val="20"/>
          <w:color w:val="auto"/>
        </w:rPr>
      </w:pPr>
    </w:p>
    <w:p>
      <w:pPr>
        <w:jc w:val="both"/>
        <w:ind w:left="200" w:right="100" w:firstLine="441"/>
        <w:spacing w:after="0" w:line="277"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314-212-8328</w:t>
      </w:r>
    </w:p>
    <w:p>
      <w:pPr>
        <w:spacing w:after="0" w:line="21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Ernst &amp; Young billed us approximately $3.6 million for audit services for fiscal 2017, including fees associated with the annual audit and reviews of our quarterly financial results submitted on Form 6-K, consultations on various accounting issues and performance of local statutory audits. Ernst &amp; Young billed us approximately $3.2 million for audit services for fiscal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Ernst &amp; Young billed us approximately $1.2 million for audit-related services for fiscal 2017. Audit-related services principally include SSAE 16 report issuances and due diligence examinations. Ernst &amp; Young billed us approximately $1.2 million for audit-related services for fiscal 2016.</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Ernst &amp; Young billed us approximately $1.7 million for tax advice, including fees associated with tax compliance, tax advice and tax planning services for fiscal 2017. Ernst &amp; Young billed us approximately $1.6 million for tax advice in fiscal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All Other Fees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2017 or fiscal 2016.</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2017, our Audit Committee approved all of the services provided by Ernst &amp; Young.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2017 of equity securities that are registered by us pursuant to Section 12 of the Exchange 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ind w:right="94"/>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gridSpan w:val="2"/>
          </w:tcPr>
          <w:p>
            <w:pPr>
              <w:jc w:val="center"/>
              <w:ind w:left="651"/>
              <w:spacing w:after="0"/>
              <w:rPr>
                <w:sz w:val="20"/>
                <w:szCs w:val="20"/>
                <w:color w:val="auto"/>
              </w:rPr>
            </w:pPr>
            <w:r>
              <w:rPr>
                <w:rFonts w:ascii="Arial" w:cs="Arial" w:eastAsia="Arial" w:hAnsi="Arial"/>
                <w:sz w:val="14"/>
                <w:szCs w:val="14"/>
                <w:b w:val="1"/>
                <w:bCs w:val="1"/>
                <w:color w:val="auto"/>
                <w:w w:val="90"/>
              </w:rPr>
              <w:t>Purchased as Part</w:t>
            </w:r>
          </w:p>
        </w:tc>
        <w:tc>
          <w:tcPr>
            <w:tcW w:w="760" w:type="dxa"/>
            <w:vAlign w:val="bottom"/>
          </w:tcPr>
          <w:p>
            <w:pPr>
              <w:spacing w:after="0"/>
              <w:rPr>
                <w:sz w:val="24"/>
                <w:szCs w:val="2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gridSpan w:val="2"/>
          </w:tcPr>
          <w:p>
            <w:pPr>
              <w:jc w:val="center"/>
              <w:ind w:left="1111"/>
              <w:spacing w:after="0"/>
              <w:rPr>
                <w:sz w:val="20"/>
                <w:szCs w:val="20"/>
                <w:color w:val="auto"/>
              </w:rPr>
            </w:pPr>
            <w:r>
              <w:rPr>
                <w:rFonts w:ascii="Arial" w:cs="Arial" w:eastAsia="Arial" w:hAnsi="Arial"/>
                <w:sz w:val="14"/>
                <w:szCs w:val="14"/>
                <w:b w:val="1"/>
                <w:bCs w:val="1"/>
                <w:color w:val="auto"/>
                <w:w w:val="94"/>
              </w:rPr>
              <w:t>Total Number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(b)</w:t>
            </w:r>
          </w:p>
        </w:tc>
        <w:tc>
          <w:tcPr>
            <w:tcW w:w="7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of Publicly</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Average Price</w:t>
            </w:r>
          </w:p>
        </w:tc>
        <w:tc>
          <w:tcPr>
            <w:tcW w:w="7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Announced Plans</w:t>
            </w:r>
          </w:p>
        </w:tc>
        <w:tc>
          <w:tcPr>
            <w:tcW w:w="26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May Yet Be Purchased Under</w:t>
            </w:r>
          </w:p>
        </w:tc>
        <w:tc>
          <w:tcPr>
            <w:tcW w:w="0" w:type="dxa"/>
            <w:vAlign w:val="bottom"/>
          </w:tcPr>
          <w:p>
            <w:pPr>
              <w:spacing w:after="0"/>
              <w:rPr>
                <w:sz w:val="1"/>
                <w:szCs w:val="1"/>
                <w:color w:val="auto"/>
              </w:rPr>
            </w:pPr>
          </w:p>
        </w:tc>
      </w:tr>
      <w:tr>
        <w:trPr>
          <w:trHeight w:val="282"/>
        </w:trPr>
        <w:tc>
          <w:tcPr>
            <w:tcW w:w="244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860" w:type="dxa"/>
            <w:vAlign w:val="bottom"/>
            <w:gridSpan w:val="3"/>
          </w:tcPr>
          <w:p>
            <w:pPr>
              <w:ind w:left="760"/>
              <w:spacing w:after="0"/>
              <w:rPr>
                <w:sz w:val="20"/>
                <w:szCs w:val="20"/>
                <w:color w:val="auto"/>
              </w:rPr>
            </w:pPr>
            <w:r>
              <w:rPr>
                <w:rFonts w:ascii="Arial" w:cs="Arial" w:eastAsia="Arial" w:hAnsi="Arial"/>
                <w:sz w:val="14"/>
                <w:szCs w:val="14"/>
                <w:b w:val="1"/>
                <w:bCs w:val="1"/>
                <w:color w:val="auto"/>
                <w:w w:val="93"/>
              </w:rPr>
              <w:t>Paid per Share(1)</w:t>
            </w:r>
          </w:p>
        </w:tc>
        <w:tc>
          <w:tcPr>
            <w:tcW w:w="7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the Plans 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10/1/16-10/31/16</w:t>
            </w:r>
          </w:p>
        </w:tc>
        <w:tc>
          <w:tcPr>
            <w:tcW w:w="12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356,211</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7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356,211</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575,774,838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11/1/16-11/30/16</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600,881</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58.58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600,881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540,575,751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12/1/16-12/31/16</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402,025</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516,575,781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01/1/17-01/31/17</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442,636</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442,636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490,576,418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02/1/17-02/28/17</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416,928</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416,928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465,877,025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03/1/17-03/31/17</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475,806</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61.57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475,806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436,582,566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04/1/17-04/30/17</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311,055</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417,599,158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05/1/17-05/31/17</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507,558</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507,558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385,628,370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06/1/17-06/30/17</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600,363</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600,363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346,604,942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07/1/17-07/31/17</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307,454</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65.05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307,454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326,605,417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08/1/17-08/31/17</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634,799</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634,799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285,861,448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09/1/17-09/30/17</w:t>
            </w:r>
          </w:p>
        </w:tc>
        <w:tc>
          <w:tcPr>
            <w:tcW w:w="1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463,429</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63.87</w:t>
            </w:r>
          </w:p>
        </w:tc>
        <w:tc>
          <w:tcPr>
            <w:tcW w:w="7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256,260,557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5,519,145</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5,519,145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256,260,557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640" w:right="360" w:hanging="436"/>
        <w:spacing w:after="0" w:line="273"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February 2, 2016, our Board of Directors adopted a share repurchase plan authorizing the repurchase of up to $750.0 million of our outstanding ordinary shares and on November 8, 2017,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that we consider appropriate.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Nasdaq listing standards. For further information regarding our corporate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governance practices, please refer to our Notice and Proxy Statement to be mailed to our shareholders in December 2017, and to our website at www.amdocs.com.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Statements And Schedule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Financial Statements and Financial Statement Schedule of Amdocs Limited, with respect to financial results for the fiscal years ended September 30, 2017, 2016 and 2015, are included at the end of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as of September 30, 2017 and 2016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Income for the fiscal years ended September 30, 2017, 2016 and 2015</w:t>
      </w:r>
    </w:p>
    <w:p>
      <w:pPr>
        <w:spacing w:after="0" w:line="9" w:lineRule="exact"/>
        <w:rPr>
          <w:sz w:val="20"/>
          <w:szCs w:val="20"/>
          <w:color w:val="auto"/>
        </w:rPr>
      </w:pPr>
    </w:p>
    <w:p>
      <w:pPr>
        <w:ind w:left="660" w:right="1980"/>
        <w:spacing w:after="0" w:line="255" w:lineRule="auto"/>
        <w:rPr>
          <w:sz w:val="20"/>
          <w:szCs w:val="20"/>
          <w:color w:val="auto"/>
        </w:rPr>
      </w:pPr>
      <w:r>
        <w:rPr>
          <w:rFonts w:ascii="Arial" w:cs="Arial" w:eastAsia="Arial" w:hAnsi="Arial"/>
          <w:sz w:val="18"/>
          <w:szCs w:val="18"/>
          <w:color w:val="auto"/>
        </w:rPr>
        <w:t>Consolidated Statements of Comprehensive Income for the fiscal years ended September 30, 2017, 2016 and 2015 Consolidated Statements of Cash Flows for the fiscal years ended September 30, 2017, 2016 and 2015 Notes to Consolidated Financial Statements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Qualifying Accounts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exhibits listed hereof are filed herewith in response to this Item.</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80"/>
          </w:cols>
          <w:pgMar w:left="240" w:top="459" w:right="77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24"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5080</wp:posOffset>
            </wp:positionV>
            <wp:extent cx="2832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Amended and Restated Memorandum of Incorporation of Amdocs Limited (incorporated by reference to Exhibits 99.1 to Amdocs’</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Form 6-K filed January 27, 2009)</w:t>
        </w:r>
      </w:hyperlink>
    </w:p>
    <w:p>
      <w:pPr>
        <w:spacing w:after="0" w:line="45" w:lineRule="exact"/>
        <w:rPr>
          <w:sz w:val="20"/>
          <w:szCs w:val="20"/>
          <w:color w:val="auto"/>
        </w:rPr>
      </w:pPr>
    </w:p>
    <w:p>
      <w:pPr>
        <w:sectPr>
          <w:pgSz w:w="11900" w:h="16838" w:orient="portrait"/>
          <w:cols w:equalWidth="0" w:num="2">
            <w:col w:w="820" w:space="700"/>
            <w:col w:w="9680"/>
          </w:cols>
          <w:pgMar w:left="240" w:top="459" w:right="459" w:bottom="1440" w:gutter="0" w:footer="0" w:header="0"/>
          <w:type w:val="continuous"/>
        </w:sectPr>
      </w:pPr>
    </w:p>
    <w:tbl>
      <w:tblPr>
        <w:tblLayout w:type="fixed"/>
        <w:tblInd w:w="38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1.2</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Amended and Restated Articles of Incorporation of Amdocs Limited (incorporated by reference to Exhibit 1.2 to Amdocs’ Annual</w:t>
              </w:r>
            </w:hyperlink>
          </w:p>
        </w:tc>
        <w:tc>
          <w:tcPr>
            <w:tcW w:w="2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3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Report on Form 20-F, filed December 7, 2010)</w:t>
              </w:r>
            </w:hyperlink>
          </w:p>
        </w:tc>
        <w:tc>
          <w:tcPr>
            <w:tcW w:w="6300" w:type="dxa"/>
            <w:vAlign w:val="bottom"/>
            <w:gridSpan w:val="1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4.b.1†</w:t>
            </w:r>
          </w:p>
        </w:tc>
        <w:tc>
          <w:tcPr>
            <w:tcW w:w="9680" w:type="dxa"/>
            <w:vAlign w:val="bottom"/>
            <w:gridSpan w:val="16"/>
          </w:tcPr>
          <w:p>
            <w:pPr>
              <w:spacing w:after="0"/>
              <w:rPr>
                <w:rFonts w:ascii="Arial" w:cs="Arial" w:eastAsia="Arial" w:hAnsi="Arial"/>
                <w:sz w:val="18"/>
                <w:szCs w:val="18"/>
                <w:color w:val="0000EE"/>
                <w:w w:val="98"/>
              </w:rPr>
            </w:pPr>
            <w:hyperlink r:id="rId96">
              <w:r>
                <w:rPr>
                  <w:rFonts w:ascii="Arial" w:cs="Arial" w:eastAsia="Arial" w:hAnsi="Arial"/>
                  <w:sz w:val="18"/>
                  <w:szCs w:val="18"/>
                  <w:color w:val="0000EE"/>
                  <w:w w:val="98"/>
                </w:rPr>
                <w:t>Agreement between Amdocs, Inc. and SBC Services, Inc. for Software and Professional Services, effective August 7, 2003</w:t>
              </w:r>
            </w:hyperlink>
          </w:p>
        </w:tc>
      </w:tr>
      <w:tr>
        <w:trPr>
          <w:trHeight w:val="20"/>
        </w:trPr>
        <w:tc>
          <w:tcPr>
            <w:tcW w:w="11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(incorporated by reference to Exhibit 99.3 to Amdocs’ Amendment No. 1 to Registration Statement on Form F-3, dated September</w:t>
              </w:r>
            </w:hyperlink>
          </w:p>
        </w:tc>
        <w:tc>
          <w:tcPr>
            <w:tcW w:w="2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21, 2004, Registration No. 333-114344)</w:t>
              </w:r>
            </w:hyperlink>
          </w:p>
        </w:tc>
      </w:tr>
      <w:tr>
        <w:trPr>
          <w:trHeight w:val="20"/>
        </w:trPr>
        <w:tc>
          <w:tcPr>
            <w:tcW w:w="11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4.b.2†</w:t>
            </w:r>
          </w:p>
        </w:tc>
        <w:tc>
          <w:tcPr>
            <w:tcW w:w="9400" w:type="dxa"/>
            <w:vAlign w:val="bottom"/>
            <w:tcBorders>
              <w:bottom w:val="single" w:sz="8" w:color="0000EE"/>
            </w:tcBorders>
            <w:gridSpan w:val="11"/>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Amendments Nos. 1-33 to Agreement between the Company and AT&amp;T Services, Inc. (f/k/a SBC Services, Inc.) for Software and</w:t>
              </w:r>
            </w:hyperlink>
          </w:p>
        </w:tc>
        <w:tc>
          <w:tcPr>
            <w:tcW w:w="28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Professional Services effective August 7, 2003 (incorporated by reference to Exhibit 4.b.3 to Amdocs’ Annual Report on Form 20-F,</w:t>
              </w:r>
            </w:hyperlink>
          </w:p>
        </w:tc>
      </w:tr>
      <w:tr>
        <w:trPr>
          <w:trHeight w:val="196"/>
        </w:trPr>
        <w:tc>
          <w:tcPr>
            <w:tcW w:w="1140" w:type="dxa"/>
            <w:vAlign w:val="bottom"/>
          </w:tcPr>
          <w:p>
            <w:pPr>
              <w:spacing w:after="0"/>
              <w:rPr>
                <w:sz w:val="17"/>
                <w:szCs w:val="17"/>
                <w:color w:val="auto"/>
              </w:rPr>
            </w:pPr>
          </w:p>
        </w:tc>
        <w:tc>
          <w:tcPr>
            <w:tcW w:w="9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filed December 8, 2014)</w:t>
              </w:r>
            </w:hyperlink>
          </w:p>
        </w:tc>
        <w:tc>
          <w:tcPr>
            <w:tcW w:w="12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4.b.3†</w:t>
            </w:r>
          </w:p>
        </w:tc>
        <w:tc>
          <w:tcPr>
            <w:tcW w:w="9680" w:type="dxa"/>
            <w:vAlign w:val="bottom"/>
            <w:gridSpan w:val="16"/>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Amendments Nos. 34-39 to Agreement between the Company and AT&amp;T Services, Inc. (f/k/a SBC Services, Inc.) for Software and</w:t>
              </w:r>
            </w:hyperlink>
          </w:p>
        </w:tc>
      </w:tr>
      <w:tr>
        <w:trPr>
          <w:trHeight w:val="20"/>
        </w:trPr>
        <w:tc>
          <w:tcPr>
            <w:tcW w:w="114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Professional Services effective August 7, 2003 (incorporated by reference to Exhibit 4.b.2 to Amdocs’ Annual Report on Form 20-F,</w:t>
              </w:r>
            </w:hyperlink>
          </w:p>
        </w:tc>
      </w:tr>
      <w:tr>
        <w:trPr>
          <w:trHeight w:val="196"/>
        </w:trPr>
        <w:tc>
          <w:tcPr>
            <w:tcW w:w="11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filed December 10, 2015)</w:t>
              </w:r>
            </w:hyperlink>
          </w:p>
        </w:tc>
        <w:tc>
          <w:tcPr>
            <w:tcW w:w="7700" w:type="dxa"/>
            <w:vAlign w:val="bottom"/>
            <w:tcBorders>
              <w:top w:val="single" w:sz="8" w:color="0000EE"/>
            </w:tcBorders>
            <w:gridSpan w:val="12"/>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4.b.4</w:t>
            </w:r>
          </w:p>
        </w:tc>
        <w:tc>
          <w:tcPr>
            <w:tcW w:w="9680" w:type="dxa"/>
            <w:vAlign w:val="bottom"/>
            <w:gridSpan w:val="16"/>
          </w:tcPr>
          <w:p>
            <w:pPr>
              <w:spacing w:after="0"/>
              <w:rPr>
                <w:rFonts w:ascii="Arial" w:cs="Arial" w:eastAsia="Arial" w:hAnsi="Arial"/>
                <w:sz w:val="18"/>
                <w:szCs w:val="18"/>
                <w:color w:val="0000EE"/>
                <w:w w:val="93"/>
              </w:rPr>
            </w:pPr>
            <w:hyperlink r:id="rId99">
              <w:r>
                <w:rPr>
                  <w:rFonts w:ascii="Arial" w:cs="Arial" w:eastAsia="Arial" w:hAnsi="Arial"/>
                  <w:sz w:val="18"/>
                  <w:szCs w:val="18"/>
                  <w:color w:val="0000EE"/>
                  <w:w w:val="93"/>
                </w:rPr>
                <w:t>Amended and Restated Credit Agreement, dated as of December 12, 2014, among Amdocs Limited, certain of its subsidiaries, the</w:t>
              </w:r>
            </w:hyperlink>
          </w:p>
        </w:tc>
      </w:tr>
      <w:tr>
        <w:trPr>
          <w:trHeight w:val="20"/>
        </w:trPr>
        <w:tc>
          <w:tcPr>
            <w:tcW w:w="1140" w:type="dxa"/>
            <w:vAlign w:val="bottom"/>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6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lenders from time to time party thereto, JPMorgan Chase Bank, N.A., as administrative agent, J.P. Morgan Europe Limited, as London</w:t>
              </w:r>
            </w:hyperlink>
          </w:p>
        </w:tc>
      </w:tr>
      <w:tr>
        <w:trPr>
          <w:trHeight w:val="196"/>
        </w:trPr>
        <w:tc>
          <w:tcPr>
            <w:tcW w:w="114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agent, and JPMorgan Chase Bank, N.A., Toronto branch, as Canadian agent (incorporated by reference to Exhibit 99.1 to Amdocs’</w:t>
              </w:r>
            </w:hyperlink>
          </w:p>
        </w:tc>
        <w:tc>
          <w:tcPr>
            <w:tcW w:w="2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Report of Foreign Private Issuer on Form 6-K dated December 12, 2014)</w:t>
              </w:r>
            </w:hyperlink>
          </w:p>
        </w:tc>
      </w:tr>
      <w:tr>
        <w:trPr>
          <w:trHeight w:val="20"/>
        </w:trPr>
        <w:tc>
          <w:tcPr>
            <w:tcW w:w="1140" w:type="dxa"/>
            <w:vAlign w:val="bottom"/>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4.b.5</w:t>
            </w:r>
          </w:p>
        </w:tc>
        <w:tc>
          <w:tcPr>
            <w:tcW w:w="9680" w:type="dxa"/>
            <w:vAlign w:val="bottom"/>
            <w:gridSpan w:val="16"/>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Amendments Nos. 40-49 to Agreement between the Company and AT&amp;T Services, Inc. (f/k/a SBC Services, Inc.) for Software and</w:t>
              </w:r>
            </w:hyperlink>
          </w:p>
        </w:tc>
      </w:tr>
      <w:tr>
        <w:trPr>
          <w:trHeight w:val="20"/>
        </w:trPr>
        <w:tc>
          <w:tcPr>
            <w:tcW w:w="1140" w:type="dxa"/>
            <w:vAlign w:val="bottom"/>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Professional Services effective August 7, 2003 (incorporated by reference to Exhibit 4.b.5 to Amdocs’ Annual Report on Form 20-F,</w:t>
              </w:r>
            </w:hyperlink>
          </w:p>
        </w:tc>
      </w:tr>
      <w:tr>
        <w:trPr>
          <w:trHeight w:val="196"/>
        </w:trPr>
        <w:tc>
          <w:tcPr>
            <w:tcW w:w="11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filed December 12, 2016)</w:t>
              </w:r>
            </w:hyperlink>
          </w:p>
        </w:tc>
        <w:tc>
          <w:tcPr>
            <w:tcW w:w="7700" w:type="dxa"/>
            <w:vAlign w:val="bottom"/>
            <w:tcBorders>
              <w:top w:val="single" w:sz="8" w:color="0000EE"/>
            </w:tcBorders>
            <w:gridSpan w:val="12"/>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4.b.6†</w:t>
            </w:r>
          </w:p>
        </w:tc>
        <w:tc>
          <w:tcPr>
            <w:tcW w:w="90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Agreement between Amdocs, Inc. and AT&amp;T Services, Inc. for Software and Professional Services, effective March 31, 2017</w:t>
            </w:r>
          </w:p>
        </w:tc>
        <w:tc>
          <w:tcPr>
            <w:tcW w:w="620" w:type="dxa"/>
            <w:vAlign w:val="bottom"/>
            <w:gridSpan w:val="7"/>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4.c.1</w:t>
            </w:r>
          </w:p>
        </w:tc>
        <w:tc>
          <w:tcPr>
            <w:tcW w:w="9680" w:type="dxa"/>
            <w:vAlign w:val="bottom"/>
            <w:gridSpan w:val="16"/>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Amdocs Limited 1998 Stock Option and Incentive Plan, as amended (incorporated by reference to Appendix C to Amdocs’ Report of</w:t>
              </w:r>
            </w:hyperlink>
          </w:p>
        </w:tc>
      </w:tr>
      <w:tr>
        <w:trPr>
          <w:trHeight w:val="196"/>
        </w:trPr>
        <w:tc>
          <w:tcPr>
            <w:tcW w:w="1140" w:type="dxa"/>
            <w:vAlign w:val="bottom"/>
          </w:tcPr>
          <w:p>
            <w:pPr>
              <w:spacing w:after="0"/>
              <w:rPr>
                <w:sz w:val="17"/>
                <w:szCs w:val="17"/>
                <w:color w:val="auto"/>
              </w:rPr>
            </w:pPr>
          </w:p>
        </w:tc>
        <w:tc>
          <w:tcPr>
            <w:tcW w:w="9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Foreign Private Issuer on Form 6-K filed December 22, 2011)</w:t>
              </w:r>
            </w:hyperlink>
          </w:p>
        </w:tc>
        <w:tc>
          <w:tcPr>
            <w:tcW w:w="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4.d</w:t>
            </w:r>
          </w:p>
        </w:tc>
        <w:tc>
          <w:tcPr>
            <w:tcW w:w="93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Amended and Restated Credit Agreement, dated as of December 11, 2017, among Amdocs Limited, certain of its subsidiaries, the</w:t>
            </w:r>
          </w:p>
        </w:tc>
        <w:tc>
          <w:tcPr>
            <w:tcW w:w="30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6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lenders from time to time party thereto, JPMorgan Chase Bank, N.A., as administrative agent, J.P. Morgan Europe Limited, as London</w:t>
            </w:r>
          </w:p>
        </w:tc>
      </w:tr>
      <w:tr>
        <w:trPr>
          <w:trHeight w:val="196"/>
        </w:trPr>
        <w:tc>
          <w:tcPr>
            <w:tcW w:w="1140" w:type="dxa"/>
            <w:vAlign w:val="bottom"/>
          </w:tcPr>
          <w:p>
            <w:pPr>
              <w:spacing w:after="0"/>
              <w:rPr>
                <w:sz w:val="17"/>
                <w:szCs w:val="17"/>
                <w:color w:val="auto"/>
              </w:rPr>
            </w:pPr>
          </w:p>
        </w:tc>
        <w:tc>
          <w:tcPr>
            <w:tcW w:w="54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agent, and JPMorgan Chase Bank, N.A., Toronto branch, as Canadian agent</w:t>
            </w:r>
          </w:p>
        </w:tc>
        <w:tc>
          <w:tcPr>
            <w:tcW w:w="4200" w:type="dxa"/>
            <w:vAlign w:val="bottom"/>
            <w:gridSpan w:val="9"/>
          </w:tcPr>
          <w:p>
            <w:pPr>
              <w:spacing w:after="0"/>
              <w:rPr>
                <w:sz w:val="17"/>
                <w:szCs w:val="17"/>
                <w:color w:val="auto"/>
              </w:rPr>
            </w:pPr>
          </w:p>
        </w:tc>
      </w:tr>
    </w:tbl>
    <w:p>
      <w:pPr>
        <w:spacing w:after="0" w:line="121" w:lineRule="exact"/>
        <w:rPr>
          <w:sz w:val="20"/>
          <w:szCs w:val="20"/>
          <w:color w:val="auto"/>
        </w:rPr>
      </w:pPr>
    </w:p>
    <w:p>
      <w:pPr>
        <w:ind w:left="1520" w:hanging="1136"/>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0000EE"/>
        </w:rPr>
        <w:t>Subsidiaries of Amdocs Limited</w:t>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220" w:type="dxa"/>
            <w:vAlign w:val="bottom"/>
          </w:tcPr>
          <w:p>
            <w:pPr>
              <w:jc w:val="right"/>
              <w:ind w:right="830"/>
              <w:spacing w:after="0"/>
              <w:rPr>
                <w:sz w:val="20"/>
                <w:szCs w:val="20"/>
                <w:color w:val="auto"/>
              </w:rPr>
            </w:pPr>
            <w:r>
              <w:rPr>
                <w:rFonts w:ascii="Arial" w:cs="Arial" w:eastAsia="Arial" w:hAnsi="Arial"/>
                <w:sz w:val="18"/>
                <w:szCs w:val="18"/>
                <w:color w:val="auto"/>
                <w:w w:val="79"/>
              </w:rPr>
              <w:t>12.1</w:t>
            </w:r>
          </w:p>
        </w:tc>
        <w:tc>
          <w:tcPr>
            <w:tcW w:w="56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Chief Executive Officer pursuant to Rule 13a-14(a)/15d-14(a)</w:t>
            </w:r>
          </w:p>
        </w:tc>
      </w:tr>
      <w:tr>
        <w:trPr>
          <w:trHeight w:val="304"/>
        </w:trPr>
        <w:tc>
          <w:tcPr>
            <w:tcW w:w="1220" w:type="dxa"/>
            <w:vAlign w:val="bottom"/>
          </w:tcPr>
          <w:p>
            <w:pPr>
              <w:jc w:val="right"/>
              <w:ind w:right="830"/>
              <w:spacing w:after="0"/>
              <w:rPr>
                <w:sz w:val="20"/>
                <w:szCs w:val="20"/>
                <w:color w:val="auto"/>
              </w:rPr>
            </w:pPr>
            <w:r>
              <w:rPr>
                <w:rFonts w:ascii="Arial" w:cs="Arial" w:eastAsia="Arial" w:hAnsi="Arial"/>
                <w:sz w:val="18"/>
                <w:szCs w:val="18"/>
                <w:color w:val="auto"/>
                <w:w w:val="79"/>
              </w:rPr>
              <w:t>12.2</w:t>
            </w:r>
          </w:p>
        </w:tc>
        <w:tc>
          <w:tcPr>
            <w:tcW w:w="55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Chief Financial Officer pursuant to Rule 13a-14(a)/15d-14(a)</w:t>
            </w:r>
          </w:p>
        </w:tc>
        <w:tc>
          <w:tcPr>
            <w:tcW w:w="40" w:type="dxa"/>
            <w:vAlign w:val="bottom"/>
          </w:tcPr>
          <w:p>
            <w:pPr>
              <w:spacing w:after="0"/>
              <w:rPr>
                <w:sz w:val="24"/>
                <w:szCs w:val="24"/>
                <w:color w:val="auto"/>
              </w:rPr>
            </w:pPr>
          </w:p>
        </w:tc>
      </w:tr>
      <w:tr>
        <w:trPr>
          <w:trHeight w:val="304"/>
        </w:trPr>
        <w:tc>
          <w:tcPr>
            <w:tcW w:w="1220" w:type="dxa"/>
            <w:vAlign w:val="bottom"/>
          </w:tcPr>
          <w:p>
            <w:pPr>
              <w:jc w:val="right"/>
              <w:ind w:right="830"/>
              <w:spacing w:after="0"/>
              <w:rPr>
                <w:sz w:val="20"/>
                <w:szCs w:val="20"/>
                <w:color w:val="auto"/>
              </w:rPr>
            </w:pPr>
            <w:r>
              <w:rPr>
                <w:rFonts w:ascii="Arial" w:cs="Arial" w:eastAsia="Arial" w:hAnsi="Arial"/>
                <w:sz w:val="18"/>
                <w:szCs w:val="18"/>
                <w:color w:val="auto"/>
                <w:w w:val="79"/>
              </w:rPr>
              <w:t>13.1</w:t>
            </w:r>
          </w:p>
        </w:tc>
        <w:tc>
          <w:tcPr>
            <w:tcW w:w="49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Chief Executive Officer pursuant to 18 U.S.C. 1350</w:t>
            </w:r>
          </w:p>
        </w:tc>
        <w:tc>
          <w:tcPr>
            <w:tcW w:w="720" w:type="dxa"/>
            <w:vAlign w:val="bottom"/>
            <w:gridSpan w:val="2"/>
          </w:tcPr>
          <w:p>
            <w:pPr>
              <w:spacing w:after="0"/>
              <w:rPr>
                <w:sz w:val="24"/>
                <w:szCs w:val="24"/>
                <w:color w:val="auto"/>
              </w:rPr>
            </w:pPr>
          </w:p>
        </w:tc>
      </w:tr>
      <w:tr>
        <w:trPr>
          <w:trHeight w:val="304"/>
        </w:trPr>
        <w:tc>
          <w:tcPr>
            <w:tcW w:w="1220" w:type="dxa"/>
            <w:vAlign w:val="bottom"/>
          </w:tcPr>
          <w:p>
            <w:pPr>
              <w:jc w:val="right"/>
              <w:ind w:right="830"/>
              <w:spacing w:after="0"/>
              <w:rPr>
                <w:sz w:val="20"/>
                <w:szCs w:val="20"/>
                <w:color w:val="auto"/>
              </w:rPr>
            </w:pPr>
            <w:r>
              <w:rPr>
                <w:rFonts w:ascii="Arial" w:cs="Arial" w:eastAsia="Arial" w:hAnsi="Arial"/>
                <w:sz w:val="18"/>
                <w:szCs w:val="18"/>
                <w:color w:val="auto"/>
                <w:w w:val="79"/>
              </w:rPr>
              <w:t>13.2</w:t>
            </w:r>
          </w:p>
        </w:tc>
        <w:tc>
          <w:tcPr>
            <w:tcW w:w="5620" w:type="dxa"/>
            <w:vAlign w:val="bottom"/>
            <w:gridSpan w:val="4"/>
          </w:tcPr>
          <w:p>
            <w:pPr>
              <w:spacing w:after="0"/>
              <w:rPr>
                <w:sz w:val="20"/>
                <w:szCs w:val="20"/>
                <w:color w:val="auto"/>
              </w:rPr>
            </w:pPr>
            <w:r>
              <w:rPr>
                <w:rFonts w:ascii="Arial" w:cs="Arial" w:eastAsia="Arial" w:hAnsi="Arial"/>
                <w:sz w:val="18"/>
                <w:szCs w:val="18"/>
                <w:color w:val="0000EE"/>
              </w:rPr>
              <w:t>Certification of Chief Financial Officer pursuant to 18 U.S.C. 1350</w:t>
            </w:r>
          </w:p>
        </w:tc>
      </w:tr>
      <w:tr>
        <w:trPr>
          <w:trHeight w:val="385"/>
        </w:trPr>
        <w:tc>
          <w:tcPr>
            <w:tcW w:w="1220" w:type="dxa"/>
            <w:vAlign w:val="bottom"/>
          </w:tcPr>
          <w:p>
            <w:pPr>
              <w:spacing w:after="0"/>
              <w:rPr>
                <w:sz w:val="24"/>
                <w:szCs w:val="24"/>
                <w:color w:val="auto"/>
              </w:rPr>
            </w:pPr>
          </w:p>
        </w:tc>
        <w:tc>
          <w:tcPr>
            <w:tcW w:w="4840" w:type="dxa"/>
            <w:vAlign w:val="bottom"/>
            <w:tcBorders>
              <w:top w:val="single" w:sz="8" w:color="0000EE"/>
            </w:tcBorders>
          </w:tcPr>
          <w:p>
            <w:pPr>
              <w:ind w:left="410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40"/>
          </w:cols>
          <w:pgMar w:left="240" w:top="459" w:right="619" w:bottom="1440" w:gutter="0" w:footer="0" w:header="0"/>
        </w:sectPr>
      </w:pPr>
    </w:p>
    <w:p>
      <w:pPr>
        <w:spacing w:after="0" w:line="324" w:lineRule="exact"/>
        <w:rPr>
          <w:sz w:val="20"/>
          <w:szCs w:val="20"/>
          <w:color w:val="auto"/>
        </w:rPr>
      </w:pPr>
    </w:p>
    <w:p>
      <w:pPr>
        <w:jc w:val="center"/>
        <w:ind w:left="2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2832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14.1</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649605</wp:posOffset>
            </wp:positionV>
            <wp:extent cx="694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46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Consent of Ernst &amp; Young LLP</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financial information from Amdocs Limited’s Annual Report on Form 20-F for the year ended September 30, 2017, formatted in Extensible Business Reporting Language (XBRL): (i) Consolidated Balance Sheets as of September 30, 2017 and 2016, (ii) Consolidated Statements of Income for the years ended September 30, 2017, 2016 and 2015, (iii) Consolidated Statements of Comprehensive Income for the years ended September 30, 2017, 2016 and 2015, (iv) the Consolidated Statements of Cash Flows for the years ended September 30, 2017, 2016 and 2015, and (iv) Notes to Consolidated Financial Statements</w:t>
      </w:r>
    </w:p>
    <w:p>
      <w:pPr>
        <w:spacing w:after="0" w:line="146" w:lineRule="exact"/>
        <w:rPr>
          <w:sz w:val="20"/>
          <w:szCs w:val="20"/>
          <w:color w:val="auto"/>
        </w:rPr>
      </w:pPr>
    </w:p>
    <w:p>
      <w:pPr>
        <w:sectPr>
          <w:pgSz w:w="11900" w:h="16838" w:orient="portrait"/>
          <w:cols w:equalWidth="0" w:num="2">
            <w:col w:w="660" w:space="540"/>
            <w:col w:w="9840"/>
          </w:cols>
          <w:pgMar w:left="240" w:top="459" w:right="619" w:bottom="1440" w:gutter="0" w:footer="0" w:header="0"/>
          <w:type w:val="continuous"/>
        </w:sectPr>
      </w:pPr>
    </w:p>
    <w:p>
      <w:pPr>
        <w:ind w:left="420" w:right="60" w:hanging="216"/>
        <w:spacing w:after="0" w:line="277"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40"/>
          </w:cols>
          <w:pgMar w:left="240" w:top="459" w:right="61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December 11, 2017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460"/>
          </w:cols>
          <w:pgMar w:left="240" w:top="459" w:right="11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8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20" w:type="dxa"/>
            <w:vAlign w:val="bottom"/>
            <w:gridSpan w:val="10"/>
          </w:tcPr>
          <w:p>
            <w:pPr>
              <w:spacing w:after="0" w:line="190" w:lineRule="exact"/>
              <w:rPr>
                <w:rFonts w:ascii="Arial" w:cs="Arial" w:eastAsia="Arial" w:hAnsi="Arial"/>
                <w:sz w:val="18"/>
                <w:szCs w:val="18"/>
                <w:color w:val="0000EE"/>
              </w:rPr>
            </w:pPr>
            <w:hyperlink w:anchor="page75">
              <w:r>
                <w:rPr>
                  <w:rFonts w:ascii="Arial" w:cs="Arial" w:eastAsia="Arial" w:hAnsi="Arial"/>
                  <w:sz w:val="18"/>
                  <w:szCs w:val="18"/>
                  <w:color w:val="0000EE"/>
                </w:rPr>
                <w:t>Management’s Report on Internal Control Over Financial Reporting</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Reports of Independent Registered Public Accounting Firm</w:t>
              </w:r>
            </w:hyperlink>
          </w:p>
        </w:tc>
        <w:tc>
          <w:tcPr>
            <w:tcW w:w="600" w:type="dxa"/>
            <w:vAlign w:val="bottom"/>
            <w:tcBorders>
              <w:top w:val="single" w:sz="8" w:color="0000EE"/>
            </w:tcBorders>
            <w:gridSpan w:val="2"/>
          </w:tcPr>
          <w:p>
            <w:pPr>
              <w:spacing w:after="0"/>
              <w:rPr>
                <w:sz w:val="17"/>
                <w:szCs w:val="17"/>
                <w:color w:val="auto"/>
              </w:rPr>
            </w:pPr>
          </w:p>
        </w:tc>
        <w:tc>
          <w:tcPr>
            <w:tcW w:w="53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 as of September 30, 2017 and 2016</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Income for the fiscal years ended September 30, 2017, 2016 and 2015</w:t>
              </w:r>
            </w:hyperlink>
          </w:p>
        </w:tc>
        <w:tc>
          <w:tcPr>
            <w:tcW w:w="31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Income for the fiscal years ended September 30, 2017, 2016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Changes in Shareholders’ Equity for the fiscal years ended September 30, 2017, 2016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Cash Flows for the fiscal years ended September 30, 2017, 2016 and 2015</w:t>
              </w:r>
            </w:hyperlink>
          </w:p>
        </w:tc>
        <w:tc>
          <w:tcPr>
            <w:tcW w:w="1520" w:type="dxa"/>
            <w:vAlign w:val="bottom"/>
            <w:tcBorders>
              <w:top w:val="single" w:sz="8" w:color="0000EE"/>
            </w:tcBorders>
            <w:gridSpan w:val="2"/>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Notes to the Consolidated Financial Statements</w:t>
              </w:r>
            </w:hyperlink>
          </w:p>
        </w:tc>
        <w:tc>
          <w:tcPr>
            <w:tcW w:w="680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22"/>
        </w:trPr>
        <w:tc>
          <w:tcPr>
            <w:tcW w:w="1058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20" w:type="dxa"/>
            <w:vAlign w:val="bottom"/>
            <w:gridSpan w:val="10"/>
          </w:tcPr>
          <w:p>
            <w:pPr>
              <w:spacing w:after="0" w:line="190" w:lineRule="exact"/>
              <w:rPr>
                <w:rFonts w:ascii="Arial" w:cs="Arial" w:eastAsia="Arial" w:hAnsi="Arial"/>
                <w:sz w:val="18"/>
                <w:szCs w:val="18"/>
                <w:color w:val="0000EE"/>
              </w:rPr>
            </w:pPr>
            <w:hyperlink w:anchor="page111">
              <w:r>
                <w:rPr>
                  <w:rFonts w:ascii="Arial" w:cs="Arial" w:eastAsia="Arial" w:hAnsi="Arial"/>
                  <w:sz w:val="18"/>
                  <w:szCs w:val="18"/>
                  <w:color w:val="0000EE"/>
                </w:rPr>
                <w:t>Valuation and Qualifying Accounts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5"/>
          </w:tcPr>
          <w:p>
            <w:pPr>
              <w:ind w:left="1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2" w:lineRule="exact"/>
        <w:rPr>
          <w:sz w:val="20"/>
          <w:szCs w:val="20"/>
          <w:color w:val="auto"/>
        </w:rPr>
      </w:pPr>
    </w:p>
    <w:p>
      <w:pPr>
        <w:ind w:left="1060" w:right="16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060" w:right="280" w:hanging="316"/>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2017. In making this assessment, the Company’s management used the criteria set forth by the Committee of Sponsoring Organizations of the Treadway Commission (2013 framework) in Internal Control-Integrated Framework.</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Based on its assessment, management concluded that, as of September 30, 2017, the Company’s internal control over financial reporting is effective based on those criteria.</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Amdocs Limited</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audited the accompanying consolidated balance sheets of Amdocs Limited as of September 30, 2017 and 2016, and the related consolidated statements of income, comprehensive income, changes in shareholders’ equity, and cash flows for each of the three years in the period ended September 30, 2017. Our audits also included the financial statement schedule listed in the Index at Item 18 of Part III.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Amdocs Limited at September 30, 2017 and 2016, and the consolidated results of its operations and its cash flows for each of the three years in the period ended September 30,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Amdocs Limited’s internal control over financial reporting as of September 30, 2017, based on criteria established in Internal Control-Integrated Framework issued by the Committee of Sponsoring Organizations of the Treadway Commission (2013 framework) and our report dated December 11, 2017 expressed an unqualified opinion thereon.</w:t>
      </w:r>
    </w:p>
    <w:p>
      <w:pPr>
        <w:spacing w:after="0" w:line="18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11, 2017</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Amdocs Limited</w:t>
      </w:r>
    </w:p>
    <w:p>
      <w:pPr>
        <w:spacing w:after="0" w:line="21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have audited Amdocs Limited’s internal control over financial reporting as of September 30, 2017, based on criteria established in Internal Control — Integrated Framework issued by the Committee of Sponsoring Organizations of the Treadway Commission (2013 framework)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our opinion, Amdocs Limited maintained, in all material respects, effective internal control over financial reporting as of September 30, 2017, based on the COSO criteria.</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Amdocs Limited as of September 30, 2017 and 2016, and the related consolidated statements of income, comprehensive income, changes in shareholders’ equity, and cash flows for each of the three years in the period ended September 30, 2017 of Amdocs Limited and our report dated December 11, 2017 expressed an unqualified opinion thereon.</w:t>
      </w:r>
    </w:p>
    <w:p>
      <w:pPr>
        <w:spacing w:after="0" w:line="18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11, 2017</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240" w:top="459"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vMerge w:val="restart"/>
          </w:tcPr>
          <w:p>
            <w:pPr>
              <w:ind w:left="510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649,611</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768,660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interest-bearing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865,068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2,048,486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2,100,391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and leasehold improvements,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2,221,209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2,211,639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5,279,380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5,331,355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348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126,414</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Accrued personnel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265,354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financing arrangements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1,172,946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1,366,010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219,417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1,705,310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1,877,794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Ordinary Shares — Authorized 700,000 shares; £0.01 par value; 273,773 and 270,997 issued and 144,391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147,134 outstanding, in 2017 and 2016, respectively</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3,458,887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3,322,789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 129,382 and 123,863 ordinary shares in 2017 and 2016, respectively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(4,365,124)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(4,024,527)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4,457,107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4,144,827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3,574,070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3,453,561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5,279,380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5,331,355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Year Ended September 30,</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3,867,155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3,718,229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3,643,538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2,507,656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2,408,040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2,349,488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259,097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252,292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254,944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464,883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110,291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109,873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3,349,822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3,235,088</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3,127,590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483,141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484,698</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taxes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75,367</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436,826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409,331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4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$436,826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$409,331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$446,163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24,666</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(6,630)</w:t>
            </w: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(978)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actuarial gain (losses) on defined benefit plan(3)</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(2,067)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color w:val="auto"/>
              </w:rPr>
              <w:t>Other comprehensive income (loss), net of tax</w:t>
            </w:r>
          </w:p>
        </w:tc>
        <w:tc>
          <w:tcPr>
            <w:tcW w:w="18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449,521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432,179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439,382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Net of tax benefit (expense) of $651, $(7,053) and $2,627 for the fiscal years ended September 30, 2017, 2016 and 2015, respectively.</w:t>
      </w:r>
    </w:p>
    <w:p>
      <w:pPr>
        <w:spacing w:after="0" w:line="34" w:lineRule="exact"/>
        <w:rPr>
          <w:rFonts w:ascii="Arial" w:cs="Arial" w:eastAsia="Arial" w:hAnsi="Arial"/>
          <w:sz w:val="17"/>
          <w:szCs w:val="17"/>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of tax (expense) benefit of $(4), $(1) and $5 for the fiscal years ended September 30, 2017, 2016 and 2015, respectively.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of tax (expense) benefit of $(697), $747 and $(81) for the fiscal years ended September 30, 2017, 2016 and 2015, respectively.</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340" w:type="dxa"/>
            <w:vAlign w:val="bottom"/>
            <w:tcBorders>
              <w:bottom w:val="single" w:sz="8" w:color="auto"/>
            </w:tcBorders>
            <w:gridSpan w:val="5"/>
          </w:tcPr>
          <w:p>
            <w:pPr>
              <w:jc w:val="right"/>
              <w:ind w:right="83"/>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(Loss) (1)</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as of October 1, 2014</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156,704</w:t>
            </w: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4,284</w:t>
            </w:r>
          </w:p>
        </w:tc>
        <w:tc>
          <w:tcPr>
            <w:tcW w:w="9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$3,054,780</w:t>
            </w:r>
          </w:p>
        </w:tc>
        <w:tc>
          <w:tcPr>
            <w:tcW w:w="114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 (3,157,085)</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(9,972)</w:t>
            </w:r>
          </w:p>
        </w:tc>
        <w:tc>
          <w:tcPr>
            <w:tcW w:w="8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$3,503,829</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3,395,836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Comprehensive income: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income</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446,163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446,163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Pr>
          <w:p>
            <w:pPr>
              <w:ind w:left="300"/>
              <w:spacing w:after="0" w:line="162" w:lineRule="exact"/>
              <w:rPr>
                <w:sz w:val="20"/>
                <w:szCs w:val="20"/>
                <w:color w:val="auto"/>
              </w:rPr>
            </w:pPr>
            <w:r>
              <w:rPr>
                <w:rFonts w:ascii="Arial" w:cs="Arial" w:eastAsia="Arial" w:hAnsi="Arial"/>
                <w:sz w:val="15"/>
                <w:szCs w:val="15"/>
                <w:color w:val="auto"/>
              </w:rPr>
              <w:t>Other comprehensive loss</w:t>
            </w:r>
          </w:p>
        </w:tc>
        <w:tc>
          <w:tcPr>
            <w:tcW w:w="70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(6,781)</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(6,781)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Comprehensive income</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439,382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Employee stock options exercised</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2,540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39</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78,543</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78,582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Repurchase of shares</w:t>
            </w: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(8,596)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(454,020)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(454,020)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Tax benefit from equity-based awards</w:t>
            </w:r>
          </w:p>
        </w:tc>
        <w:tc>
          <w:tcPr>
            <w:tcW w:w="70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4,690</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4,690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dividends declared ($0.665 per ordinary share)</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(102,196)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(102,196)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Issuance of restricted stock, net of forfeitures</w:t>
            </w:r>
          </w:p>
        </w:tc>
        <w:tc>
          <w:tcPr>
            <w:tcW w:w="540" w:type="dxa"/>
            <w:vAlign w:val="bottom"/>
          </w:tcPr>
          <w:p>
            <w:pPr>
              <w:ind w:left="300"/>
              <w:spacing w:after="0" w:line="162" w:lineRule="exact"/>
              <w:rPr>
                <w:sz w:val="20"/>
                <w:szCs w:val="20"/>
                <w:color w:val="auto"/>
              </w:rPr>
            </w:pPr>
            <w:r>
              <w:rPr>
                <w:rFonts w:ascii="Arial" w:cs="Arial" w:eastAsia="Arial" w:hAnsi="Arial"/>
                <w:sz w:val="15"/>
                <w:szCs w:val="15"/>
                <w:color w:val="auto"/>
                <w:w w:val="87"/>
              </w:rPr>
              <w:t>502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8</w:t>
            </w:r>
          </w:p>
        </w:tc>
        <w:tc>
          <w:tcPr>
            <w:tcW w:w="240" w:type="dxa"/>
            <w:vAlign w:val="bottom"/>
          </w:tcPr>
          <w:p>
            <w:pPr>
              <w:spacing w:after="0"/>
              <w:rPr>
                <w:sz w:val="14"/>
                <w:szCs w:val="14"/>
                <w:color w:val="auto"/>
              </w:rPr>
            </w:pP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Equity-based compensation expense related to employees</w:t>
            </w:r>
          </w:p>
        </w:tc>
        <w:tc>
          <w:tcPr>
            <w:tcW w:w="540" w:type="dxa"/>
            <w:vAlign w:val="bottom"/>
            <w:tcBorders>
              <w:bottom w:val="single" w:sz="8" w:color="auto"/>
            </w:tcBorders>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44,560</w:t>
            </w:r>
          </w:p>
        </w:tc>
        <w:tc>
          <w:tcPr>
            <w:tcW w:w="2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44,560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Balance as of September 30, 2015</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w w:val="95"/>
              </w:rPr>
              <w:t>151,150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4,331</w:t>
            </w:r>
          </w:p>
        </w:tc>
        <w:tc>
          <w:tcPr>
            <w:tcW w:w="9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3,182,573</w:t>
            </w:r>
          </w:p>
        </w:tc>
        <w:tc>
          <w:tcPr>
            <w:tcW w:w="114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(3,611,105)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(16,753)</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3,847,796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3,406,842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Comprehensive income:</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ind w:left="300"/>
              <w:spacing w:after="0" w:line="162" w:lineRule="exact"/>
              <w:rPr>
                <w:sz w:val="20"/>
                <w:szCs w:val="20"/>
                <w:color w:val="auto"/>
              </w:rPr>
            </w:pPr>
            <w:r>
              <w:rPr>
                <w:rFonts w:ascii="Arial" w:cs="Arial" w:eastAsia="Arial" w:hAnsi="Arial"/>
                <w:sz w:val="15"/>
                <w:szCs w:val="15"/>
                <w:color w:val="auto"/>
              </w:rPr>
              <w:t>Net income</w:t>
            </w:r>
          </w:p>
        </w:tc>
        <w:tc>
          <w:tcPr>
            <w:tcW w:w="70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409,331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409,331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comprehensive income</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22,848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22,848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Pr>
          <w:p>
            <w:pPr>
              <w:ind w:left="300"/>
              <w:spacing w:after="0" w:line="169" w:lineRule="exact"/>
              <w:rPr>
                <w:sz w:val="20"/>
                <w:szCs w:val="20"/>
                <w:color w:val="auto"/>
              </w:rPr>
            </w:pPr>
            <w:r>
              <w:rPr>
                <w:rFonts w:ascii="Arial" w:cs="Arial" w:eastAsia="Arial" w:hAnsi="Arial"/>
                <w:sz w:val="15"/>
                <w:szCs w:val="15"/>
                <w:color w:val="auto"/>
              </w:rPr>
              <w:t>Comprehensive income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432,179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Employee stock options exercised</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2,694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w:t>
            </w:r>
          </w:p>
        </w:tc>
        <w:tc>
          <w:tcPr>
            <w:tcW w:w="9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89,728</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89,767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Repurchase of shares</w:t>
            </w: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(7,236)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(413,422)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(413,422)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Tax benefit from equity-based awards</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7,788</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7,788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Cash dividends declared ($0.755 per ordinary share)</w:t>
            </w:r>
          </w:p>
        </w:tc>
        <w:tc>
          <w:tcPr>
            <w:tcW w:w="70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(112,300)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(112,300)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 net of forfeitures</w:t>
            </w:r>
          </w:p>
        </w:tc>
        <w:tc>
          <w:tcPr>
            <w:tcW w:w="5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w w:val="87"/>
              </w:rPr>
              <w:t>526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Equity-based compensation expense related to employees</w:t>
            </w:r>
          </w:p>
        </w:tc>
        <w:tc>
          <w:tcPr>
            <w:tcW w:w="540" w:type="dxa"/>
            <w:vAlign w:val="bottom"/>
            <w:tcBorders>
              <w:bottom w:val="single" w:sz="8" w:color="auto"/>
            </w:tcBorders>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42,700</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42,700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as of September 30, 2016</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147,134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4,377</w:t>
            </w:r>
          </w:p>
        </w:tc>
        <w:tc>
          <w:tcPr>
            <w:tcW w:w="9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3,322,789</w:t>
            </w:r>
          </w:p>
        </w:tc>
        <w:tc>
          <w:tcPr>
            <w:tcW w:w="114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(4,024,527)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6,095</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4,144,827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3,453,561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Comprehensive income: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income</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436,826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436,826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Pr>
          <w:p>
            <w:pPr>
              <w:ind w:left="300"/>
              <w:spacing w:after="0" w:line="162" w:lineRule="exact"/>
              <w:rPr>
                <w:sz w:val="20"/>
                <w:szCs w:val="20"/>
                <w:color w:val="auto"/>
              </w:rPr>
            </w:pPr>
            <w:r>
              <w:rPr>
                <w:rFonts w:ascii="Arial" w:cs="Arial" w:eastAsia="Arial" w:hAnsi="Arial"/>
                <w:sz w:val="15"/>
                <w:szCs w:val="15"/>
                <w:color w:val="auto"/>
              </w:rPr>
              <w:t>Other comprehensive income</w:t>
            </w:r>
          </w:p>
        </w:tc>
        <w:tc>
          <w:tcPr>
            <w:tcW w:w="70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12,695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12,695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Comprehensive income</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449,521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Employee stock options exercised</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28</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87,948</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87,976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Repurchase of shares</w:t>
            </w: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(5,519)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(340,597)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(340,597)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Tax benefit from equity-based awards</w:t>
            </w:r>
          </w:p>
        </w:tc>
        <w:tc>
          <w:tcPr>
            <w:tcW w:w="70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3,611</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3,611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dividends declared ($0.855 per ordinary share)</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(124,546)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(124,546)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line="162" w:lineRule="exact"/>
              <w:rPr>
                <w:sz w:val="20"/>
                <w:szCs w:val="20"/>
                <w:color w:val="auto"/>
              </w:rPr>
            </w:pPr>
            <w:r>
              <w:rPr>
                <w:rFonts w:ascii="Arial" w:cs="Arial" w:eastAsia="Arial" w:hAnsi="Arial"/>
                <w:sz w:val="15"/>
                <w:szCs w:val="15"/>
                <w:color w:val="auto"/>
              </w:rPr>
              <w:t>Issuance of restricted stock, net of forfeitures</w:t>
            </w:r>
          </w:p>
        </w:tc>
        <w:tc>
          <w:tcPr>
            <w:tcW w:w="540" w:type="dxa"/>
            <w:vAlign w:val="bottom"/>
          </w:tcPr>
          <w:p>
            <w:pPr>
              <w:ind w:left="300"/>
              <w:spacing w:after="0" w:line="162" w:lineRule="exact"/>
              <w:rPr>
                <w:sz w:val="20"/>
                <w:szCs w:val="20"/>
                <w:color w:val="auto"/>
              </w:rPr>
            </w:pPr>
            <w:r>
              <w:rPr>
                <w:rFonts w:ascii="Arial" w:cs="Arial" w:eastAsia="Arial" w:hAnsi="Arial"/>
                <w:sz w:val="15"/>
                <w:szCs w:val="15"/>
                <w:color w:val="auto"/>
                <w:w w:val="87"/>
              </w:rPr>
              <w:t>556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240" w:type="dxa"/>
            <w:vAlign w:val="bottom"/>
          </w:tcPr>
          <w:p>
            <w:pPr>
              <w:spacing w:after="0"/>
              <w:rPr>
                <w:sz w:val="14"/>
                <w:szCs w:val="14"/>
                <w:color w:val="auto"/>
              </w:rPr>
            </w:pP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Equity-based compensation expense related to employees</w:t>
            </w:r>
          </w:p>
        </w:tc>
        <w:tc>
          <w:tcPr>
            <w:tcW w:w="540" w:type="dxa"/>
            <w:vAlign w:val="bottom"/>
            <w:tcBorders>
              <w:bottom w:val="single" w:sz="8" w:color="auto"/>
            </w:tcBorders>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44,539</w:t>
            </w:r>
          </w:p>
        </w:tc>
        <w:tc>
          <w:tcPr>
            <w:tcW w:w="2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44,539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Balance as of September 30, 2017</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w w:val="95"/>
              </w:rPr>
              <w:t>144,391</w:t>
            </w:r>
          </w:p>
        </w:tc>
        <w:tc>
          <w:tcPr>
            <w:tcW w:w="160" w:type="dxa"/>
            <w:vAlign w:val="bottom"/>
          </w:tcPr>
          <w:p>
            <w:pPr>
              <w:spacing w:after="0"/>
              <w:rPr>
                <w:sz w:val="14"/>
                <w:szCs w:val="14"/>
                <w:color w:val="auto"/>
              </w:rPr>
            </w:pPr>
          </w:p>
        </w:tc>
        <w:tc>
          <w:tcPr>
            <w:tcW w:w="2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4,410</w:t>
            </w:r>
          </w:p>
        </w:tc>
        <w:tc>
          <w:tcPr>
            <w:tcW w:w="94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3,458,887</w:t>
            </w:r>
          </w:p>
        </w:tc>
        <w:tc>
          <w:tcPr>
            <w:tcW w:w="1140" w:type="dxa"/>
            <w:vAlign w:val="bottom"/>
            <w:gridSpan w:val="3"/>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(4,365,124)</w:t>
            </w: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18,790</w:t>
            </w:r>
          </w:p>
        </w:tc>
        <w:tc>
          <w:tcPr>
            <w:tcW w:w="160" w:type="dxa"/>
            <w:vAlign w:val="bottom"/>
          </w:tcPr>
          <w:p>
            <w:pPr>
              <w:spacing w:after="0"/>
              <w:rPr>
                <w:sz w:val="14"/>
                <w:szCs w:val="14"/>
                <w:color w:val="auto"/>
              </w:rPr>
            </w:pP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4,457,107</w:t>
            </w:r>
          </w:p>
        </w:tc>
        <w:tc>
          <w:tcPr>
            <w:tcW w:w="160" w:type="dxa"/>
            <w:vAlign w:val="bottom"/>
          </w:tcPr>
          <w:p>
            <w:pPr>
              <w:spacing w:after="0"/>
              <w:rPr>
                <w:sz w:val="14"/>
                <w:szCs w:val="14"/>
                <w:color w:val="auto"/>
              </w:rPr>
            </w:pPr>
          </w:p>
        </w:tc>
        <w:tc>
          <w:tcPr>
            <w:tcW w:w="28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3,574,070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9" w:lineRule="exact"/>
        <w:rPr>
          <w:sz w:val="20"/>
          <w:szCs w:val="20"/>
          <w:color w:val="auto"/>
        </w:rPr>
      </w:pPr>
    </w:p>
    <w:p>
      <w:pPr>
        <w:ind w:left="520" w:hanging="316"/>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September 30, 2017, 2016 and 2015, accumulated other comprehensive income (loss) is comprised of unrealized gain (loss) on derivatives, net of tax, of $24,508,</w:t>
      </w:r>
    </w:p>
    <w:p>
      <w:pPr>
        <w:spacing w:after="0" w:line="13" w:lineRule="exact"/>
        <w:rPr>
          <w:rFonts w:ascii="Arial" w:cs="Arial" w:eastAsia="Arial" w:hAnsi="Arial"/>
          <w:sz w:val="14"/>
          <w:szCs w:val="14"/>
          <w:color w:val="auto"/>
        </w:rPr>
      </w:pPr>
    </w:p>
    <w:p>
      <w:pPr>
        <w:ind w:left="520" w:right="200"/>
        <w:spacing w:after="0" w:line="239" w:lineRule="auto"/>
        <w:rPr>
          <w:rFonts w:ascii="Arial" w:cs="Arial" w:eastAsia="Arial" w:hAnsi="Arial"/>
          <w:sz w:val="14"/>
          <w:szCs w:val="14"/>
          <w:color w:val="auto"/>
        </w:rPr>
      </w:pPr>
      <w:r>
        <w:rPr>
          <w:rFonts w:ascii="Arial" w:cs="Arial" w:eastAsia="Arial" w:hAnsi="Arial"/>
          <w:sz w:val="15"/>
          <w:szCs w:val="15"/>
          <w:color w:val="auto"/>
        </w:rPr>
        <w:t>$12,514 and $(12,152), unrealized (loss) gain on short-term interest-bearing investments, net of tax, of $(410), $568 and $319 and unrealized (loss) on defined benefit plan, net of tax, of $(5,308), $(6,987) and $(4,920).</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1"/>
              </w:rPr>
              <w:t>Year Ended 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436,826</w:t>
            </w:r>
          </w:p>
        </w:tc>
        <w:tc>
          <w:tcPr>
            <w:tcW w:w="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409,331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446,163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214,885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211,791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6,551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(41,075)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(70,859)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(52,667)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(50,230)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(49,828)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14,034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636,112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(133,392)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(130,086)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278,066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361,960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252,818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(281,983)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(370,742)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(18,064)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(283,450)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(185,313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(440,851)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(379,654)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(400,000)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Repurchase of shares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(340,597)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(413,422)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Payments of dividends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(121,503)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(109,304)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(569,848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(446,296)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(460,664)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(119,049)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(266,913)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768,660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1,035,573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649,611</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768,660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1,035,573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Income Taxes Paid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paid for: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67,544</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 Nature of Entity</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Amdocs Limited (the “Company”) is a leading provider of software and services for communications, Pay TV, entertainment and media industry service providers, in developed countries and emerging markets. The Company and its subsidiaries operate in one segment, providing products and services. The Company designs, develops, markets, supports, implements and operates customer experience solutions primarily for leading communications, cable and satellite service providers throughout the world.</w:t>
      </w:r>
    </w:p>
    <w:p>
      <w:pPr>
        <w:spacing w:after="0" w:line="18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left="200" w:right="40" w:firstLine="441"/>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20" w:firstLine="441"/>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Company classifies all of its short-term interest-bearing investments as available-for-sale securities. Such short-term interest-bearing investments consist primarily of bank deposits, money market funds, U.S. government treasuries, corporate bonds and U.S. agency securities, which are stated at market value. Unrealized gains and losses are comprised of the difference between market value and amortized costs of such securities and are reflected, net of tax, as “accumulated other comprehensive income (loss)” in shareholders’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income (loss). The Company uses a discounted cash flow analysis to determine the portion of the impairment that relates to the credit losses. To the extent that the net present value of the projected cash flows is less than the amortized cost of the security, the difference is considered a credit loss. Realized gains and losses on short-term interest-bearing investments are included in earnings and are derived using the first-in-first-out (FIFO) method for determining the cost of securities.</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Equipment and Leasehold Improvements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Equipment and leasehold improvements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 Equipment and leasehold improvements that have been fully depreciated and are no longer in use are netted against accumulated depreciation.</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Company capitalizes certain expenditures for software that is internally developed for use in the business, which is classified as computer equipment. Amortization of internal use software begins when the software is ready for service and continues on the straight-line method over the estimated useful life.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89"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117" w:lineRule="exact"/>
        <w:rPr>
          <w:sz w:val="20"/>
          <w:szCs w:val="20"/>
          <w:color w:val="auto"/>
        </w:rPr>
      </w:pPr>
    </w:p>
    <w:p>
      <w:pPr>
        <w:ind w:left="1300" w:hanging="21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117" w:lineRule="exact"/>
        <w:rPr>
          <w:rFonts w:ascii="Arial" w:cs="Arial" w:eastAsia="Arial" w:hAnsi="Arial"/>
          <w:sz w:val="18"/>
          <w:szCs w:val="18"/>
          <w:color w:val="auto"/>
        </w:rPr>
      </w:pPr>
    </w:p>
    <w:p>
      <w:pPr>
        <w:ind w:left="1360" w:hanging="275"/>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117" w:lineRule="exact"/>
        <w:rPr>
          <w:rFonts w:ascii="Arial" w:cs="Arial" w:eastAsia="Arial" w:hAnsi="Arial"/>
          <w:sz w:val="18"/>
          <w:szCs w:val="18"/>
          <w:color w:val="auto"/>
        </w:rPr>
      </w:pPr>
    </w:p>
    <w:p>
      <w:pPr>
        <w:ind w:left="1400" w:hanging="315"/>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accordance with business combinations accounting,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19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Company’s consolidated statements of income.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 Company will not be able to realize their benefit.</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Deferred tax liabilities and assets are classified as noncurrent on the balance sheet. Deferred tax liabilities also include anticipated withholding taxes due on subsidiaries’ earnings when paid as dividends to the Company.</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See Note 10 to the consolidated financial statements.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revenue is generally recognized over the course of these long-term projects, using the percentage of completion method of accounting, usually based on a percentage that incurred labor effort to date bears to total projected labor effort.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 The Company evaluates contracts entered into at or near the same time with the same customer (or related parties of the customer) and determines if the contracts should be combined in accordance with the guidance for revenue recognition.</w:t>
      </w:r>
    </w:p>
    <w:p>
      <w:pPr>
        <w:spacing w:after="0" w:line="169"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Initial license fee for software revenue is recognized as work is performed, under the percentage of completion method of accounting. Contingent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166"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implementation and modification is recognized upon delivery. Revenue that does not involve significant ongoing obligations is recognized as services are rendered.</w:t>
      </w:r>
    </w:p>
    <w:p>
      <w:pPr>
        <w:spacing w:after="0" w:line="18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managed services contracts and in other long-term contracts, revenue from the operation of a customer’s system is recognized either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latitude in determining prices and selecting suppliers. In specific circumstances where the Company does not meet the above criteria, particularly when the contract stipulates that the Company is not the primary obligor, the Company recognizes revenue on a net basis. Revenue from third-party hardware and software sales was less than 10% of revenue in each of fiscal years 2017, 2016 and 2015. In certain arrangements, the Company may earn revenue from other third-party services which is recorded at a gross amount as the Company is the primary obligor under the arrangement.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Maintenance revenue is recognized ratably over the term of the maintenance agreement, which in most cases is one year.</w:t>
      </w:r>
    </w:p>
    <w:p>
      <w:pPr>
        <w:spacing w:after="0" w:line="22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81"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7"/>
          <w:szCs w:val="17"/>
          <w:color w:val="auto"/>
        </w:rPr>
        <w:t>Many of the Company’s agreements include multiple deliverables. The Company’s multiple element arrangements are comprised of a variety of different combinations of the deliverables mentioned above. For multiple element arrangements within the scope of software revenue recognition guidance, the Company allocates revenue to each element based upon its relative fair value as determined by Vendor Specific Objective Evidence (“VSOE”). In the absence of fair value for a delivered element the Company uses the residual method. The residual method requires that the Company first allocate revenue to the fair value of the undelivered elements and residual revenue to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Under the guidance for revenue arrangements with multiple deliverables that are outside the scope of the software revenue recognition guidance, the Company allocates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The Company determines ESP for the purposes of allocating the consideration</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158"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 Billed accounts receivables include all outstanding invoices to customers, as well as amounts allowed to be billed according to contractual or other arrangements with customers.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Cost of revenue consists of all costs associated with providing software licenses and services to customers, including identified losses on contracts. Estimated losses on contracts accounted for using the percentage of completion method of accounting are recognized in the period in which the loss is identified. Cost of revenue includes license fees and royalty payments to software suppliers.</w:t>
      </w:r>
    </w:p>
    <w:p>
      <w:pPr>
        <w:spacing w:after="0" w:line="166" w:lineRule="exact"/>
        <w:rPr>
          <w:sz w:val="20"/>
          <w:szCs w:val="20"/>
          <w:color w:val="auto"/>
        </w:rPr>
      </w:pPr>
    </w:p>
    <w:p>
      <w:pPr>
        <w:jc w:val="both"/>
        <w:ind w:left="200" w:right="440" w:firstLine="441"/>
        <w:spacing w:after="0" w:line="312" w:lineRule="auto"/>
        <w:rPr>
          <w:sz w:val="20"/>
          <w:szCs w:val="20"/>
          <w:color w:val="auto"/>
        </w:rPr>
      </w:pPr>
      <w:r>
        <w:rPr>
          <w:rFonts w:ascii="Arial" w:cs="Arial" w:eastAsia="Arial" w:hAnsi="Arial"/>
          <w:sz w:val="16"/>
          <w:szCs w:val="16"/>
          <w:color w:val="auto"/>
        </w:rPr>
        <w:t>Cost of revenue also includes costs of third-party products associated with reselling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the Asia-Pacific region and Latin America. Most of the Company’s customers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6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As of September 30, 2017, the Company had one customer with an accounts receivable balance of more than 10% of total accounts receivable, amounting to 27%, which was lower than its respective portion of total revenue. As of September 30, 2016, the Company had one customer with an accounts receivable balance of more than 10% of total accounts receivable, amounting to 30%, which was higher than its respective portion of total revenue.</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shares that contain non-forfeitable rights to dividends or dividend equivalents) in the computation of earnings per share pursuant to the two-class method, which calculates earnings per share for common shares and participating securities.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income (loss)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January 2017, the Financial Accounting Standards Board, or FASB, issued an Accounting Standard Update, or ASU, that revises and narrows the definition of a business and provides a framework that gives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entities a basis for making reasonable judgments about whether a transaction involves an asset or a business. This ASU will be effective for the Company with respect to transactions occurring on or after October 1, 2018 and early adoption is permitted.</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the Company on October 1, 2018, and early adoption in the first interim period of a fiscal year is permitted. The Company currently expects adoption of this ASU will not have a material impact on its consolidated financial statements.</w:t>
      </w:r>
    </w:p>
    <w:p>
      <w:pPr>
        <w:spacing w:after="0" w:line="188"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August 2016, the FASB issued an ASU that intends to reduce diversity in practice in how certain transactions are classified in the statement of cash flows. The ASU will be effective for the Company on October 1, 2018, and early adoption is permitted. The Company currently expects adoption of this ASU will result in reclassification of certain cash payments of contingent considerations included in acquisition agreements from investing activities to financing activities and will not have a material impact on its statement of cash flows.</w:t>
      </w:r>
    </w:p>
    <w:p>
      <w:pPr>
        <w:spacing w:after="0" w:line="17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year 2020, must be adopted using a modified retrospective method and its early adoption is permitted. The Company is currently evaluating the impact of adoption of this ASU on its consolidated financial statements.</w:t>
      </w:r>
    </w:p>
    <w:p>
      <w:pPr>
        <w:spacing w:after="0" w:line="158"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content of its consolidated financial statements.</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is effective for the Company with respect to measurement-period adjustments that occur after October 1, 2017.</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May 2014, the FASB issued ASU on revenue from contracts with customers, or the new revenue standard, which outlines a single comprehensive model for entities to use in accounting for revenue arising from contracts with customers. The new revenue standard supersedes most current revenue recognition guidance and will be effective for the Company beginning in the first quarter of fiscal year 2019. The Company developed a transition plan, including changes to policies, processes and internal controls, as well as system enhancements to generate the information necessary for new disclosure requirements and is currently evaluating the effect that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24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adoption of the new revenue standard will have on its consolidated financial statements. Entities have the option of adopting the new revenue standard using either a full retrospective or a modified approach with the cumulative effect of applying the standard recognized at the date of initial application. The Company currently anticipates adopting the new revenue standard using the modified retrospective transition approach, which will result in a cumulative effect adjustment to retained earnings as of October 1, 2018. However, a final decision regarding the adoption method is dependent on several factors, including the completion of the Company’s analysis of the effect the adoption of the new revenue standard will have on its results of operations, financial position and related disclosures.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Acquisitions</w:t>
      </w:r>
    </w:p>
    <w:p>
      <w:pPr>
        <w:spacing w:after="0" w:line="121"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w:t>
      </w:r>
    </w:p>
    <w:p>
      <w:pPr>
        <w:spacing w:after="0" w:line="14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On September 14, 2016, the Company acquired Vindicia, Inc. (“Vindicia”), Brite:Bill Group Limited (“Brite:Bill”) and Pontis, Inc. (“Pontis”) for the aggregate of $258,457 in cash, with the potential for additional consideration subject to the achievement of certain performance metrics. These three companies were acquired to expand the Company’s digital offering. See Note 9 to the consolidated financial statements.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 Fair Value Measurements</w:t>
      </w:r>
    </w:p>
    <w:p>
      <w:pPr>
        <w:spacing w:after="0" w:line="121" w:lineRule="exact"/>
        <w:rPr>
          <w:sz w:val="20"/>
          <w:szCs w:val="20"/>
          <w:color w:val="auto"/>
        </w:rPr>
      </w:pPr>
    </w:p>
    <w:p>
      <w:pPr>
        <w:jc w:val="both"/>
        <w:ind w:left="200" w:right="260" w:firstLine="441"/>
        <w:spacing w:after="0" w:line="302"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1060"/>
        <w:spacing w:after="0"/>
        <w:tabs>
          <w:tab w:leader="none" w:pos="18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17" w:lineRule="exact"/>
        <w:rPr>
          <w:sz w:val="20"/>
          <w:szCs w:val="20"/>
          <w:color w:val="auto"/>
        </w:rPr>
      </w:pPr>
    </w:p>
    <w:p>
      <w:pPr>
        <w:ind w:left="640" w:right="180" w:firstLine="4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1060"/>
        <w:spacing w:after="0"/>
        <w:tabs>
          <w:tab w:leader="none" w:pos="18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60"/>
          </w:cols>
          <w:pgMar w:left="24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September 30, 2017 and 2016:</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3"/>
              </w:rPr>
              <w:t>As of September 30, 2017</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Level 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Level 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98,385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98,385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60,646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47,074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248,330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385,197</w:t>
            </w:r>
          </w:p>
        </w:tc>
        <w:tc>
          <w:tcPr>
            <w:tcW w:w="100" w:type="dxa"/>
            <w:vAlign w:val="bottom"/>
            <w:shd w:val="clear" w:color="auto" w:fill="CCEEFF"/>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(21,972)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(21,972)</w:t>
            </w: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136,867</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275,682</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(21,972</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390,577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3"/>
              </w:rPr>
              <w:t>As of September 30, 2016</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Level 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Level 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96,154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96,154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105,513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105,513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48,393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449,288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449,288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30,194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554,801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225,581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780,382</w:t>
            </w:r>
          </w:p>
        </w:tc>
        <w:tc>
          <w:tcPr>
            <w:tcW w:w="100" w:type="dxa"/>
            <w:vAlign w:val="bottom"/>
            <w:shd w:val="clear" w:color="auto" w:fill="CCEEFF"/>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(24,597)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(24,597)</w:t>
            </w: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554,801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241,648</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(24,597</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2017 or fiscal year 2016. Level 3 amounts relate to certain acquisition-related liabilities, which were valued using a Monte-Carlo simulation model. These liabilities were included in both accrued expenses and other current liabilities and other noncurrent liabilities as of September 30, 2017 and 2016. The net reduction in Level 3 liabilities during fiscal year 2017 was the result of reduction of existing liabilities, which was partially offset by increase from new liabilities recognized in connection with fiscal year 2017 acquisitions. Part of this reduction in Level 3 liabilities was recorded in the consolidated statements of income and the rest of the reduction resulted from settlement of the liabilities.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The carrying amounts of cash and cash equivalents, accounts receivable, accounts payable, accrued personnel costs, short-term financing arrangements and other current liabilities approximate their fair value because of the relatively short maturity of these items.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 Available-For-Sale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 September 30, 2017</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Gross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74"/>
        </w:trPr>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3"/>
              </w:rPr>
              <w:t>Amortized</w:t>
            </w: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3"/>
              </w:rPr>
              <w:t>Unrealized</w:t>
            </w: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Unrealized</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w w:val="82"/>
              </w:rPr>
              <w:t>Losses</w:t>
            </w:r>
          </w:p>
        </w:tc>
        <w:tc>
          <w:tcPr>
            <w:tcW w:w="60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40" w:type="dxa"/>
            <w:vAlign w:val="bottom"/>
          </w:tcPr>
          <w:p>
            <w:pPr>
              <w:spacing w:after="0"/>
              <w:rPr>
                <w:sz w:val="18"/>
                <w:szCs w:val="18"/>
                <w:color w:val="auto"/>
              </w:rPr>
            </w:pPr>
          </w:p>
        </w:tc>
        <w:tc>
          <w:tcPr>
            <w:tcW w:w="5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98,367</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176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84,558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84,363</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60,646</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52,504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52,504</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47,074</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33,448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33,448</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40" w:type="dxa"/>
            <w:vAlign w:val="bottom"/>
            <w:shd w:val="clear" w:color="auto" w:fill="CCEEFF"/>
          </w:tcPr>
          <w:p>
            <w:pPr>
              <w:spacing w:after="0"/>
              <w:rPr>
                <w:sz w:val="18"/>
                <w:szCs w:val="18"/>
                <w:color w:val="auto"/>
              </w:rPr>
            </w:pPr>
          </w:p>
        </w:tc>
      </w:tr>
      <w:tr>
        <w:trPr>
          <w:trHeight w:val="223"/>
        </w:trPr>
        <w:tc>
          <w:tcPr>
            <w:tcW w:w="6000" w:type="dxa"/>
            <w:vAlign w:val="bottom"/>
            <w:gridSpan w:val="3"/>
          </w:tcPr>
          <w:p>
            <w:pPr>
              <w:ind w:left="420"/>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385,598</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6"/>
              </w:rPr>
              <w:t>176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385,197</w:t>
            </w:r>
          </w:p>
        </w:tc>
        <w:tc>
          <w:tcPr>
            <w:tcW w:w="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6" w:lineRule="exact"/>
        <w:rPr>
          <w:sz w:val="20"/>
          <w:szCs w:val="20"/>
          <w:color w:val="auto"/>
        </w:rPr>
      </w:pPr>
    </w:p>
    <w:p>
      <w:pPr>
        <w:ind w:left="640" w:right="200" w:hanging="436"/>
        <w:spacing w:after="0" w:line="279"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2017, $329,997 of securities were classified as short-term interest-bearing investments and $55,200 of securities were classified as cash and cash equivalents.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6"/>
              </w:rPr>
              <w:t>As of September 30, 2016</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Gross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Gross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74"/>
        </w:trPr>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3"/>
              </w:rPr>
              <w:t>Amortized</w:t>
            </w:r>
          </w:p>
        </w:tc>
        <w:tc>
          <w:tcPr>
            <w:tcW w:w="136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Unrealized</w:t>
            </w: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w w:val="97"/>
              </w:rPr>
              <w:t>Gains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w w:val="82"/>
              </w:rPr>
              <w:t>Losses</w:t>
            </w:r>
          </w:p>
        </w:tc>
        <w:tc>
          <w:tcPr>
            <w:tcW w:w="68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40" w:type="dxa"/>
            <w:vAlign w:val="bottom"/>
          </w:tcPr>
          <w:p>
            <w:pPr>
              <w:spacing w:after="0"/>
              <w:rPr>
                <w:sz w:val="18"/>
                <w:szCs w:val="18"/>
                <w:color w:val="auto"/>
              </w:rPr>
            </w:pPr>
          </w:p>
        </w:tc>
        <w:tc>
          <w:tcPr>
            <w:tcW w:w="5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95,852</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105,377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105,513</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48,393</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449,288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449,288</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42,498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42,498</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40" w:type="dxa"/>
            <w:vAlign w:val="bottom"/>
            <w:shd w:val="clear" w:color="auto" w:fill="CCEEFF"/>
          </w:tcPr>
          <w:p>
            <w:pPr>
              <w:spacing w:after="0"/>
              <w:rPr>
                <w:sz w:val="18"/>
                <w:szCs w:val="18"/>
                <w:color w:val="auto"/>
              </w:rPr>
            </w:pPr>
          </w:p>
        </w:tc>
      </w:tr>
      <w:tr>
        <w:trPr>
          <w:trHeight w:val="223"/>
        </w:trPr>
        <w:tc>
          <w:tcPr>
            <w:tcW w:w="5760" w:type="dxa"/>
            <w:vAlign w:val="bottom"/>
            <w:gridSpan w:val="3"/>
          </w:tcPr>
          <w:p>
            <w:pPr>
              <w:ind w:left="420"/>
              <w:spacing w:after="0"/>
              <w:rPr>
                <w:sz w:val="20"/>
                <w:szCs w:val="20"/>
                <w:color w:val="auto"/>
              </w:rPr>
            </w:pPr>
            <w:r>
              <w:rPr>
                <w:rFonts w:ascii="Arial" w:cs="Arial" w:eastAsia="Arial" w:hAnsi="Arial"/>
                <w:sz w:val="18"/>
                <w:szCs w:val="18"/>
                <w:color w:val="auto"/>
              </w:rPr>
              <w:t>Total(2)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779,809</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780,382</w:t>
            </w:r>
          </w:p>
        </w:tc>
        <w:tc>
          <w:tcPr>
            <w:tcW w:w="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6" w:lineRule="exact"/>
        <w:rPr>
          <w:sz w:val="20"/>
          <w:szCs w:val="20"/>
          <w:color w:val="auto"/>
        </w:rPr>
      </w:pPr>
    </w:p>
    <w:p>
      <w:pPr>
        <w:ind w:left="640" w:right="200" w:hanging="436"/>
        <w:spacing w:after="0" w:line="279"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2016, $327,063 of securities were classified as short-term interest-bearing investments and $453,319 of securities were classified as cash and cash equivalents.</w:t>
      </w:r>
    </w:p>
    <w:p>
      <w:pPr>
        <w:spacing w:after="0" w:line="17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As of September 30, 2017,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fiscal years 2017, 2016 and 2015.</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960"/>
          </w:cols>
          <w:pgMar w:left="240" w:top="459" w:right="6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2017, the Company’s available-for-sale securities had the following maturity dates: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120,819</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77,666</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10,642</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6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385,197</w:t>
            </w:r>
          </w:p>
        </w:tc>
        <w:tc>
          <w:tcPr>
            <w:tcW w:w="6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$30,090 as of September 30, 2017. The Company has limited its credit risk by entering into derivative transactions exclusively with investment-grade rated financial institutions and monitors the creditworthiness of these financial institutions on an ongoing basis.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2017. Notional values are in U.S. dollars and are translated and calculated based on forward rates as of September 30, 2017 for forward contracts, and based on spot rates as of September 30, 2017 for options.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80" w:type="dxa"/>
            <w:vAlign w:val="bottom"/>
            <w:gridSpan w:val="3"/>
          </w:tcPr>
          <w:p>
            <w:pPr>
              <w:ind w:left="224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1,235,838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00" w:hanging="436"/>
        <w:spacing w:after="0" w:line="277"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see Note 4 to the consolidated financial statements. The fair value of the open foreign exchange contracts recorded as an asset or a liability by the Company on its consolidated balance sheets as of September 30, 2017 and September 30, 2016, is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$30,141</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(2,317)</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2,840</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(3,368)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(3,906)</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Net fair value</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27,352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16,067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September 30, 2017 is scheduled to mature within the next 12 months.</w:t>
      </w:r>
    </w:p>
    <w:p>
      <w:pPr>
        <w:spacing w:after="0" w:line="158" w:lineRule="exact"/>
        <w:rPr>
          <w:sz w:val="20"/>
          <w:szCs w:val="20"/>
          <w:color w:val="auto"/>
        </w:rPr>
      </w:pPr>
    </w:p>
    <w:p>
      <w:pPr>
        <w:jc w:val="both"/>
        <w:ind w:left="200" w:right="40" w:firstLine="441"/>
        <w:spacing w:after="0" w:line="288"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ind w:left="200" w:right="8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income, net.</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2017, 2016 and 2015, respectively, which partially offsets the foreign currency impact from the underlying exposures, is summarized as follows:</w:t>
      </w:r>
    </w:p>
    <w:p>
      <w:pPr>
        <w:spacing w:after="0" w:line="143"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10"/>
          </w:tcPr>
          <w:p>
            <w:pPr>
              <w:jc w:val="center"/>
              <w:ind w:right="40"/>
              <w:spacing w:after="0"/>
              <w:rPr>
                <w:sz w:val="20"/>
                <w:szCs w:val="20"/>
                <w:color w:val="auto"/>
              </w:rPr>
            </w:pPr>
            <w:r>
              <w:rPr>
                <w:rFonts w:ascii="Arial" w:cs="Arial" w:eastAsia="Arial" w:hAnsi="Arial"/>
                <w:sz w:val="14"/>
                <w:szCs w:val="14"/>
                <w:b w:val="1"/>
                <w:bCs w:val="1"/>
                <w:color w:val="auto"/>
                <w:w w:val="89"/>
              </w:rPr>
              <w:t>Gains (Losses) Reclassified from</w:t>
            </w:r>
          </w:p>
        </w:tc>
      </w:tr>
      <w:tr>
        <w:trPr>
          <w:trHeight w:val="297"/>
        </w:trPr>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8"/>
          </w:tcPr>
          <w:p>
            <w:pPr>
              <w:jc w:val="center"/>
              <w:ind w:left="424"/>
              <w:spacing w:after="0"/>
              <w:rPr>
                <w:sz w:val="20"/>
                <w:szCs w:val="20"/>
                <w:color w:val="auto"/>
              </w:rPr>
            </w:pPr>
            <w:r>
              <w:rPr>
                <w:rFonts w:ascii="Arial" w:cs="Arial" w:eastAsia="Arial" w:hAnsi="Arial"/>
                <w:sz w:val="14"/>
                <w:szCs w:val="14"/>
                <w:b w:val="1"/>
                <w:bCs w:val="1"/>
                <w:color w:val="auto"/>
                <w:w w:val="93"/>
              </w:rPr>
              <w:t>Other Comprehensive Income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(Loss) (Effective Portion)</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2"/>
        </w:trPr>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Revenue</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8"/>
              </w:rPr>
              <w:t>$ (1,021)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1,077</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21,783</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(2,131)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(13,624)</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4,282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(3,621)</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(1,175)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28,349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(4,141</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(20,242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(loss), net of tax, is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Year Ended September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82"/>
        </w:trPr>
        <w:tc>
          <w:tcPr>
            <w:tcW w:w="6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unrealized gains (losses) on cash flow hedges, net of tax, beginning of</w:t>
            </w: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$ 12,514</w:t>
            </w:r>
          </w:p>
        </w:tc>
        <w:tc>
          <w:tcPr>
            <w:tcW w:w="4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36,765</w:t>
            </w:r>
          </w:p>
        </w:tc>
        <w:tc>
          <w:tcPr>
            <w:tcW w:w="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20,911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(23,432)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 losses into earnings, net of tax</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16,802</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$ 24,508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$ 12,514</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(12,152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Gains (losses) from cash flow hedges recognized in other comprehensive income (loss) were $39,692, $27,578 and $(29,499) , or $36,765, $20,911 and $(23,432) , net of taxes, during the fiscal years ended September 30, 2017, 2016 and 2015, respectively.</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(loss) as of September 30, 2017, a net gain of $24,459 will be reclassified into earnings during fiscal 2018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2017, 2016 and 2015, was not material.</w:t>
      </w:r>
    </w:p>
    <w:p>
      <w:pPr>
        <w:spacing w:after="0" w:line="170"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2017, 2016 and 2015, respectively, which partially offsets the foreign currency impact from the underlying exposure, is summarized as follows:</w:t>
      </w:r>
    </w:p>
    <w:p>
      <w:pPr>
        <w:spacing w:after="0" w:line="200" w:lineRule="exact"/>
        <w:rPr>
          <w:sz w:val="20"/>
          <w:szCs w:val="20"/>
          <w:color w:val="auto"/>
        </w:rPr>
      </w:pPr>
    </w:p>
    <w:p>
      <w:pPr>
        <w:jc w:val="center"/>
        <w:ind w:left="6120"/>
        <w:spacing w:after="0"/>
        <w:rPr>
          <w:sz w:val="20"/>
          <w:szCs w:val="20"/>
          <w:color w:val="auto"/>
        </w:rPr>
      </w:pPr>
      <w:r>
        <w:rPr>
          <w:rFonts w:ascii="Arial" w:cs="Arial" w:eastAsia="Arial" w:hAnsi="Arial"/>
          <w:sz w:val="14"/>
          <w:szCs w:val="14"/>
          <w:b w:val="1"/>
          <w:bCs w:val="1"/>
          <w:color w:val="auto"/>
        </w:rPr>
        <w:t>(Losses) Gains</w:t>
      </w:r>
    </w:p>
    <w:p>
      <w:pPr>
        <w:jc w:val="center"/>
        <w:ind w:left="612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6120"/>
        <w:spacing w:after="0" w:line="232" w:lineRule="auto"/>
        <w:rPr>
          <w:sz w:val="20"/>
          <w:szCs w:val="20"/>
          <w:color w:val="auto"/>
        </w:rPr>
      </w:pPr>
      <w:r>
        <w:rPr>
          <w:rFonts w:ascii="Arial" w:cs="Arial" w:eastAsia="Arial" w:hAnsi="Arial"/>
          <w:sz w:val="14"/>
          <w:szCs w:val="14"/>
          <w:b w:val="1"/>
          <w:bCs w:val="1"/>
          <w:color w:val="auto"/>
        </w:rPr>
        <w:t>Year Ended September 30,</w:t>
      </w:r>
    </w:p>
    <w:tbl>
      <w:tblPr>
        <w:tblLayout w:type="fixed"/>
        <w:tblInd w:w="20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gridSpan w:val="7"/>
          </w:tcPr>
          <w:p>
            <w:pPr>
              <w:jc w:val="right"/>
              <w:ind w:right="100"/>
              <w:spacing w:after="0"/>
              <w:rPr>
                <w:sz w:val="20"/>
                <w:szCs w:val="20"/>
                <w:color w:val="auto"/>
              </w:rPr>
            </w:pPr>
            <w:r>
              <w:rPr>
                <w:rFonts w:ascii="Arial" w:cs="Arial" w:eastAsia="Arial" w:hAnsi="Arial"/>
                <w:sz w:val="18"/>
                <w:szCs w:val="18"/>
                <w:color w:val="auto"/>
              </w:rPr>
              <w:t>$   (67)</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   339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2,187</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7"/>
          </w:tcPr>
          <w:p>
            <w:pPr>
              <w:jc w:val="right"/>
              <w:ind w:right="160"/>
              <w:spacing w:after="0"/>
              <w:rPr>
                <w:sz w:val="20"/>
                <w:szCs w:val="20"/>
                <w:color w:val="auto"/>
              </w:rPr>
            </w:pPr>
            <w:r>
              <w:rPr>
                <w:rFonts w:ascii="Arial" w:cs="Arial" w:eastAsia="Arial" w:hAnsi="Arial"/>
                <w:sz w:val="18"/>
                <w:szCs w:val="18"/>
                <w:color w:val="auto"/>
              </w:rPr>
              <w:t>284</w:t>
            </w:r>
          </w:p>
        </w:tc>
        <w:tc>
          <w:tcPr>
            <w:tcW w:w="1060" w:type="dxa"/>
            <w:vAlign w:val="bottom"/>
            <w:gridSpan w:val="5"/>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560</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Interest and other (expense) income,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50"/>
              <w:spacing w:after="0"/>
              <w:rPr>
                <w:sz w:val="20"/>
                <w:szCs w:val="20"/>
                <w:color w:val="auto"/>
              </w:rPr>
            </w:pPr>
            <w:r>
              <w:rPr>
                <w:rFonts w:ascii="Arial" w:cs="Arial" w:eastAsia="Arial" w:hAnsi="Arial"/>
                <w:sz w:val="18"/>
                <w:szCs w:val="18"/>
                <w:color w:val="auto"/>
                <w:w w:val="89"/>
              </w:rPr>
              <w:t>(10,514)</w:t>
            </w:r>
          </w:p>
        </w:tc>
        <w:tc>
          <w:tcPr>
            <w:tcW w:w="1160" w:type="dxa"/>
            <w:vAlign w:val="bottom"/>
            <w:gridSpan w:val="7"/>
          </w:tcPr>
          <w:p>
            <w:pPr>
              <w:jc w:val="right"/>
              <w:ind w:right="100"/>
              <w:spacing w:after="0"/>
              <w:rPr>
                <w:sz w:val="20"/>
                <w:szCs w:val="20"/>
                <w:color w:val="auto"/>
              </w:rPr>
            </w:pPr>
            <w:r>
              <w:rPr>
                <w:rFonts w:ascii="Arial" w:cs="Arial" w:eastAsia="Arial" w:hAnsi="Arial"/>
                <w:sz w:val="18"/>
                <w:szCs w:val="18"/>
                <w:color w:val="auto"/>
              </w:rPr>
              <w:t>(9,674)</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30,150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(1,653)</w:t>
            </w:r>
          </w:p>
        </w:tc>
        <w:tc>
          <w:tcPr>
            <w:tcW w:w="11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3"/>
        </w:trPr>
        <w:tc>
          <w:tcPr>
            <w:tcW w:w="610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60" w:type="dxa"/>
            <w:vAlign w:val="bottom"/>
            <w:gridSpan w:val="3"/>
          </w:tcPr>
          <w:p>
            <w:pPr>
              <w:jc w:val="right"/>
              <w:ind w:right="5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(7,786</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Accounts Receivable, Net</w:t>
            </w: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0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 consists of the following: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$664,099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$723,921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229,695</w:t>
            </w:r>
          </w:p>
        </w:tc>
        <w:tc>
          <w:tcPr>
            <w:tcW w:w="180" w:type="dxa"/>
            <w:vAlign w:val="bottom"/>
          </w:tcPr>
          <w:p>
            <w:pPr>
              <w:spacing w:after="0"/>
              <w:rPr>
                <w:sz w:val="18"/>
                <w:szCs w:val="18"/>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134,122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 allowances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(28,726)</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(39,512)</w:t>
            </w:r>
          </w:p>
        </w:tc>
        <w:tc>
          <w:tcPr>
            <w:tcW w:w="0" w:type="dxa"/>
            <w:vAlign w:val="bottom"/>
          </w:tcPr>
          <w:p>
            <w:pPr>
              <w:spacing w:after="0"/>
              <w:rPr>
                <w:sz w:val="1"/>
                <w:szCs w:val="1"/>
                <w:color w:val="auto"/>
              </w:rPr>
            </w:pPr>
          </w:p>
        </w:tc>
      </w:tr>
      <w:tr>
        <w:trPr>
          <w:trHeight w:val="223"/>
        </w:trPr>
        <w:tc>
          <w:tcPr>
            <w:tcW w:w="6100" w:type="dxa"/>
            <w:vAlign w:val="bottom"/>
            <w:gridSpan w:val="2"/>
          </w:tcPr>
          <w:p>
            <w:pPr>
              <w:ind w:left="880"/>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865,068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818,531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Equipment and Leasehold Improvements, Net</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00" w:type="dxa"/>
            <w:vAlign w:val="bottom"/>
            <w:gridSpan w:val="2"/>
          </w:tcPr>
          <w:p>
            <w:pPr>
              <w:ind w:left="440"/>
              <w:spacing w:after="0"/>
              <w:rPr>
                <w:sz w:val="20"/>
                <w:szCs w:val="20"/>
                <w:color w:val="auto"/>
              </w:rPr>
            </w:pPr>
            <w:r>
              <w:rPr>
                <w:rFonts w:ascii="Arial" w:cs="Arial" w:eastAsia="Arial" w:hAnsi="Arial"/>
                <w:sz w:val="18"/>
                <w:szCs w:val="18"/>
                <w:color w:val="auto"/>
              </w:rPr>
              <w:t>Components of equipment and leasehold improvements, net are: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11"/>
          </w:tcPr>
          <w:p>
            <w:pPr>
              <w:jc w:val="right"/>
              <w:ind w:right="600"/>
              <w:spacing w:after="0"/>
              <w:rPr>
                <w:sz w:val="20"/>
                <w:szCs w:val="20"/>
                <w:color w:val="auto"/>
              </w:rPr>
            </w:pPr>
            <w:r>
              <w:rPr>
                <w:rFonts w:ascii="Arial" w:cs="Arial" w:eastAsia="Arial" w:hAnsi="Arial"/>
                <w:sz w:val="14"/>
                <w:szCs w:val="14"/>
                <w:b w:val="1"/>
                <w:bCs w:val="1"/>
                <w:color w:val="auto"/>
                <w:w w:val="99"/>
              </w:rPr>
              <w:t>As of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978,040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$1,016,973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213,166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56,324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52,372</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1,247,530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1,275,540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8"/>
              </w:rPr>
              <w:t>(891,845)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(943,812)</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355,685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331,728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Total depreciation expense on equipment and leasehold improvements for fiscal years 2017, 2016 and 2015, was $105,027, $113,717 and $108,169, respectively.</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September 30, 2017 and 2016, the unamortized software assets developed for internal use were $127,080 and $104,346, respectively, and are presented under Computer equipment in the table above.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240" w:top="459" w:right="5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121"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The following table presents details of the Company’s total goodwill:</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As of October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Goodwill resulting from acquisitions(1)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As of September 30, 2016</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Goodwill resulting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As of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135255</wp:posOffset>
            </wp:positionV>
            <wp:extent cx="694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 w:hanging="97"/>
        <w:spacing w:after="0"/>
        <w:tabs>
          <w:tab w:leader="none" w:pos="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2,049,093</w:t>
      </w:r>
    </w:p>
    <w:p>
      <w:pPr>
        <w:spacing w:after="0" w:line="34"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7"/>
          <w:szCs w:val="17"/>
          <w:color w:val="auto"/>
        </w:rPr>
        <w:t>164,506</w:t>
      </w:r>
    </w:p>
    <w:p>
      <w:pPr>
        <w:spacing w:after="0" w:line="20"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6"/>
          <w:szCs w:val="16"/>
          <w:color w:val="auto"/>
        </w:rPr>
        <w:t>(1,960)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5232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5"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2,211,639</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18,535</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(8,965)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32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$2,221,209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39370</wp:posOffset>
            </wp:positionV>
            <wp:extent cx="5232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800" w:space="720"/>
            <w:col w:w="2600"/>
          </w:cols>
          <w:pgMar w:left="240" w:top="459" w:right="539" w:bottom="1440" w:gutter="0" w:footer="0" w:header="0"/>
        </w:sectPr>
      </w:pPr>
    </w:p>
    <w:p>
      <w:pPr>
        <w:spacing w:after="0" w:line="52" w:lineRule="exact"/>
        <w:rPr>
          <w:sz w:val="20"/>
          <w:szCs w:val="20"/>
          <w:color w:val="auto"/>
        </w:rPr>
      </w:pPr>
    </w:p>
    <w:p>
      <w:pPr>
        <w:ind w:left="640" w:hanging="436"/>
        <w:spacing w:after="0" w:line="271"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Mainly relates to the acquisitions of Vindicia, Brite:Bill and Pontis. In allocating the total purchase price of Vindicia based on estimated fair values, the Company recorded $62,210 of goodwill, $20,091 of core technology to be amortized over approximately three years, $11,623 of customer relationships to be amortized over approximately five years and $1,103 of other intangible assets to be amortized over approximately two years. In allocating the total purchase price of Brite:Bill based on estimated fair values, the Company recorded $45,037 of goodwill, $20,917 of core technology to be amortized over approximately three years, $9,638 of customer relationships to be amortized over approximately seven years and $773 of other intangible assets to be amortized over approximately two years. In allocating the total purchase price of Pontis based on estimated fair values, the Company recorded $40,457 of goodwill, $24,361 of core technology to be amortized over approximately four years and $20,993 of customer relationships to be amortized over approximately six years.</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years 2017, 2016 or 2015.</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Gross</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2017</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Core technology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604,673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(513,501)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91,172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497,296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(414,654)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82,642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1"/>
              </w:rPr>
              <w:t>Intellectual property rights and purchased computer software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51,996</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(51,996)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33,542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1,187,507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(1,010,181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177,326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2016</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Core technology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604,673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(451,169)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153,504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491,639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(370,658)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1"/>
              </w:rPr>
              <w:t>Intellectual property rights and purchased computer software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51,996</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(51,996)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33,542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1,181,850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(900,323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281,527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400" w:type="dxa"/>
            <w:vAlign w:val="bottom"/>
            <w:gridSpan w:val="2"/>
          </w:tcPr>
          <w:p>
            <w:pPr>
              <w:jc w:val="right"/>
              <w:ind w:right="965"/>
              <w:spacing w:after="0"/>
              <w:rPr>
                <w:sz w:val="20"/>
                <w:szCs w:val="20"/>
                <w:color w:val="auto"/>
              </w:rPr>
            </w:pPr>
            <w:r>
              <w:rPr>
                <w:rFonts w:ascii="Arial" w:cs="Arial" w:eastAsia="Arial" w:hAnsi="Arial"/>
                <w:sz w:val="18"/>
                <w:szCs w:val="18"/>
                <w:color w:val="auto"/>
                <w:w w:val="91"/>
              </w:rPr>
              <w:t>F-25</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table presents the amortization expense of the Company’s definite-lived purchased intangible assets, included in each financial statement caption reported in the consolidated statements of income:</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w w:val="92"/>
              </w:rPr>
              <w:t>Year Ended September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Amortization of definite-lived purchased intangible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108,453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96,465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65,017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98,074</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66,626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2017 is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79,916</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54,007</w:t>
            </w: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23,163</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6,534</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6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177,326</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1"/>
              </w:rPr>
              <w:t>Year Ended September 30,</w:t>
            </w:r>
          </w:p>
        </w:tc>
      </w:tr>
      <w:tr>
        <w:trPr>
          <w:trHeight w:val="142"/>
        </w:trPr>
        <w:tc>
          <w:tcPr>
            <w:tcW w:w="6320" w:type="dxa"/>
            <w:vAlign w:val="bottom"/>
          </w:tcPr>
          <w:p>
            <w:pPr>
              <w:spacing w:after="0"/>
              <w:rPr>
                <w:sz w:val="12"/>
                <w:szCs w:val="12"/>
                <w:color w:val="auto"/>
              </w:rPr>
            </w:pPr>
          </w:p>
        </w:tc>
        <w:tc>
          <w:tcPr>
            <w:tcW w:w="6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$69,535</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$77,682</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$ 94,128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Deferred</w:t>
            </w:r>
          </w:p>
        </w:tc>
        <w:tc>
          <w:tcPr>
            <w:tcW w:w="600" w:type="dxa"/>
            <w:vAlign w:val="bottom"/>
          </w:tcPr>
          <w:p>
            <w:pPr>
              <w:jc w:val="right"/>
              <w:spacing w:after="0"/>
              <w:rPr>
                <w:sz w:val="20"/>
                <w:szCs w:val="20"/>
                <w:color w:val="auto"/>
              </w:rPr>
            </w:pPr>
            <w:r>
              <w:rPr>
                <w:rFonts w:ascii="Arial" w:cs="Arial" w:eastAsia="Arial" w:hAnsi="Arial"/>
                <w:sz w:val="18"/>
                <w:szCs w:val="18"/>
                <w:color w:val="auto"/>
              </w:rPr>
              <w:t>6,551</w:t>
            </w:r>
          </w:p>
        </w:tc>
        <w:tc>
          <w:tcPr>
            <w:tcW w:w="5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(2,315)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(26,887)</w:t>
            </w:r>
          </w:p>
        </w:tc>
      </w:tr>
      <w:tr>
        <w:trPr>
          <w:trHeight w:val="216"/>
        </w:trPr>
        <w:tc>
          <w:tcPr>
            <w:tcW w:w="6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76,086</w:t>
            </w:r>
          </w:p>
        </w:tc>
        <w:tc>
          <w:tcPr>
            <w:tcW w:w="5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75,367</w:t>
            </w: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$ 67,241</w:t>
            </w:r>
          </w:p>
        </w:tc>
        <w:tc>
          <w:tcPr>
            <w:tcW w:w="10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During fiscal year 2017, the Company recognized $4,817 of deferred income tax expense as a result of enacted changes in tax laws or rates.</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During fiscal years 2016 and 2015, the Company recognized immaterial deferred income tax expense as a result of enacted changes in tax laws or rates.</w:t>
      </w:r>
    </w:p>
    <w:p>
      <w:pPr>
        <w:spacing w:after="0" w:line="16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240" w:top="459"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10"/>
          </w:tcPr>
          <w:p>
            <w:pPr>
              <w:jc w:val="right"/>
              <w:ind w:right="10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44,571</w:t>
            </w:r>
          </w:p>
        </w:tc>
        <w:tc>
          <w:tcPr>
            <w:tcW w:w="3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compensation and benefits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87,204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80,312</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Intangible assets, computer software and intellectual property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14,997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 net capital and operating loss carryforwards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155,478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168,641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78,114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380,364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389,227</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Valuation allowances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(94,573)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(96,870)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 net</w:t>
            </w: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285,791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292,357</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40" w:type="dxa"/>
            <w:vAlign w:val="bottom"/>
            <w:gridSpan w:val="2"/>
          </w:tcPr>
          <w:p>
            <w:pPr>
              <w:ind w:left="220"/>
              <w:spacing w:after="0"/>
              <w:rPr>
                <w:sz w:val="20"/>
                <w:szCs w:val="20"/>
                <w:color w:val="auto"/>
              </w:rPr>
            </w:pPr>
            <w:r>
              <w:rPr>
                <w:rFonts w:ascii="Arial" w:cs="Arial" w:eastAsia="Arial" w:hAnsi="Arial"/>
                <w:sz w:val="18"/>
                <w:szCs w:val="18"/>
                <w:color w:val="auto"/>
              </w:rPr>
              <w:t>Deferred tax liabilities: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Anticipated withholdings on subsidiaries’ earnings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(74,419)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(66,628)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Intangible assets, computer software and intellectual property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(136,238)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0"/>
              </w:rPr>
              <w:t>(146,848)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(32,736)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(243,393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(239,704</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42,398</w:t>
            </w: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52,653</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4"/>
            <w:vMerge w:val="restart"/>
          </w:tcPr>
          <w:p>
            <w:pPr>
              <w:ind w:left="420"/>
              <w:spacing w:after="0"/>
              <w:rPr>
                <w:sz w:val="20"/>
                <w:szCs w:val="20"/>
                <w:color w:val="auto"/>
              </w:rPr>
            </w:pPr>
            <w:r>
              <w:rPr>
                <w:rFonts w:ascii="Arial" w:cs="Arial" w:eastAsia="Arial" w:hAnsi="Arial"/>
                <w:sz w:val="18"/>
                <w:szCs w:val="18"/>
                <w:color w:val="auto"/>
              </w:rPr>
              <w:t>The effective income tax rate varied from the statutory Guernsey tax rate as follows: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Foreign taxes(1)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15</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8"/>
              </w:rPr>
              <w:t>15%</w:t>
            </w: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line="271" w:lineRule="auto"/>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fiscal year 2017, foreign taxes included a benefit of $9,450 due to conclusions of tax audits in certain jurisdictions, which resulted in a reduction to the Company’s provision for gross unrecognized tax benefits. Foreign taxes in fiscal year 2017 also included a net benefit of $11,037 due to a reduction of taxes payable, partially offset by a reduction of deferred tax asset on operating loss carryforwards of certain of the Company’s subsidiaries resulting from internal structural changes in certain jurisdictions in which the Company operates. In addition, foreign taxes in fiscal year 2017 included a benefit of $28,774 that was attributable to the expiration of the periods set forth in statutes of limitations related to unrecognized tax benefits accumulated over several years in certain jurisdictions. Foreign taxes in fiscal year 2017 also included a benefit of $12,754 resulting from the release of valuation allowances on deferred tax assets at certain of the Company’s subsidiaries, which will, more likely than not, be realized due to the Company’s projections of future taxable income</w:t>
      </w:r>
    </w:p>
    <w:p>
      <w:pPr>
        <w:spacing w:after="0" w:line="70" w:lineRule="exact"/>
        <w:rPr>
          <w:rFonts w:ascii="Arial" w:cs="Arial" w:eastAsia="Arial" w:hAnsi="Arial"/>
          <w:sz w:val="17"/>
          <w:szCs w:val="17"/>
          <w:color w:val="auto"/>
        </w:rPr>
      </w:pPr>
    </w:p>
    <w:p>
      <w:pPr>
        <w:ind w:left="640" w:right="160"/>
        <w:spacing w:after="0" w:line="276" w:lineRule="auto"/>
        <w:rPr>
          <w:rFonts w:ascii="Arial" w:cs="Arial" w:eastAsia="Arial" w:hAnsi="Arial"/>
          <w:sz w:val="17"/>
          <w:szCs w:val="17"/>
          <w:color w:val="auto"/>
        </w:rPr>
      </w:pPr>
      <w:r>
        <w:rPr>
          <w:rFonts w:ascii="Arial" w:cs="Arial" w:eastAsia="Arial" w:hAnsi="Arial"/>
          <w:sz w:val="17"/>
          <w:szCs w:val="17"/>
          <w:color w:val="auto"/>
        </w:rPr>
        <w:t>In fiscal year 2016, foreign taxes included a net benefit of $15,264 due to settlements and conclusions of tax audits in certain jurisdictions that resulted in a reduction to the Company’s provision for gross unrecognized tax benefits, partially offset by a decrease to the Company’s taxes receivable and deferred tax assets. Foreign taxes in fiscal year 2016 also included a decrease of $4,606 that was attributable to the expiration of statutes of limitations related to unrecognized tax benefits accumulated over several years in certain jurisdictions, which was partially offset by provisions for new uncertain tax positions of $23,597 recognized</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24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color w:val="auto"/>
        </w:rPr>
        <w:t>during fiscal year 2016. In addition, foreign taxes in fiscal year 2016 included a benefit of $19,963 as a result of a release of tax provision in light of a non-taxable internal capital gain recognized during fiscal year 2016. Foreign taxes in fiscal year 2016 included also a benefit of $15,651 resulting from the release of valuation allowances on deferred tax assets at several of the Company’s subsidiaries, which will, more likely than not, be realized due to the Company’s projections of future taxable income.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income before income tax expense is considered to be foreign income.</w:t>
      </w:r>
    </w:p>
    <w:p>
      <w:pPr>
        <w:spacing w:after="0" w:line="21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During fiscal year 2017, the net decrease in valuation allowances was $2,297, which related to the uncertainty of realizing tax benefits primarily for tax credits, net capital and operating loss carryforwards related to certain of the Company’s subsidiaries. As of September 30, 2017, the Company had tax credits, net capital and operating loss carryforwards of $707,761, of which $180,882 have expiration dates through 2036, and the remainder do not expire.</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During fiscal year 2016, the net decrease in valuation allowances was $15,295, which related to the uncertainty of realizing tax benefits primarily for tax credits, net capital and operating loss carryforwards related to certain of the Company’s subsidiaries. As of September 30, 2016, the Company had tax credits, net capital and operating loss carryforwards of $773,721, of which $214,538 have expiration dates through 2036, and the remainder do not expire.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$196,668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$126,706</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rPr>
              <w:t>22,319</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65,009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22,314</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12,261</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41,183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11,125</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Settlements with tax authorities</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(9,450)</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(31,624)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(13,443)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(28,774)</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(4,606)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(17,232)</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Balance at end of fiscal year</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193,024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196,668</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126,706</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total amount of unrecognized tax benefits, which includes interest and penalties, was $193,024 as of September 30, 2017, and $196,668 as of September 30, 2016, all of which would affect the effective tax rate if realized.</w:t>
      </w:r>
    </w:p>
    <w:p>
      <w:pPr>
        <w:spacing w:after="0" w:line="170" w:lineRule="exact"/>
        <w:rPr>
          <w:sz w:val="20"/>
          <w:szCs w:val="20"/>
          <w:color w:val="auto"/>
        </w:rPr>
      </w:pPr>
    </w:p>
    <w:p>
      <w:pPr>
        <w:jc w:val="both"/>
        <w:ind w:left="200" w:right="100" w:firstLine="441"/>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As of September 30, 2017, the Company had accrued $28,228 in income taxes payable for interest and penalties relating to unrecognized tax benefits, of which a benefit of $2,910 was recognized in the statements of income in fiscal year 2017. As of September 30, 2016, the Company had accrued $31,138 in income taxes payable for interest and penalties relating to unrecognized tax benefits, of which an expense of $8,919 was recognized in the statements of income in fiscal year 2016.</w:t>
      </w:r>
    </w:p>
    <w:p>
      <w:pPr>
        <w:spacing w:after="0" w:line="188"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as of September 30, 2017, the Company cannot estimate the change in unrecognized tax benefits resulting from these audits within the next 12 months.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It is reasonably possible that the amount of unrecognized tax benefits may decrease by $17,360 during fiscal 2018 as a result of lapse of statutes of limitations in jurisdictions in which the Company operates.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 Repurchase of Shares</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From time to time, the Company’s Board of Directors has adopted share repurchase plans authorizing the repurchase of the Company’s outstanding ordinary shares. The current share repurchase plan, adopted by the Company’s Board of Directors on February 2, 2016, authorizes the repurchase of up to $750,000 of the Company’s outstanding ordinary shares with no expiration date. In fiscal year 2017, the Company repurchased approximately 5,519 ordinary shares at an average price of $61.70 per share (excluding broker and transaction fees). As of September 30, 2017, the Company had remaining authority to repurchase up to $256,261 of its outstanding ordinary shares. On November 8, 2017, the Company’s Board of Directors adopted another share repurchase plan for the repurchase of up to an additional $800,000 of its outstanding ordinary shares with no expiration date. The authorizations permit the Company to purchase its ordinary shares in open market or privately negotiated transactions at times and prices that it considers appropriate.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 Financing Arrangements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in part on the Company’s credit ratings. In September 2016, the Company borrowed an aggregate of $200,000 under the facility and repaid it in October 2016. In March 2017, the Company borrowed an aggregate of $200,000 under the facility and repaid it in April 2017. As of September 30, 2017, the Company was in compliance with the financial covenants under the revolving credit facility and had no outstanding borrowings under this facility.</w:t>
      </w:r>
    </w:p>
    <w:p>
      <w:pPr>
        <w:spacing w:after="0" w:line="17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As of September 30, 2017, the Company had additional uncommitted lines of credit available for general corporate and other specific purposes and had outstanding letters of credit and bank guarantees from various banks totaling $33,682. These were supported by a combination of the uncommitted lines of credit that the Company maintains with various banks.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 Accrued Expenses and Other 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4"/>
          </w:tcPr>
          <w:p>
            <w:pPr>
              <w:ind w:left="34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$227,049</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$ 208,357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Taxes payable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34,143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38,430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Derivative instruments(2)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331,818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668,087</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$ 611,705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380" w:hanging="436"/>
        <w:spacing w:after="0" w:line="258"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payable as a result of the August 2, 2017 and the July 26, 2016 dividend declarations. See Note 18 to the consolidated financial statements.</w:t>
      </w:r>
    </w:p>
    <w:p>
      <w:pPr>
        <w:spacing w:after="0" w:line="1" w:lineRule="exact"/>
        <w:rPr>
          <w:rFonts w:ascii="Arial" w:cs="Arial" w:eastAsia="Arial" w:hAnsi="Arial"/>
          <w:sz w:val="18"/>
          <w:szCs w:val="18"/>
          <w:color w:val="auto"/>
        </w:rPr>
      </w:pPr>
    </w:p>
    <w:p>
      <w:pPr>
        <w:ind w:left="640" w:right="140" w:hanging="436"/>
        <w:spacing w:after="0" w:line="261"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See Note 6 to the consolidated financial statements.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60"/>
          </w:cols>
          <w:pgMar w:left="24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 Interest and other income (expense),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and other income (expense), net, consists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$ 7,972</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$ 6,815</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$ 4,615</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3480" w:type="dxa"/>
            <w:vAlign w:val="bottom"/>
            <w:gridSpan w:val="3"/>
          </w:tcPr>
          <w:p>
            <w:pPr>
              <w:jc w:val="right"/>
              <w:ind w:right="428"/>
              <w:spacing w:after="0"/>
              <w:rPr>
                <w:sz w:val="20"/>
                <w:szCs w:val="20"/>
                <w:color w:val="auto"/>
              </w:rPr>
            </w:pPr>
            <w:r>
              <w:rPr>
                <w:rFonts w:ascii="Arial" w:cs="Arial" w:eastAsia="Arial" w:hAnsi="Arial"/>
                <w:sz w:val="18"/>
                <w:szCs w:val="18"/>
                <w:color w:val="auto"/>
              </w:rPr>
              <w:t>(1,600)</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(1,667)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(3,142)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348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(8,246)</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(1,998)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net</w:t>
            </w:r>
          </w:p>
        </w:tc>
        <w:tc>
          <w:tcPr>
            <w:tcW w:w="2360" w:type="dxa"/>
            <w:vAlign w:val="bottom"/>
          </w:tcPr>
          <w:p>
            <w:pPr>
              <w:spacing w:after="0"/>
              <w:rPr>
                <w:sz w:val="18"/>
                <w:szCs w:val="18"/>
                <w:color w:val="auto"/>
              </w:rPr>
            </w:pPr>
          </w:p>
        </w:tc>
        <w:tc>
          <w:tcPr>
            <w:tcW w:w="1120" w:type="dxa"/>
            <w:vAlign w:val="bottom"/>
            <w:gridSpan w:val="2"/>
          </w:tcPr>
          <w:p>
            <w:pPr>
              <w:jc w:val="right"/>
              <w:ind w:right="428"/>
              <w:spacing w:after="0"/>
              <w:rPr>
                <w:sz w:val="20"/>
                <w:szCs w:val="20"/>
                <w:color w:val="auto"/>
              </w:rPr>
            </w:pPr>
            <w:r>
              <w:rPr>
                <w:rFonts w:ascii="Arial" w:cs="Arial" w:eastAsia="Arial" w:hAnsi="Arial"/>
                <w:sz w:val="18"/>
                <w:szCs w:val="18"/>
                <w:color w:val="auto"/>
              </w:rPr>
              <w:t>(2,547)</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(1,593)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4,113</w:t>
            </w:r>
          </w:p>
        </w:tc>
      </w:tr>
      <w:tr>
        <w:trPr>
          <w:trHeight w:val="27"/>
        </w:trPr>
        <w:tc>
          <w:tcPr>
            <w:tcW w:w="3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(4,421)</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$ 1,557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(2,544)</w:t>
            </w:r>
          </w:p>
        </w:tc>
      </w:tr>
      <w:tr>
        <w:trPr>
          <w:trHeight w:val="20"/>
        </w:trPr>
        <w:tc>
          <w:tcPr>
            <w:tcW w:w="3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 Contingencies and Commitments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Company leases office space and vehicles under non-cancelable operating leases in various countries in which it does business. Future minimum non-cancelable lease payments, which include rent and other payments the Company is obligated to make, based on the Company’s contractual obligations as of September 30, 2017 are as follows: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85"/>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4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196"/>
        </w:trPr>
        <w:tc>
          <w:tcPr>
            <w:tcW w:w="2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2018</w:t>
            </w:r>
          </w:p>
        </w:tc>
        <w:tc>
          <w:tcPr>
            <w:tcW w:w="4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75,549</w:t>
            </w:r>
          </w:p>
        </w:tc>
        <w:tc>
          <w:tcPr>
            <w:tcW w:w="60" w:type="dxa"/>
            <w:vAlign w:val="bottom"/>
            <w:shd w:val="clear" w:color="auto" w:fill="CCEEFF"/>
          </w:tcPr>
          <w:p>
            <w:pPr>
              <w:spacing w:after="0"/>
              <w:rPr>
                <w:sz w:val="17"/>
                <w:szCs w:val="17"/>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2019</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61,280</w:t>
            </w:r>
          </w:p>
        </w:tc>
        <w:tc>
          <w:tcPr>
            <w:tcW w:w="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56,817</w:t>
            </w:r>
          </w:p>
        </w:tc>
        <w:tc>
          <w:tcPr>
            <w:tcW w:w="6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48,883</w:t>
            </w:r>
          </w:p>
        </w:tc>
        <w:tc>
          <w:tcPr>
            <w:tcW w:w="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41,769</w:t>
            </w:r>
          </w:p>
        </w:tc>
        <w:tc>
          <w:tcPr>
            <w:tcW w:w="60" w:type="dxa"/>
            <w:vAlign w:val="bottom"/>
            <w:shd w:val="clear" w:color="auto" w:fill="CCEEFF"/>
          </w:tcPr>
          <w:p>
            <w:pPr>
              <w:spacing w:after="0"/>
              <w:rPr>
                <w:sz w:val="18"/>
                <w:szCs w:val="18"/>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41,393</w:t>
            </w:r>
          </w:p>
        </w:tc>
        <w:tc>
          <w:tcPr>
            <w:tcW w:w="60" w:type="dxa"/>
            <w:vAlign w:val="bottom"/>
          </w:tcPr>
          <w:p>
            <w:pPr>
              <w:spacing w:after="0"/>
              <w:rPr>
                <w:sz w:val="19"/>
                <w:szCs w:val="19"/>
                <w:color w:val="auto"/>
              </w:rPr>
            </w:pPr>
          </w:p>
        </w:tc>
      </w:tr>
      <w:tr>
        <w:trPr>
          <w:trHeight w:val="216"/>
        </w:trPr>
        <w:tc>
          <w:tcPr>
            <w:tcW w:w="208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325,691</w:t>
            </w:r>
          </w:p>
        </w:tc>
        <w:tc>
          <w:tcPr>
            <w:tcW w:w="60" w:type="dxa"/>
            <w:vAlign w:val="bottom"/>
            <w:shd w:val="clear" w:color="auto" w:fill="CCEEFF"/>
          </w:tcPr>
          <w:p>
            <w:pPr>
              <w:spacing w:after="0"/>
              <w:rPr>
                <w:sz w:val="18"/>
                <w:szCs w:val="18"/>
                <w:color w:val="auto"/>
              </w:rPr>
            </w:pPr>
          </w:p>
        </w:tc>
      </w:tr>
      <w:tr>
        <w:trPr>
          <w:trHeight w:val="20"/>
        </w:trPr>
        <w:tc>
          <w:tcPr>
            <w:tcW w:w="20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Rent expense net of sublease income was approximately $55,480, $53,164 and $47,032 for fiscal years 2017, 2016 and 2015, respectively. The Company had no committed future sublease income as of September 30, 2017.</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Company is currently defending a lawsuit against certain of its subsidiaries in the U.S. District Court in Oregon alleging breach of contract and trade secret misappropriation. According to the suit, the Company improperly utilized information received from the plaintiff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will continue. The Company intends to continue to vigorously defend against the allegations set forth in the complaint. At this stage, the Company cannot determine that a loss amount is probable and is unable to reasonably estimate the ultimate outcome of the above suit, therefore no amounts have been accrued related to the outcome of such suit.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a contract, under which the Company was providing certain services, and which has been terminated by the counterparty in connection with such dispute and which is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81" w:lineRule="exact"/>
        <w:rPr>
          <w:sz w:val="20"/>
          <w:szCs w:val="20"/>
          <w:color w:val="auto"/>
        </w:rPr>
      </w:pPr>
    </w:p>
    <w:p>
      <w:pPr>
        <w:jc w:val="both"/>
        <w:ind w:left="200" w:right="360" w:firstLine="441"/>
        <w:spacing w:after="0" w:line="312" w:lineRule="auto"/>
        <w:rPr>
          <w:sz w:val="20"/>
          <w:szCs w:val="20"/>
          <w:color w:val="auto"/>
        </w:rPr>
      </w:pPr>
      <w:r>
        <w:rPr>
          <w:rFonts w:ascii="Arial" w:cs="Arial" w:eastAsia="Arial" w:hAnsi="Arial"/>
          <w:sz w:val="16"/>
          <w:szCs w:val="16"/>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2017, 2016 and 2015.</w:t>
      </w:r>
    </w:p>
    <w:p>
      <w:pPr>
        <w:spacing w:after="0" w:line="14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 — Employee Benefits</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amounted to $267,713 and $240,414 as of September 30, 2017 and 2016, respectively, and is included as accrued employee costs in other noncurrent liabilities. This liability is partially funded by amounts on deposit with insurance companies that totaled $206,054 and $185,836 as of September 30, 2017 and 2016, respectively, and are included in other noncurrent assets. The accrued severance expenses were $32,908, $34,165 and $31,086 for fiscal years 2017, 2016 and 2015, respectively.</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years 2017, 2016 and 2015 under such plans were not material compared to total operating expenses.</w:t>
      </w:r>
    </w:p>
    <w:p>
      <w:pPr>
        <w:spacing w:after="0" w:line="181"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The pension and other benefits costs related to the non-contributory defined benefit plans were immaterial in fiscal years 2017, 2016 and 2015.</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17 — Stock Option and Incentive Plan</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Awards granted under the Equity Incentive Plan generally vest over a period of four years and stock options have a term of ten years</w:t>
      </w:r>
    </w:p>
    <w:p>
      <w:pPr>
        <w:spacing w:after="0" w:line="154"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fiscal year ended September 30, 2017:</w:t>
      </w:r>
    </w:p>
    <w:p>
      <w:pPr>
        <w:spacing w:after="0" w:line="184"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480" w:type="dxa"/>
            <w:vAlign w:val="bottom"/>
            <w:gridSpan w:val="3"/>
          </w:tcPr>
          <w:p>
            <w:pPr>
              <w:jc w:val="center"/>
              <w:ind w:left="736"/>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Share</w:t>
            </w:r>
          </w:p>
        </w:tc>
        <w:tc>
          <w:tcPr>
            <w:tcW w:w="16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2016</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2,062</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(508)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2017(1)</w:t>
            </w:r>
          </w:p>
        </w:tc>
        <w:tc>
          <w:tcPr>
            <w:tcW w:w="13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September 30, 2017(1)</w:t>
            </w:r>
          </w:p>
        </w:tc>
        <w:tc>
          <w:tcPr>
            <w:tcW w:w="2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40.33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4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460" w:hanging="436"/>
        <w:spacing w:after="0" w:line="277"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of September 30, 2017, the weighted average remaining contractual life of outstanding and exercisable options was 7.40 and 5.66 years,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during the fiscal year ended September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 Average</w:t>
            </w:r>
          </w:p>
        </w:tc>
      </w:tr>
      <w:tr>
        <w:trPr>
          <w:trHeight w:val="29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5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24"/>
                <w:szCs w:val="2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Grant Date Fair</w:t>
            </w:r>
          </w:p>
        </w:tc>
      </w:tr>
      <w:tr>
        <w:trPr>
          <w:trHeight w:val="282"/>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2016</w:t>
            </w:r>
          </w:p>
        </w:tc>
        <w:tc>
          <w:tcPr>
            <w:tcW w:w="1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2017</w:t>
            </w:r>
          </w:p>
        </w:tc>
        <w:tc>
          <w:tcPr>
            <w:tcW w:w="1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total intrinsic value of options exercised during fiscal years 2017, 2016 and 2015 was $47,321, $65,292 and $51,812, respectively.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value of restricted shares vested during fiscal years 2017, 2016 and 2015 was $36,922, $39,490 and $39,734, respectively.</w:t>
      </w:r>
    </w:p>
    <w:p>
      <w:pPr>
        <w:spacing w:after="0" w:line="225" w:lineRule="exact"/>
        <w:rPr>
          <w:sz w:val="20"/>
          <w:szCs w:val="20"/>
          <w:color w:val="auto"/>
        </w:rPr>
      </w:pPr>
    </w:p>
    <w:p>
      <w:pPr>
        <w:jc w:val="center"/>
        <w:ind w:left="580" w:right="300"/>
        <w:spacing w:after="0" w:line="449" w:lineRule="auto"/>
        <w:rPr>
          <w:sz w:val="20"/>
          <w:szCs w:val="20"/>
          <w:color w:val="auto"/>
        </w:rPr>
      </w:pPr>
      <w:r>
        <w:rPr>
          <w:rFonts w:ascii="Arial" w:cs="Arial" w:eastAsia="Arial" w:hAnsi="Arial"/>
          <w:sz w:val="18"/>
          <w:szCs w:val="18"/>
          <w:color w:val="auto"/>
        </w:rPr>
        <w:t>The aggregate intrinsic value of outstanding and exercisable stock options as of September 30, 2017 was $103,004 and $58,242, respectively. F-32</w:t>
      </w:r>
    </w:p>
    <w:p>
      <w:pPr>
        <w:sectPr>
          <w:pgSz w:w="11900" w:h="16838" w:orient="portrait"/>
          <w:cols w:equalWidth="0" w:num="1">
            <w:col w:w="11140"/>
          </w:cols>
          <w:pgMar w:left="240" w:top="459"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equity-based compensation pre-tax expense for the years ended September 30, 2017, 2016 and 2015 was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$19,215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$18,249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3,536</w:t>
            </w:r>
          </w:p>
        </w:tc>
        <w:tc>
          <w:tcPr>
            <w:tcW w:w="4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3,742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3,400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21,788</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20,709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25,539</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44,539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42,700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44,560</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total income tax benefit recognized in the consolidated statements of income for stock-based compensation (including restricted shares) for fiscal years 2017, 2016 and 2015 was $4,754, $4,503 and $5,490, respectively.</w:t>
      </w:r>
    </w:p>
    <w:p>
      <w:pPr>
        <w:spacing w:after="0" w:line="17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As of September 30, 2017, there was $46,514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16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rate(1)</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4.50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1.47%</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$7.62</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$7.97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 See Note 2 to the consolidated financial statements.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00"/>
          </w:cols>
          <w:pgMar w:left="240" w:top="459" w:right="6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18 — Dividends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Board of Directors declared the following dividends during the fiscal years ended September 30, 2017, 2016 and 2015:</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Dividends Per</w:t>
            </w:r>
          </w:p>
        </w:tc>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5"/>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2420" w:type="dxa"/>
            <w:vAlign w:val="bottom"/>
            <w:gridSpan w:val="2"/>
          </w:tcPr>
          <w:p>
            <w:pPr>
              <w:ind w:left="1100"/>
              <w:spacing w:after="0"/>
              <w:rPr>
                <w:sz w:val="20"/>
                <w:szCs w:val="20"/>
                <w:color w:val="auto"/>
              </w:rPr>
            </w:pPr>
            <w:r>
              <w:rPr>
                <w:rFonts w:ascii="Arial" w:cs="Arial" w:eastAsia="Arial" w:hAnsi="Arial"/>
                <w:sz w:val="14"/>
                <w:szCs w:val="14"/>
                <w:b w:val="1"/>
                <w:bCs w:val="1"/>
                <w:color w:val="auto"/>
              </w:rPr>
              <w:t>Ordinary Share</w:t>
            </w:r>
          </w:p>
        </w:tc>
        <w:tc>
          <w:tcPr>
            <w:tcW w:w="2080" w:type="dxa"/>
            <w:vAlign w:val="bottom"/>
          </w:tcPr>
          <w:p>
            <w:pPr>
              <w:ind w:left="660"/>
              <w:spacing w:after="0"/>
              <w:rPr>
                <w:sz w:val="20"/>
                <w:szCs w:val="20"/>
                <w:color w:val="auto"/>
              </w:rPr>
            </w:pPr>
            <w:r>
              <w:rPr>
                <w:rFonts w:ascii="Arial" w:cs="Arial" w:eastAsia="Arial" w:hAnsi="Arial"/>
                <w:sz w:val="14"/>
                <w:szCs w:val="14"/>
                <w:b w:val="1"/>
                <w:bCs w:val="1"/>
                <w:color w:val="auto"/>
              </w:rPr>
              <w:t>Record Date</w:t>
            </w: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 Amount</w:t>
            </w:r>
          </w:p>
        </w:tc>
        <w:tc>
          <w:tcPr>
            <w:tcW w:w="1600" w:type="dxa"/>
            <w:vAlign w:val="bottom"/>
          </w:tcPr>
          <w:p>
            <w:pPr>
              <w:ind w:left="540"/>
              <w:spacing w:after="0"/>
              <w:rPr>
                <w:sz w:val="20"/>
                <w:szCs w:val="20"/>
                <w:color w:val="auto"/>
              </w:rPr>
            </w:pPr>
            <w:r>
              <w:rPr>
                <w:rFonts w:ascii="Arial" w:cs="Arial" w:eastAsia="Arial" w:hAnsi="Arial"/>
                <w:sz w:val="14"/>
                <w:szCs w:val="14"/>
                <w:b w:val="1"/>
                <w:bCs w:val="1"/>
                <w:color w:val="auto"/>
              </w:rPr>
              <w:t>Payment Date</w:t>
            </w:r>
          </w:p>
        </w:tc>
      </w:tr>
      <w:tr>
        <w:trPr>
          <w:trHeight w:val="210"/>
        </w:trPr>
        <w:tc>
          <w:tcPr>
            <w:tcW w:w="20" w:type="dxa"/>
            <w:vAlign w:val="bottom"/>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4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0.220</w:t>
            </w:r>
          </w:p>
        </w:tc>
        <w:tc>
          <w:tcPr>
            <w:tcW w:w="20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September 29, 2017</w:t>
            </w:r>
          </w:p>
        </w:tc>
        <w:tc>
          <w:tcPr>
            <w:tcW w:w="5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31,736</w:t>
            </w:r>
          </w:p>
        </w:tc>
        <w:tc>
          <w:tcPr>
            <w:tcW w:w="1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0"/>
              </w:rPr>
              <w:t>October 23, 2017</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May 9, 2017</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0.220</w:t>
            </w:r>
          </w:p>
        </w:tc>
        <w:tc>
          <w:tcPr>
            <w:tcW w:w="2080" w:type="dxa"/>
            <w:vAlign w:val="bottom"/>
          </w:tcPr>
          <w:p>
            <w:pPr>
              <w:ind w:left="320"/>
              <w:spacing w:after="0"/>
              <w:rPr>
                <w:sz w:val="20"/>
                <w:szCs w:val="20"/>
                <w:color w:val="auto"/>
              </w:rPr>
            </w:pPr>
            <w:r>
              <w:rPr>
                <w:rFonts w:ascii="Arial" w:cs="Arial" w:eastAsia="Arial" w:hAnsi="Arial"/>
                <w:sz w:val="18"/>
                <w:szCs w:val="18"/>
                <w:color w:val="auto"/>
              </w:rPr>
              <w:t>June 30, 2017</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31,981</w:t>
            </w:r>
          </w:p>
        </w:tc>
        <w:tc>
          <w:tcPr>
            <w:tcW w:w="1600" w:type="dxa"/>
            <w:vAlign w:val="bottom"/>
          </w:tcPr>
          <w:p>
            <w:pPr>
              <w:ind w:left="320"/>
              <w:spacing w:after="0"/>
              <w:rPr>
                <w:sz w:val="20"/>
                <w:szCs w:val="20"/>
                <w:color w:val="auto"/>
              </w:rPr>
            </w:pPr>
            <w:r>
              <w:rPr>
                <w:rFonts w:ascii="Arial" w:cs="Arial" w:eastAsia="Arial" w:hAnsi="Arial"/>
                <w:sz w:val="18"/>
                <w:szCs w:val="18"/>
                <w:color w:val="auto"/>
              </w:rPr>
              <w:t>July 14, 2017</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0.220</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2017</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32,223</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14, 2017</w:t>
            </w:r>
          </w:p>
        </w:tc>
      </w:tr>
      <w:tr>
        <w:trPr>
          <w:trHeight w:val="223"/>
        </w:trPr>
        <w:tc>
          <w:tcPr>
            <w:tcW w:w="20" w:type="dxa"/>
            <w:vAlign w:val="bottom"/>
          </w:tcPr>
          <w:p>
            <w:pPr>
              <w:spacing w:after="0"/>
              <w:rPr>
                <w:sz w:val="19"/>
                <w:szCs w:val="19"/>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2016</w:t>
            </w: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0.195</w:t>
            </w: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30, 2016</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28,606</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January 13, 2017</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July 26, 2016</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0.195</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30, 2016</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28,693</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October 21, 2016</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May 4, 2016</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0.195</w:t>
            </w:r>
          </w:p>
        </w:tc>
        <w:tc>
          <w:tcPr>
            <w:tcW w:w="2080" w:type="dxa"/>
            <w:vAlign w:val="bottom"/>
          </w:tcPr>
          <w:p>
            <w:pPr>
              <w:ind w:left="320"/>
              <w:spacing w:after="0"/>
              <w:rPr>
                <w:sz w:val="20"/>
                <w:szCs w:val="20"/>
                <w:color w:val="auto"/>
              </w:rPr>
            </w:pPr>
            <w:r>
              <w:rPr>
                <w:rFonts w:ascii="Arial" w:cs="Arial" w:eastAsia="Arial" w:hAnsi="Arial"/>
                <w:sz w:val="18"/>
                <w:szCs w:val="18"/>
                <w:color w:val="auto"/>
              </w:rPr>
              <w:t>June 30, 2016</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28,836</w:t>
            </w:r>
          </w:p>
        </w:tc>
        <w:tc>
          <w:tcPr>
            <w:tcW w:w="1600" w:type="dxa"/>
            <w:vAlign w:val="bottom"/>
          </w:tcPr>
          <w:p>
            <w:pPr>
              <w:ind w:left="320"/>
              <w:spacing w:after="0"/>
              <w:rPr>
                <w:sz w:val="20"/>
                <w:szCs w:val="20"/>
                <w:color w:val="auto"/>
              </w:rPr>
            </w:pPr>
            <w:r>
              <w:rPr>
                <w:rFonts w:ascii="Arial" w:cs="Arial" w:eastAsia="Arial" w:hAnsi="Arial"/>
                <w:sz w:val="18"/>
                <w:szCs w:val="18"/>
                <w:color w:val="auto"/>
              </w:rPr>
              <w:t>July 15, 2016</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February 2, 2016</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0.195</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2016</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29,206</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15, 2016</w:t>
            </w:r>
          </w:p>
        </w:tc>
      </w:tr>
      <w:tr>
        <w:trPr>
          <w:trHeight w:val="223"/>
        </w:trPr>
        <w:tc>
          <w:tcPr>
            <w:tcW w:w="20" w:type="dxa"/>
            <w:vAlign w:val="bottom"/>
          </w:tcPr>
          <w:p>
            <w:pPr>
              <w:spacing w:after="0"/>
              <w:rPr>
                <w:sz w:val="19"/>
                <w:szCs w:val="19"/>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2015</w:t>
            </w: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0.170</w:t>
            </w: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31, 2015</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25,565</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January 15, 2016</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July 29, 2015</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0.170</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30, 2015</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25,697</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October 16, 2015</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April 29, 2015</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0.170</w:t>
            </w:r>
          </w:p>
        </w:tc>
        <w:tc>
          <w:tcPr>
            <w:tcW w:w="2080" w:type="dxa"/>
            <w:vAlign w:val="bottom"/>
          </w:tcPr>
          <w:p>
            <w:pPr>
              <w:ind w:left="320"/>
              <w:spacing w:after="0"/>
              <w:rPr>
                <w:sz w:val="20"/>
                <w:szCs w:val="20"/>
                <w:color w:val="auto"/>
              </w:rPr>
            </w:pPr>
            <w:r>
              <w:rPr>
                <w:rFonts w:ascii="Arial" w:cs="Arial" w:eastAsia="Arial" w:hAnsi="Arial"/>
                <w:sz w:val="18"/>
                <w:szCs w:val="18"/>
                <w:color w:val="auto"/>
              </w:rPr>
              <w:t>June 30, 2015</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26,127</w:t>
            </w:r>
          </w:p>
        </w:tc>
        <w:tc>
          <w:tcPr>
            <w:tcW w:w="1600" w:type="dxa"/>
            <w:vAlign w:val="bottom"/>
          </w:tcPr>
          <w:p>
            <w:pPr>
              <w:ind w:left="320"/>
              <w:spacing w:after="0"/>
              <w:rPr>
                <w:sz w:val="20"/>
                <w:szCs w:val="20"/>
                <w:color w:val="auto"/>
              </w:rPr>
            </w:pPr>
            <w:r>
              <w:rPr>
                <w:rFonts w:ascii="Arial" w:cs="Arial" w:eastAsia="Arial" w:hAnsi="Arial"/>
                <w:sz w:val="18"/>
                <w:szCs w:val="18"/>
                <w:color w:val="auto"/>
              </w:rPr>
              <w:t>July 17, 2015</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January 27, 2015</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0.170</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2015</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26,286</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16, 2015</w:t>
            </w:r>
          </w:p>
        </w:tc>
      </w:tr>
      <w:tr>
        <w:trPr>
          <w:trHeight w:val="216"/>
        </w:trPr>
        <w:tc>
          <w:tcPr>
            <w:tcW w:w="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4, 2014</w:t>
            </w: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0.155</w:t>
            </w: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31, 2014</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24,086</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January 16, 2015</w:t>
            </w: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amounts payable as a result of the August 2, 2017, July 26, 2016 and July 29, 2015 declarations were included in accrued expenses and other current liabilities as of September 30, 2017, 2016 and 2015, respectively.</w:t>
      </w:r>
    </w:p>
    <w:p>
      <w:pPr>
        <w:spacing w:after="0" w:line="17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On November 8, 2017, the Company’s Board of Directors approved quarterly dividend payment of $0.22 per share, and set December 29, 2017 as the record date for determining the shareholders entitled to receive the dividend, which is payable on January 19, 2018.</w:t>
      </w:r>
    </w:p>
    <w:p>
      <w:pPr>
        <w:spacing w:after="0" w:line="147"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On November 8, 2017, the Company’s Board of Directors also approved, subject to shareholder approval at the January 2018 annual general meeting of shareholders, an increase in the quarterly cash dividend to $0.25 per share, anticipated to be paid in April 2018.</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19 — Earnings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436,826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409,331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446,163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and dividends attributable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433,309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405,739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441,566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Undistributed income allocated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Undistributed income reallocated to participating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(2,488)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433,333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405,774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441,620</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146,017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149,168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154,423</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Weighted average number of participating restricted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144,841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147,859</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146,255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149,866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fiscal years ended September 30, 2017, 2016 and 2015, 1,281, 1,785 and 724 shares, respectively, on a weighted average basis, were attributable to antidilutive outstanding stock options and therefore were not included in the calculation of diluted earnings per share.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20 — Segment Information and Sales to Significant Customers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entertainment and media industry service providers.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0740"/>
          </w:cols>
          <w:pgMar w:left="240" w:top="459" w:right="9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11"/>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4160" w:type="dxa"/>
            <w:vAlign w:val="bottom"/>
            <w:tcBorders>
              <w:top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Revenue</w:t>
            </w:r>
          </w:p>
        </w:tc>
        <w:tc>
          <w:tcPr>
            <w:tcW w:w="13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60" w:type="dxa"/>
            <w:vAlign w:val="bottom"/>
            <w:gridSpan w:val="6"/>
          </w:tcPr>
          <w:p>
            <w:pPr>
              <w:spacing w:after="0"/>
              <w:rPr>
                <w:sz w:val="20"/>
                <w:szCs w:val="20"/>
                <w:color w:val="auto"/>
              </w:rPr>
            </w:pPr>
            <w:r>
              <w:rPr>
                <w:rFonts w:ascii="Arial" w:cs="Arial" w:eastAsia="Arial" w:hAnsi="Arial"/>
                <w:sz w:val="18"/>
                <w:szCs w:val="18"/>
                <w:color w:val="auto"/>
              </w:rPr>
              <w:t>North America (mainly United States)</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$ 2,546,290</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$ 2,381,122</w:t>
            </w: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$ 2,555,539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Europe</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488,932</w:t>
            </w:r>
          </w:p>
        </w:tc>
        <w:tc>
          <w:tcPr>
            <w:tcW w:w="144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513,295</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60" w:type="dxa"/>
            <w:vAlign w:val="bottom"/>
            <w:gridSpan w:val="6"/>
          </w:tcPr>
          <w:p>
            <w:pPr>
              <w:spacing w:after="0"/>
              <w:rPr>
                <w:sz w:val="20"/>
                <w:szCs w:val="20"/>
                <w:color w:val="auto"/>
              </w:rPr>
            </w:pPr>
            <w:r>
              <w:rPr>
                <w:rFonts w:ascii="Arial" w:cs="Arial" w:eastAsia="Arial" w:hAnsi="Arial"/>
                <w:sz w:val="18"/>
                <w:szCs w:val="18"/>
                <w:color w:val="auto"/>
              </w:rPr>
              <w:t>Rest of the world</w:t>
            </w:r>
          </w:p>
        </w:tc>
        <w:tc>
          <w:tcPr>
            <w:tcW w:w="1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831,933</w:t>
            </w:r>
          </w:p>
        </w:tc>
        <w:tc>
          <w:tcPr>
            <w:tcW w:w="1440" w:type="dxa"/>
            <w:vAlign w:val="bottom"/>
            <w:gridSpan w:val="6"/>
          </w:tcPr>
          <w:p>
            <w:pPr>
              <w:jc w:val="right"/>
              <w:ind w:right="140"/>
              <w:spacing w:after="0"/>
              <w:rPr>
                <w:sz w:val="20"/>
                <w:szCs w:val="20"/>
                <w:color w:val="auto"/>
              </w:rPr>
            </w:pPr>
            <w:r>
              <w:rPr>
                <w:rFonts w:ascii="Arial" w:cs="Arial" w:eastAsia="Arial" w:hAnsi="Arial"/>
                <w:sz w:val="18"/>
                <w:szCs w:val="18"/>
                <w:color w:val="auto"/>
              </w:rPr>
              <w:t>823,812</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665,904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$ 3,867,155</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$ 3,718,229</w:t>
            </w: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$ 3,643,538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8"/>
          </w:tcPr>
          <w:p>
            <w:pPr>
              <w:ind w:left="2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gridSpan w:val="2"/>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Long-lived Assets(1)</w:t>
            </w:r>
          </w:p>
        </w:tc>
        <w:tc>
          <w:tcPr>
            <w:tcW w:w="2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right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$151,794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$ 127,318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71,980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72,907</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Rest of the world:</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Israel</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66,628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67,736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India</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43,118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38,629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25,138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355,685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4"/>
              </w:rPr>
              <w:t>$ 331,728</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w:t>
        <w:tab/>
        <w:t>Equipment and leasehold improvements.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and Customer Information</w:t>
      </w:r>
    </w:p>
    <w:p>
      <w:pPr>
        <w:spacing w:after="0" w:line="117"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Customer experience solutions include the following offerings: digital experience for consumer multiplay and business customers, network solutions, Internet of Things (IoT), customer operational intelligence, mobile financial services and Amdocs Optima. Customer experience solutions also include a comprehensive line of services such as thought leadership &amp; advisory services, systems integration, transformation services, managed services, network services, digital business operations for order to activation, order gateway services, revenue guard, Amdocs academy and testing. Directory includes comprehensive set of products and services for media publishers, TV networks, video streaming providers, ad agencies and advertising service providers.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revenue consists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300" w:type="dxa"/>
            <w:vAlign w:val="bottom"/>
            <w:gridSpan w:val="2"/>
          </w:tcPr>
          <w:p>
            <w:pPr>
              <w:jc w:val="center"/>
              <w:ind w:left="379"/>
              <w:spacing w:after="0" w:line="142" w:lineRule="exact"/>
              <w:rPr>
                <w:sz w:val="20"/>
                <w:szCs w:val="20"/>
                <w:color w:val="auto"/>
              </w:rPr>
            </w:pPr>
            <w:r>
              <w:rPr>
                <w:rFonts w:ascii="Arial" w:cs="Arial" w:eastAsia="Arial" w:hAnsi="Arial"/>
                <w:sz w:val="14"/>
                <w:szCs w:val="14"/>
                <w:b w:val="1"/>
                <w:bCs w:val="1"/>
                <w:color w:val="auto"/>
                <w:w w:val="89"/>
              </w:rPr>
              <w:t>2016</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solutions</w:t>
            </w:r>
          </w:p>
        </w:tc>
        <w:tc>
          <w:tcPr>
            <w:tcW w:w="16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$ 3,809,088</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$ 3,629,698</w:t>
            </w: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3,542,531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Directory</w:t>
            </w:r>
          </w:p>
        </w:tc>
        <w:tc>
          <w:tcPr>
            <w:tcW w:w="16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58,067</w:t>
            </w: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88,531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$ 3,867,155</w:t>
            </w:r>
          </w:p>
        </w:tc>
        <w:tc>
          <w:tcPr>
            <w:tcW w:w="1300" w:type="dxa"/>
            <w:vAlign w:val="bottom"/>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0"/>
              </w:rPr>
              <w:t>$ 3,718,229</w:t>
            </w: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3,643,538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had one customer, AT&amp;T, which accounted for at least ten percent of its total revenue in each of fiscal years 2017, 2016 and 2015.</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percentage of revenue from this customer out of total revenue during fiscal years 2017, 2016 and 2015 was 33%, 33% and 34%, respectively.</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21 — Selected Quarterly Results of Operations (Unaudited)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20" w:type="dxa"/>
            <w:vAlign w:val="bottom"/>
            <w:gridSpan w:val="3"/>
          </w:tcPr>
          <w:p>
            <w:pPr>
              <w:ind w:left="1420"/>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Revenue</w:t>
            </w:r>
          </w:p>
        </w:tc>
        <w:tc>
          <w:tcPr>
            <w:tcW w:w="16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979,724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$966,695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$966,009</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954,727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133,781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121,593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107,209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119,264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112,560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97,793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0.76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Revenue</w:t>
            </w:r>
          </w:p>
        </w:tc>
        <w:tc>
          <w:tcPr>
            <w:tcW w:w="16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940,656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$930,133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$925,935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921,505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118,497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124,962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120,147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119,535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95,709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105,060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107,720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100,842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0.66</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22 — Subsequent Event</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December 2017, the Company entered into agreements with Union Investments and Development Limited (“Union”) to partner through a legal entity that would be equally owned by the Company and Union for the purpose of acquiring specific land which the Company intends to use as the site for a new campus in Ra’anana, Israel. Pursuant to the agreements between the Company and Union, the Company shall have control over the establishment and ongoing operations of the new campus and will result in the new entity’s financial information being consolidated in the Company’s consolidated financial statements. The transaction for the acquisition of the land is expected to be completed in the near term upon satisfaction of customary closing conditions. The total net investment that the Company expects to make in connection with purchasing the land and constructing the new campus is expected to reach up to $350,000 over a period of four to five years.</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60"/>
          </w:cols>
          <w:pgMar w:left="24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100" w:type="dxa"/>
            <w:vAlign w:val="bottom"/>
            <w:gridSpan w:val="4"/>
          </w:tcPr>
          <w:p>
            <w:pPr>
              <w:ind w:left="1940"/>
              <w:spacing w:after="0"/>
              <w:rPr>
                <w:sz w:val="20"/>
                <w:szCs w:val="20"/>
                <w:color w:val="auto"/>
              </w:rPr>
            </w:pPr>
            <w:r>
              <w:rPr>
                <w:rFonts w:ascii="Arial" w:cs="Arial" w:eastAsia="Arial" w:hAnsi="Arial"/>
                <w:sz w:val="14"/>
                <w:szCs w:val="14"/>
                <w:b w:val="1"/>
                <w:bCs w:val="1"/>
                <w:color w:val="auto"/>
              </w:rPr>
              <w:t>Accounts Receivable</w:t>
            </w:r>
          </w:p>
        </w:tc>
        <w:tc>
          <w:tcPr>
            <w:tcW w:w="24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Valuation Allowances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Allowances</w:t>
            </w:r>
          </w:p>
        </w:tc>
        <w:tc>
          <w:tcPr>
            <w:tcW w:w="620" w:type="dxa"/>
            <w:vAlign w:val="bottom"/>
          </w:tcPr>
          <w:p>
            <w:pPr>
              <w:spacing w:after="0"/>
              <w:rPr>
                <w:sz w:val="14"/>
                <w:szCs w:val="14"/>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Net Deferred Tax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October 1, 2014</w:t>
            </w:r>
          </w:p>
        </w:tc>
        <w:tc>
          <w:tcPr>
            <w:tcW w:w="1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8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128,207</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13,328</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24,040(1)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(16,441)</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(40,082)(2)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2015</w:t>
            </w:r>
          </w:p>
        </w:tc>
        <w:tc>
          <w:tcPr>
            <w:tcW w:w="1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24,004</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jc w:val="right"/>
              <w:ind w:right="620"/>
              <w:spacing w:after="0"/>
              <w:rPr>
                <w:sz w:val="20"/>
                <w:szCs w:val="20"/>
                <w:color w:val="auto"/>
              </w:rPr>
            </w:pPr>
            <w:r>
              <w:rPr>
                <w:rFonts w:ascii="Arial" w:cs="Arial" w:eastAsia="Arial" w:hAnsi="Arial"/>
                <w:sz w:val="18"/>
                <w:szCs w:val="18"/>
                <w:color w:val="auto"/>
              </w:rPr>
              <w:t>(19,744)(5)</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(29,921)(4)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2016</w:t>
            </w:r>
          </w:p>
        </w:tc>
        <w:tc>
          <w:tcPr>
            <w:tcW w:w="1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39,512</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17,282</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620"/>
              <w:spacing w:after="0"/>
              <w:rPr>
                <w:sz w:val="20"/>
                <w:szCs w:val="20"/>
                <w:color w:val="auto"/>
              </w:rPr>
            </w:pPr>
            <w:r>
              <w:rPr>
                <w:rFonts w:ascii="Arial" w:cs="Arial" w:eastAsia="Arial" w:hAnsi="Arial"/>
                <w:sz w:val="18"/>
                <w:szCs w:val="18"/>
                <w:color w:val="auto"/>
              </w:rPr>
              <w:t>(30,053)(9)</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(23,722)(8)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8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year 2015.</w:t>
      </w:r>
    </w:p>
    <w:p>
      <w:pPr>
        <w:spacing w:after="0" w:line="130" w:lineRule="exact"/>
        <w:rPr>
          <w:rFonts w:ascii="Arial" w:cs="Arial" w:eastAsia="Arial" w:hAnsi="Arial"/>
          <w:sz w:val="18"/>
          <w:szCs w:val="18"/>
          <w:color w:val="auto"/>
        </w:rPr>
      </w:pPr>
    </w:p>
    <w:p>
      <w:pPr>
        <w:ind w:left="640" w:right="160" w:hanging="436"/>
        <w:spacing w:after="0" w:line="277"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$2,235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year 2016.</w:t>
      </w:r>
    </w:p>
    <w:p>
      <w:pPr>
        <w:spacing w:after="0" w:line="130" w:lineRule="exact"/>
        <w:rPr>
          <w:rFonts w:ascii="Arial" w:cs="Arial" w:eastAsia="Arial" w:hAnsi="Arial"/>
          <w:sz w:val="18"/>
          <w:szCs w:val="18"/>
          <w:color w:val="auto"/>
        </w:rPr>
      </w:pPr>
    </w:p>
    <w:p>
      <w:pPr>
        <w:ind w:left="640" w:right="160" w:hanging="436"/>
        <w:spacing w:after="0" w:line="277"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$9,231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640" w:right="100" w:hanging="436"/>
        <w:spacing w:after="0" w:line="277"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$12,727 of accounts receivable allowances were written off against the related accounts receivables, and the remaining deductions in the accounts receivable allowances were released to earnings.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year 2017.</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an acquisition in fiscal year 2016.</w:t>
      </w:r>
    </w:p>
    <w:p>
      <w:pPr>
        <w:spacing w:after="0" w:line="130" w:lineRule="exact"/>
        <w:rPr>
          <w:rFonts w:ascii="Arial" w:cs="Arial" w:eastAsia="Arial" w:hAnsi="Arial"/>
          <w:sz w:val="18"/>
          <w:szCs w:val="18"/>
          <w:color w:val="auto"/>
        </w:rPr>
      </w:pPr>
    </w:p>
    <w:p>
      <w:pPr>
        <w:ind w:left="640" w:right="160" w:hanging="436"/>
        <w:spacing w:after="0" w:line="277"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$2,416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640" w:right="40" w:hanging="436"/>
        <w:spacing w:after="0" w:line="342"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$3,008 of accounts receivable allowances were written off against the related accounts receivables, $5,291 of accounts receivable allowances were netted against deferred revenue, and the remaining deductions in the accounts receivable allowances were released to earnings.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59" w:right="419" w:bottom="1440" w:gutter="0" w:footer="0" w:header="0"/>
        </w:sectPr>
      </w:pPr>
    </w:p>
    <w:bookmarkStart w:id="111" w:name="page112"/>
    <w:bookmarkEnd w:id="111"/>
    <w:p>
      <w:pPr>
        <w:ind w:left="10440"/>
        <w:spacing w:after="0"/>
        <w:rPr>
          <w:sz w:val="20"/>
          <w:szCs w:val="20"/>
          <w:color w:val="auto"/>
        </w:rPr>
      </w:pPr>
      <w:r>
        <w:rPr>
          <w:rFonts w:ascii="Arial" w:cs="Arial" w:eastAsia="Arial" w:hAnsi="Arial"/>
          <w:sz w:val="16"/>
          <w:szCs w:val="16"/>
          <w:b w:val="1"/>
          <w:bCs w:val="1"/>
          <w:color w:val="auto"/>
        </w:rPr>
        <w:t>Exhibit 4.b.6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 UNDER RULE 24b-2 UNDER THE SECURITIES EXCHANGE ACT OF 1934, AS AMENDED.</w:t>
      </w:r>
    </w:p>
    <w:p>
      <w:pPr>
        <w:spacing w:after="0" w:line="225" w:lineRule="exact"/>
        <w:rPr>
          <w:sz w:val="20"/>
          <w:szCs w:val="20"/>
          <w:color w:val="auto"/>
        </w:rPr>
      </w:pPr>
    </w:p>
    <w:p>
      <w:pPr>
        <w:ind w:right="200" w:firstLine="8"/>
        <w:spacing w:after="0" w:line="282" w:lineRule="auto"/>
        <w:tabs>
          <w:tab w:leader="none" w:pos="43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OMITTED MATERIAL THAT IS THE SUBJECT OF A CONFIDENTIAL TREATMENT REQUEST FILED SEPARATELY WITH THE COMMISSION. THE OMITTED MATERIAL HAS BEEN FILED SEPARATELY WITH THE COMMISSION.</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Software and Professional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53258.C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Preamble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Preamble</w:t>
      </w:r>
    </w:p>
    <w:p>
      <w:pPr>
        <w:spacing w:after="0" w:line="121" w:lineRule="exact"/>
        <w:rPr>
          <w:sz w:val="20"/>
          <w:szCs w:val="20"/>
          <w:color w:val="auto"/>
        </w:rPr>
      </w:pPr>
    </w:p>
    <w:p>
      <w:pPr>
        <w:ind w:left="700" w:right="420"/>
        <w:spacing w:after="0" w:line="342" w:lineRule="auto"/>
        <w:rPr>
          <w:sz w:val="20"/>
          <w:szCs w:val="20"/>
          <w:color w:val="auto"/>
        </w:rPr>
      </w:pPr>
      <w:r>
        <w:rPr>
          <w:rFonts w:ascii="Arial" w:cs="Arial" w:eastAsia="Arial" w:hAnsi="Arial"/>
          <w:sz w:val="16"/>
          <w:szCs w:val="16"/>
          <w:color w:val="auto"/>
        </w:rPr>
        <w:t>This Agreement is between Amdocs, Inc., a Delaware corporation (hereinafter referred to as “Supplier”), and AT&amp;T Services, Inc., a Delaware corporation (hereinafter referred to as “AT&amp;T”), each of which may be referred to in the singular as a “Party” or in the plural as the “Parties.”</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Scope of Agreement:</w:t>
      </w:r>
    </w:p>
    <w:p>
      <w:pPr>
        <w:spacing w:after="0" w:line="121" w:lineRule="exact"/>
        <w:rPr>
          <w:sz w:val="20"/>
          <w:szCs w:val="20"/>
          <w:color w:val="auto"/>
        </w:rPr>
      </w:pPr>
    </w:p>
    <w:p>
      <w:pPr>
        <w:ind w:left="700" w:right="480"/>
        <w:spacing w:after="0" w:line="286" w:lineRule="auto"/>
        <w:rPr>
          <w:sz w:val="20"/>
          <w:szCs w:val="20"/>
          <w:color w:val="auto"/>
        </w:rPr>
      </w:pPr>
      <w:r>
        <w:rPr>
          <w:rFonts w:ascii="Arial" w:cs="Arial" w:eastAsia="Arial" w:hAnsi="Arial"/>
          <w:sz w:val="17"/>
          <w:szCs w:val="17"/>
          <w:color w:val="auto"/>
        </w:rPr>
        <w:t>Supplier shall provide to AT&amp;T the Material and Services, subject to the terms and conditions of this Agreement and pursuant to and in conformance with Orders submitted by Supplier or AT&amp;T. Such Orders, once fully executed by the Parties, shall be deemed to incorporate the provisions of this Agreement (including the Appendices and Exhibits attached hereto) as though fully set forth therein.</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Term of Agreement</w:t>
      </w:r>
    </w:p>
    <w:p>
      <w:pPr>
        <w:spacing w:after="0" w:line="135" w:lineRule="exact"/>
        <w:rPr>
          <w:sz w:val="20"/>
          <w:szCs w:val="20"/>
          <w:color w:val="auto"/>
        </w:rPr>
      </w:pPr>
    </w:p>
    <w:p>
      <w:pPr>
        <w:ind w:left="1480" w:right="240" w:hanging="797"/>
        <w:spacing w:after="0" w:line="264"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After all Parties have signed, this Agreement shall be effective on the last date signed by a Party (“Effective Date”), and shall continue until September 30, 2021 (“Expiration Date”) unless earlier terminated as set forth herein. The Parties may extend the Term of Agreement by executing an amendment to this Agreement.</w:t>
      </w:r>
    </w:p>
    <w:p>
      <w:pPr>
        <w:spacing w:after="0" w:line="86" w:lineRule="exact"/>
        <w:rPr>
          <w:rFonts w:ascii="Arial" w:cs="Arial" w:eastAsia="Arial" w:hAnsi="Arial"/>
          <w:sz w:val="18"/>
          <w:szCs w:val="18"/>
          <w:color w:val="auto"/>
        </w:rPr>
      </w:pPr>
    </w:p>
    <w:p>
      <w:pPr>
        <w:ind w:left="1480" w:right="60" w:hanging="797"/>
        <w:spacing w:after="0" w:line="264"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Order in effect on the date when this Agreement expires or is terminated will continue in effect until such Order either (i) expires by its own terms or (ii) is separately terminated, prior to its own scheduled expiration, as provided in this Agreement. The terms and conditions of this Agreement shall continue to apply to such Order as if this Agreement were still in effect.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Definitions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Accept or Acceptance</w:t>
      </w:r>
    </w:p>
    <w:p>
      <w:pPr>
        <w:spacing w:after="0" w:line="117" w:lineRule="exact"/>
        <w:rPr>
          <w:sz w:val="20"/>
          <w:szCs w:val="20"/>
          <w:color w:val="auto"/>
        </w:rPr>
      </w:pPr>
    </w:p>
    <w:p>
      <w:pPr>
        <w:ind w:left="700" w:right="240"/>
        <w:spacing w:after="0" w:line="282" w:lineRule="auto"/>
        <w:rPr>
          <w:sz w:val="20"/>
          <w:szCs w:val="20"/>
          <w:color w:val="auto"/>
        </w:rPr>
      </w:pPr>
      <w:r>
        <w:rPr>
          <w:rFonts w:ascii="Arial" w:cs="Arial" w:eastAsia="Arial" w:hAnsi="Arial"/>
          <w:sz w:val="18"/>
          <w:szCs w:val="18"/>
          <w:b w:val="1"/>
          <w:bCs w:val="1"/>
          <w:color w:val="auto"/>
        </w:rPr>
        <w:t xml:space="preserve">“Accept” </w:t>
      </w:r>
      <w:r>
        <w:rPr>
          <w:rFonts w:ascii="Arial" w:cs="Arial" w:eastAsia="Arial" w:hAnsi="Arial"/>
          <w:sz w:val="18"/>
          <w:szCs w:val="18"/>
          <w:color w:val="auto"/>
        </w:rPr>
        <w:t>or</w:t>
      </w:r>
      <w:r>
        <w:rPr>
          <w:rFonts w:ascii="Arial" w:cs="Arial" w:eastAsia="Arial" w:hAnsi="Arial"/>
          <w:sz w:val="18"/>
          <w:szCs w:val="18"/>
          <w:b w:val="1"/>
          <w:bCs w:val="1"/>
          <w:color w:val="auto"/>
        </w:rPr>
        <w:t xml:space="preserve"> “Acceptance” </w:t>
      </w:r>
      <w:r>
        <w:rPr>
          <w:rFonts w:ascii="Arial" w:cs="Arial" w:eastAsia="Arial" w:hAnsi="Arial"/>
          <w:sz w:val="18"/>
          <w:szCs w:val="18"/>
          <w:color w:val="auto"/>
        </w:rPr>
        <w:t>means AT&amp;T’s acceptance of the Material or Services ordered by AT&amp;T and provided by Supplier as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Order. AT&amp;T’s Acceptance shall occur no earlier than as specified in Section 3.9.</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Acceptance Date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“Acceptance Date” </w:t>
      </w:r>
      <w:r>
        <w:rPr>
          <w:rFonts w:ascii="Arial" w:cs="Arial" w:eastAsia="Arial" w:hAnsi="Arial"/>
          <w:sz w:val="18"/>
          <w:szCs w:val="18"/>
          <w:color w:val="auto"/>
        </w:rPr>
        <w:t>means the date on which AT&amp;T Accepts Material or Services.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Acceptance Letter</w:t>
      </w:r>
    </w:p>
    <w:p>
      <w:pPr>
        <w:spacing w:after="0" w:line="117" w:lineRule="exact"/>
        <w:rPr>
          <w:sz w:val="20"/>
          <w:szCs w:val="20"/>
          <w:color w:val="auto"/>
        </w:rPr>
      </w:pPr>
    </w:p>
    <w:p>
      <w:pPr>
        <w:ind w:left="700" w:right="140"/>
        <w:spacing w:after="0" w:line="282" w:lineRule="auto"/>
        <w:rPr>
          <w:sz w:val="20"/>
          <w:szCs w:val="20"/>
          <w:color w:val="auto"/>
        </w:rPr>
      </w:pPr>
      <w:r>
        <w:rPr>
          <w:rFonts w:ascii="Arial" w:cs="Arial" w:eastAsia="Arial" w:hAnsi="Arial"/>
          <w:sz w:val="18"/>
          <w:szCs w:val="18"/>
          <w:b w:val="1"/>
          <w:bCs w:val="1"/>
          <w:color w:val="auto"/>
        </w:rPr>
        <w:t xml:space="preserve">“Acceptance Letter” </w:t>
      </w:r>
      <w:r>
        <w:rPr>
          <w:rFonts w:ascii="Arial" w:cs="Arial" w:eastAsia="Arial" w:hAnsi="Arial"/>
          <w:sz w:val="18"/>
          <w:szCs w:val="18"/>
          <w:color w:val="auto"/>
        </w:rPr>
        <w:t>means a document signed by AT&amp;T substantially in the form of Appendix F indicating its Acceptance of the Material and/or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Acceptance Test Period or Trial Period</w:t>
      </w:r>
    </w:p>
    <w:p>
      <w:pPr>
        <w:spacing w:after="0" w:line="117" w:lineRule="exact"/>
        <w:rPr>
          <w:sz w:val="20"/>
          <w:szCs w:val="20"/>
          <w:color w:val="auto"/>
        </w:rPr>
      </w:pPr>
    </w:p>
    <w:p>
      <w:pPr>
        <w:ind w:left="700" w:right="220"/>
        <w:spacing w:after="0" w:line="282" w:lineRule="auto"/>
        <w:rPr>
          <w:sz w:val="20"/>
          <w:szCs w:val="20"/>
          <w:color w:val="auto"/>
        </w:rPr>
      </w:pPr>
      <w:r>
        <w:rPr>
          <w:rFonts w:ascii="Arial" w:cs="Arial" w:eastAsia="Arial" w:hAnsi="Arial"/>
          <w:sz w:val="18"/>
          <w:szCs w:val="18"/>
          <w:b w:val="1"/>
          <w:bCs w:val="1"/>
          <w:color w:val="auto"/>
        </w:rPr>
        <w:t xml:space="preserve">“Acceptance Test Period” </w:t>
      </w:r>
      <w:r>
        <w:rPr>
          <w:rFonts w:ascii="Arial" w:cs="Arial" w:eastAsia="Arial" w:hAnsi="Arial"/>
          <w:sz w:val="18"/>
          <w:szCs w:val="18"/>
          <w:color w:val="auto"/>
        </w:rPr>
        <w:t>or</w:t>
      </w:r>
      <w:r>
        <w:rPr>
          <w:rFonts w:ascii="Arial" w:cs="Arial" w:eastAsia="Arial" w:hAnsi="Arial"/>
          <w:sz w:val="18"/>
          <w:szCs w:val="18"/>
          <w:b w:val="1"/>
          <w:bCs w:val="1"/>
          <w:color w:val="auto"/>
        </w:rPr>
        <w:t xml:space="preserve"> “Trial Period” </w:t>
      </w:r>
      <w:r>
        <w:rPr>
          <w:rFonts w:ascii="Arial" w:cs="Arial" w:eastAsia="Arial" w:hAnsi="Arial"/>
          <w:sz w:val="18"/>
          <w:szCs w:val="18"/>
          <w:color w:val="auto"/>
        </w:rPr>
        <w:t>means the length of time specified in an Order, or, if not so specified, a period of no less than [***]</w:t>
      </w:r>
      <w:r>
        <w:rPr>
          <w:rFonts w:ascii="Arial" w:cs="Arial" w:eastAsia="Arial" w:hAnsi="Arial"/>
          <w:sz w:val="18"/>
          <w:szCs w:val="18"/>
          <w:b w:val="1"/>
          <w:bCs w:val="1"/>
          <w:color w:val="auto"/>
        </w:rPr>
        <w:t xml:space="preserve"> </w:t>
      </w:r>
      <w:r>
        <w:rPr>
          <w:rFonts w:ascii="Arial" w:cs="Arial" w:eastAsia="Arial" w:hAnsi="Arial"/>
          <w:sz w:val="18"/>
          <w:szCs w:val="18"/>
          <w:color w:val="auto"/>
        </w:rPr>
        <w:t>days and no more than[***] days, during which the Acceptance Tests are performed.</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Acceptance Tests</w:t>
      </w:r>
    </w:p>
    <w:p>
      <w:pPr>
        <w:spacing w:after="0" w:line="117" w:lineRule="exact"/>
        <w:rPr>
          <w:sz w:val="20"/>
          <w:szCs w:val="20"/>
          <w:color w:val="auto"/>
        </w:rPr>
      </w:pPr>
    </w:p>
    <w:p>
      <w:pPr>
        <w:ind w:left="700" w:right="560"/>
        <w:spacing w:after="0" w:line="281" w:lineRule="auto"/>
        <w:rPr>
          <w:sz w:val="20"/>
          <w:szCs w:val="20"/>
          <w:color w:val="auto"/>
        </w:rPr>
      </w:pPr>
      <w:r>
        <w:rPr>
          <w:rFonts w:ascii="Arial" w:cs="Arial" w:eastAsia="Arial" w:hAnsi="Arial"/>
          <w:sz w:val="17"/>
          <w:szCs w:val="17"/>
          <w:b w:val="1"/>
          <w:bCs w:val="1"/>
          <w:color w:val="auto"/>
        </w:rPr>
        <w:t xml:space="preserve">“Acceptance Tests” </w:t>
      </w:r>
      <w:r>
        <w:rPr>
          <w:rFonts w:ascii="Arial" w:cs="Arial" w:eastAsia="Arial" w:hAnsi="Arial"/>
          <w:sz w:val="17"/>
          <w:szCs w:val="17"/>
          <w:color w:val="auto"/>
        </w:rPr>
        <w:t>means the performance and reliability demonstrations and tests that must be successfully completed by the Material and</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during the Trial Period. These tests include: (i) AT&amp;T’s routine business test transactions, (ii) tests, demonstrations, or transactions presented or performed by Supplier, and (iii) any other tests, demonstrations or transactions included or referenced in the applicable Order or Specifications, all to determine whether the Material or Services meet the Specifications.</w:t>
      </w:r>
    </w:p>
    <w:p>
      <w:pPr>
        <w:spacing w:after="0" w:line="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Affiliate</w:t>
      </w:r>
    </w:p>
    <w:p>
      <w:pPr>
        <w:spacing w:after="0" w:line="117" w:lineRule="exact"/>
        <w:rPr>
          <w:sz w:val="20"/>
          <w:szCs w:val="20"/>
          <w:color w:val="auto"/>
        </w:rPr>
      </w:pPr>
    </w:p>
    <w:p>
      <w:pPr>
        <w:ind w:left="700" w:right="40"/>
        <w:spacing w:after="0" w:line="272" w:lineRule="auto"/>
        <w:rPr>
          <w:sz w:val="20"/>
          <w:szCs w:val="20"/>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(i) with respect to AT&amp;T, a business association that has legal capacity to contract on its own behalf, to sue in its own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to be sued, if and only if either (a) such business association owns, directly or indirectly, a majority interest in AT&amp;T (its “parent company”), (b) a majority interest in such business association is owned, either directly or indirectly, by AT&amp;T or its parent company, or (c) such business association is a certain rural local telephone company that is a party to that certain Joint Operating Agreement dated as of September 28, 2000, pursuant to which AT&amp;T Mobility LLC and such telephone company jointly conduct their respective wireless operations within MTA 006; and (ii) with respect to Supplier, any business association that has legal capacity to contract on its own behalf, to sue in its own name, and to be sued, if and only if that business association controls, is controlled by, or is under common control with Supplier, where “control” means the direct or indirect holding of 50% or more of the equity and/or voting rights.</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Agreement</w:t>
      </w:r>
    </w:p>
    <w:p>
      <w:pPr>
        <w:spacing w:after="0" w:line="117" w:lineRule="exact"/>
        <w:rPr>
          <w:sz w:val="20"/>
          <w:szCs w:val="20"/>
          <w:color w:val="auto"/>
        </w:rPr>
      </w:pPr>
    </w:p>
    <w:p>
      <w:pPr>
        <w:ind w:left="700" w:right="20"/>
        <w:spacing w:after="0" w:line="266"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the written agreement between the Parties as set forth in this document and the attached appendices and shall include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other documents as are incorporated by express reference in this document and the attached appendices, as well as any Orders that may be issued pursuant to this Agreement.</w:t>
      </w:r>
    </w:p>
    <w:p>
      <w:pPr>
        <w:spacing w:after="0" w:line="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AT&amp;T Data</w:t>
      </w:r>
    </w:p>
    <w:p>
      <w:pPr>
        <w:spacing w:after="0" w:line="117" w:lineRule="exact"/>
        <w:rPr>
          <w:sz w:val="20"/>
          <w:szCs w:val="20"/>
          <w:color w:val="auto"/>
        </w:rPr>
      </w:pPr>
    </w:p>
    <w:p>
      <w:pPr>
        <w:ind w:left="700" w:right="220"/>
        <w:spacing w:after="0" w:line="277" w:lineRule="auto"/>
        <w:rPr>
          <w:sz w:val="20"/>
          <w:szCs w:val="20"/>
          <w:color w:val="auto"/>
        </w:rPr>
      </w:pPr>
      <w:r>
        <w:rPr>
          <w:rFonts w:ascii="Arial" w:cs="Arial" w:eastAsia="Arial" w:hAnsi="Arial"/>
          <w:sz w:val="17"/>
          <w:szCs w:val="17"/>
          <w:b w:val="1"/>
          <w:bCs w:val="1"/>
          <w:color w:val="auto"/>
        </w:rPr>
        <w:t xml:space="preserve">“AT&amp;T Data” </w:t>
      </w:r>
      <w:r>
        <w:rPr>
          <w:rFonts w:ascii="Arial" w:cs="Arial" w:eastAsia="Arial" w:hAnsi="Arial"/>
          <w:sz w:val="17"/>
          <w:szCs w:val="17"/>
          <w:color w:val="auto"/>
        </w:rPr>
        <w:t>means any data or information (i) of AT&amp;T or its customers, that is disclosed or provided to Supplier by, or otherwise obtained by</w:t>
      </w:r>
      <w:r>
        <w:rPr>
          <w:rFonts w:ascii="Arial" w:cs="Arial" w:eastAsia="Arial" w:hAnsi="Arial"/>
          <w:sz w:val="17"/>
          <w:szCs w:val="17"/>
          <w:b w:val="1"/>
          <w:bCs w:val="1"/>
          <w:color w:val="auto"/>
        </w:rPr>
        <w:t xml:space="preserve"> </w:t>
      </w:r>
      <w:r>
        <w:rPr>
          <w:rFonts w:ascii="Arial" w:cs="Arial" w:eastAsia="Arial" w:hAnsi="Arial"/>
          <w:sz w:val="17"/>
          <w:szCs w:val="17"/>
          <w:color w:val="auto"/>
        </w:rPr>
        <w:t>Supplier from, AT&amp;T or its customers, including Customer Information and customer proprietary network information (as that term is defined in Section 222 of the Communications Act of 1934, as amended, 47 U.S.C. §222), as well as data and information with respect to the businesses, customers, operations, networks, systems, facilities, products, rates, regulatory compliance, competitors, consumer markets, assets, expenditures, mergers, acquisitions, divestitures, billings, collections, revenues and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14" w:name="page115"/>
    <w:bookmarkEnd w:id="114"/>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140"/>
        <w:spacing w:after="0" w:line="272" w:lineRule="auto"/>
        <w:rPr>
          <w:sz w:val="20"/>
          <w:szCs w:val="20"/>
          <w:color w:val="auto"/>
        </w:rPr>
      </w:pPr>
      <w:r>
        <w:rPr>
          <w:rFonts w:ascii="Arial" w:cs="Arial" w:eastAsia="Arial" w:hAnsi="Arial"/>
          <w:sz w:val="17"/>
          <w:szCs w:val="17"/>
          <w:color w:val="auto"/>
        </w:rPr>
        <w:t>finances of AT&amp;T; and (ii) not supplied by AT&amp;T or its customers, but created, generated, collected or harvested by Supplier either (a) in furtherance of this Agreement or an Order hereunder or (b) as a result of Supplier having access to AT&amp;T infrastructure, systems, data, hardware, software or processes (for example, through data processing input and output, service level measurements, or ascertainment of network and system information). Notwithstanding the foregoing, the Parties agree that “AT&amp;T Data” shall not be deemed to include material or software (I) created or owned by Amdocs prior to execution of this Agreement, (II) provided under license from third parties by Amdocs prior to execution of this Agreement, (III) created by Amdocs or third parties after execution of this Agreement for a client other than AT&amp;T or (IV) that Supplier owns in accordance with this Agreement or as agreed by the Parties in an Order.</w:t>
      </w:r>
    </w:p>
    <w:p>
      <w:pPr>
        <w:spacing w:after="0" w:line="7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AT&amp;T Derived Data or AT&amp;T Derived Information</w:t>
      </w:r>
    </w:p>
    <w:p>
      <w:pPr>
        <w:spacing w:after="0" w:line="117" w:lineRule="exact"/>
        <w:rPr>
          <w:sz w:val="20"/>
          <w:szCs w:val="20"/>
          <w:color w:val="auto"/>
        </w:rPr>
      </w:pPr>
    </w:p>
    <w:p>
      <w:pPr>
        <w:ind w:left="700" w:right="40"/>
        <w:spacing w:after="0" w:line="277" w:lineRule="auto"/>
        <w:rPr>
          <w:sz w:val="20"/>
          <w:szCs w:val="20"/>
          <w:color w:val="auto"/>
        </w:rPr>
      </w:pPr>
      <w:r>
        <w:rPr>
          <w:rFonts w:ascii="Arial" w:cs="Arial" w:eastAsia="Arial" w:hAnsi="Arial"/>
          <w:sz w:val="17"/>
          <w:szCs w:val="17"/>
          <w:b w:val="1"/>
          <w:bCs w:val="1"/>
          <w:color w:val="auto"/>
        </w:rPr>
        <w:t xml:space="preserve">“AT&amp;T Derived Data” </w:t>
      </w:r>
      <w:r>
        <w:rPr>
          <w:rFonts w:ascii="Arial" w:cs="Arial" w:eastAsia="Arial" w:hAnsi="Arial"/>
          <w:sz w:val="17"/>
          <w:szCs w:val="17"/>
          <w:color w:val="auto"/>
        </w:rPr>
        <w:t>or</w:t>
      </w:r>
      <w:r>
        <w:rPr>
          <w:rFonts w:ascii="Arial" w:cs="Arial" w:eastAsia="Arial" w:hAnsi="Arial"/>
          <w:sz w:val="17"/>
          <w:szCs w:val="17"/>
          <w:b w:val="1"/>
          <w:bCs w:val="1"/>
          <w:color w:val="auto"/>
        </w:rPr>
        <w:t xml:space="preserve"> “AT&amp;T Derived Information” </w:t>
      </w:r>
      <w:r>
        <w:rPr>
          <w:rFonts w:ascii="Arial" w:cs="Arial" w:eastAsia="Arial" w:hAnsi="Arial"/>
          <w:sz w:val="17"/>
          <w:szCs w:val="17"/>
          <w:color w:val="auto"/>
        </w:rPr>
        <w:t>means any data or information that is a result of or modification of, adaption, revision,</w:t>
      </w:r>
      <w:r>
        <w:rPr>
          <w:rFonts w:ascii="Arial" w:cs="Arial" w:eastAsia="Arial" w:hAnsi="Arial"/>
          <w:sz w:val="17"/>
          <w:szCs w:val="17"/>
          <w:b w:val="1"/>
          <w:bCs w:val="1"/>
          <w:color w:val="auto"/>
        </w:rPr>
        <w:t xml:space="preserve"> </w:t>
      </w:r>
      <w:r>
        <w:rPr>
          <w:rFonts w:ascii="Arial" w:cs="Arial" w:eastAsia="Arial" w:hAnsi="Arial"/>
          <w:sz w:val="17"/>
          <w:szCs w:val="17"/>
          <w:color w:val="auto"/>
        </w:rPr>
        <w:t>translation, abridgement, condensation, compilation, evaluation, expansion, or any other recasting or processing of the AT&amp;T Data, for example, as a result of Supplier’s observation, analysis, or visualization of AT&amp;T Data arising out of the performance of Supplier’s obligations. Notwithstanding the foregoing, the Parties agree that “AT&amp;T Derived Data” shall not be deemed to include Supplier’s material or software that does not constitute AT&amp;T Data as set forth in Subsection I of Section 2.8, “AT&amp;T Data,” above and [***].</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b w:val="1"/>
          <w:bCs w:val="1"/>
          <w:color w:val="auto"/>
        </w:rPr>
        <w:t>Call Center Work</w:t>
      </w:r>
    </w:p>
    <w:p>
      <w:pPr>
        <w:spacing w:after="0" w:line="117" w:lineRule="exact"/>
        <w:rPr>
          <w:sz w:val="20"/>
          <w:szCs w:val="20"/>
          <w:color w:val="auto"/>
        </w:rPr>
      </w:pPr>
    </w:p>
    <w:p>
      <w:pPr>
        <w:ind w:left="700" w:right="500"/>
        <w:spacing w:after="0" w:line="282" w:lineRule="auto"/>
        <w:rPr>
          <w:sz w:val="20"/>
          <w:szCs w:val="20"/>
          <w:color w:val="auto"/>
        </w:rPr>
      </w:pPr>
      <w:r>
        <w:rPr>
          <w:rFonts w:ascii="Arial" w:cs="Arial" w:eastAsia="Arial" w:hAnsi="Arial"/>
          <w:sz w:val="18"/>
          <w:szCs w:val="18"/>
          <w:b w:val="1"/>
          <w:bCs w:val="1"/>
          <w:color w:val="auto"/>
        </w:rPr>
        <w:t xml:space="preserve">“Call Center Work” </w:t>
      </w:r>
      <w:r>
        <w:rPr>
          <w:rFonts w:ascii="Arial" w:cs="Arial" w:eastAsia="Arial" w:hAnsi="Arial"/>
          <w:sz w:val="18"/>
          <w:szCs w:val="18"/>
          <w:color w:val="auto"/>
        </w:rPr>
        <w:t>means work centralized in a physical place where telephone calls are handled by Supplier, usually with some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 automation, as agreed by the Parties in an Order.</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Critical Performance Milestone</w:t>
      </w:r>
    </w:p>
    <w:p>
      <w:pPr>
        <w:spacing w:after="0" w:line="117" w:lineRule="exact"/>
        <w:rPr>
          <w:sz w:val="20"/>
          <w:szCs w:val="20"/>
          <w:color w:val="auto"/>
        </w:rPr>
      </w:pPr>
    </w:p>
    <w:p>
      <w:pPr>
        <w:jc w:val="both"/>
        <w:ind w:left="700" w:right="120"/>
        <w:spacing w:after="0" w:line="266" w:lineRule="auto"/>
        <w:rPr>
          <w:sz w:val="20"/>
          <w:szCs w:val="20"/>
          <w:color w:val="auto"/>
        </w:rPr>
      </w:pPr>
      <w:r>
        <w:rPr>
          <w:rFonts w:ascii="Arial" w:cs="Arial" w:eastAsia="Arial" w:hAnsi="Arial"/>
          <w:sz w:val="18"/>
          <w:szCs w:val="18"/>
          <w:b w:val="1"/>
          <w:bCs w:val="1"/>
          <w:color w:val="auto"/>
        </w:rPr>
        <w:t xml:space="preserve">“Critical Performance Milestone” </w:t>
      </w:r>
      <w:r>
        <w:rPr>
          <w:rFonts w:ascii="Arial" w:cs="Arial" w:eastAsia="Arial" w:hAnsi="Arial"/>
          <w:sz w:val="18"/>
          <w:szCs w:val="18"/>
          <w:color w:val="auto"/>
        </w:rPr>
        <w:t>means a date certain or the end of a stipulated interval of time for the Delivery of an item of Program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or Software or the completion of performance of a Service, the timely completion or delivery of which is considered to be critical to the success for the Project and which is expressly referred to in an Order as a “Critical Performance Milestone”.</w:t>
      </w:r>
    </w:p>
    <w:p>
      <w:pPr>
        <w:spacing w:after="0" w:line="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Custom Software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 Software</w:t>
      </w:r>
      <w:r>
        <w:rPr>
          <w:rFonts w:ascii="Arial" w:cs="Arial" w:eastAsia="Arial" w:hAnsi="Arial"/>
          <w:sz w:val="18"/>
          <w:szCs w:val="18"/>
          <w:color w:val="auto"/>
        </w:rPr>
        <w:t>” means any and all Software to the extent it constitutes Paid-For Development.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Customer Information</w:t>
      </w:r>
    </w:p>
    <w:p>
      <w:pPr>
        <w:spacing w:after="0" w:line="117" w:lineRule="exact"/>
        <w:rPr>
          <w:sz w:val="20"/>
          <w:szCs w:val="20"/>
          <w:color w:val="auto"/>
        </w:rPr>
      </w:pPr>
    </w:p>
    <w:p>
      <w:pPr>
        <w:jc w:val="both"/>
        <w:ind w:left="700" w:right="680"/>
        <w:spacing w:after="0" w:line="289" w:lineRule="auto"/>
        <w:rPr>
          <w:sz w:val="20"/>
          <w:szCs w:val="20"/>
          <w:color w:val="auto"/>
        </w:rPr>
      </w:pPr>
      <w:r>
        <w:rPr>
          <w:rFonts w:ascii="Arial" w:cs="Arial" w:eastAsia="Arial" w:hAnsi="Arial"/>
          <w:sz w:val="17"/>
          <w:szCs w:val="17"/>
          <w:b w:val="1"/>
          <w:bCs w:val="1"/>
          <w:color w:val="auto"/>
        </w:rPr>
        <w:t xml:space="preserve">“Customer Information” </w:t>
      </w:r>
      <w:r>
        <w:rPr>
          <w:rFonts w:ascii="Arial" w:cs="Arial" w:eastAsia="Arial" w:hAnsi="Arial"/>
          <w:sz w:val="17"/>
          <w:szCs w:val="17"/>
          <w:color w:val="auto"/>
        </w:rPr>
        <w:t>includes, but is not limited to, customer name, address, and phone number, any customer or employee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credit card and credit-related information, health or financial information, authentication credentials, information concerning a customer’s calling patterns, unlisted customer numbers, any other information associated with 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5" w:name="page116"/>
    <w:bookmarkEnd w:id="115"/>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60"/>
        <w:spacing w:after="0" w:line="257" w:lineRule="auto"/>
        <w:rPr>
          <w:sz w:val="20"/>
          <w:szCs w:val="20"/>
          <w:color w:val="auto"/>
        </w:rPr>
      </w:pPr>
      <w:r>
        <w:rPr>
          <w:rFonts w:ascii="Arial" w:cs="Arial" w:eastAsia="Arial" w:hAnsi="Arial"/>
          <w:sz w:val="18"/>
          <w:szCs w:val="18"/>
          <w:color w:val="auto"/>
        </w:rPr>
        <w:t>customer or with persons in the household of a customer, and any information available to AT&amp;T and/or its suppliers by virtue of AT&amp;T’s relationship with its customers as a provider of telecommunications, Internet, information or other services, including the quantity, technical configuration, location, type, destination, and amount of use of telecommunications or other services subscribed to, and information contained on the telephone bills of AT&amp;T’s customers pertaining to telephone exchange service, telephone toll service or other services received by a customer of AT&amp;T.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Delivery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“Deliver” </w:t>
      </w:r>
      <w:r>
        <w:rPr>
          <w:rFonts w:ascii="Arial" w:cs="Arial" w:eastAsia="Arial" w:hAnsi="Arial"/>
          <w:sz w:val="16"/>
          <w:szCs w:val="16"/>
          <w:color w:val="auto"/>
        </w:rPr>
        <w:t>or</w:t>
      </w:r>
      <w:r>
        <w:rPr>
          <w:rFonts w:ascii="Arial" w:cs="Arial" w:eastAsia="Arial" w:hAnsi="Arial"/>
          <w:sz w:val="16"/>
          <w:szCs w:val="16"/>
          <w:b w:val="1"/>
          <w:bCs w:val="1"/>
          <w:color w:val="auto"/>
        </w:rPr>
        <w:t xml:space="preserve"> “Delivery” </w:t>
      </w:r>
      <w:r>
        <w:rPr>
          <w:rFonts w:ascii="Arial" w:cs="Arial" w:eastAsia="Arial" w:hAnsi="Arial"/>
          <w:sz w:val="16"/>
          <w:szCs w:val="16"/>
          <w:color w:val="auto"/>
        </w:rPr>
        <w:t>means Supplier’s obligation to provide Material and/or Servicesthat [***] conform to the Specifications. Delivery occurs:</w:t>
      </w:r>
    </w:p>
    <w:p>
      <w:pPr>
        <w:spacing w:after="0" w:line="50" w:lineRule="exact"/>
        <w:rPr>
          <w:sz w:val="20"/>
          <w:szCs w:val="20"/>
          <w:color w:val="auto"/>
        </w:rPr>
      </w:pPr>
    </w:p>
    <w:p>
      <w:pPr>
        <w:jc w:val="both"/>
        <w:ind w:left="700" w:hanging="7"/>
        <w:spacing w:after="0" w:line="254" w:lineRule="auto"/>
        <w:tabs>
          <w:tab w:leader="none" w:pos="9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tangible Material, upon AT&amp;T’s possession of the Material, if Supplier is not required to provide additional Services in connection with the Delivery, such as installation, (ii) with respect to Software upon AT&amp;T’s receipt of electronic transmission or receipt by AT&amp;T of the media upon which the Software resides, or (iii) for Services or Material for which Services are to be provided, upon completing the provision of Services with respect to an applicable Milestone or scope of Delivery.</w:t>
      </w:r>
    </w:p>
    <w:p>
      <w:pPr>
        <w:spacing w:after="0" w:line="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Delivery Date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means the date on which Supplier is scheduled to complete its Delivery as established in an Order.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Documentation or Program Material</w:t>
      </w:r>
    </w:p>
    <w:p>
      <w:pPr>
        <w:spacing w:after="0" w:line="117" w:lineRule="exact"/>
        <w:rPr>
          <w:sz w:val="20"/>
          <w:szCs w:val="20"/>
          <w:color w:val="auto"/>
        </w:rPr>
      </w:pPr>
    </w:p>
    <w:p>
      <w:pPr>
        <w:ind w:left="700" w:right="180"/>
        <w:spacing w:after="0" w:line="261" w:lineRule="auto"/>
        <w:rPr>
          <w:sz w:val="20"/>
          <w:szCs w:val="20"/>
          <w:color w:val="auto"/>
        </w:rPr>
      </w:pPr>
      <w:r>
        <w:rPr>
          <w:rFonts w:ascii="Arial" w:cs="Arial" w:eastAsia="Arial" w:hAnsi="Arial"/>
          <w:sz w:val="18"/>
          <w:szCs w:val="18"/>
          <w:b w:val="1"/>
          <w:bCs w:val="1"/>
          <w:color w:val="auto"/>
        </w:rPr>
        <w:t xml:space="preserve">“Documentation”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“Program Material” </w:t>
      </w:r>
      <w:r>
        <w:rPr>
          <w:rFonts w:ascii="Arial" w:cs="Arial" w:eastAsia="Arial" w:hAnsi="Arial"/>
          <w:sz w:val="18"/>
          <w:szCs w:val="18"/>
          <w:color w:val="auto"/>
        </w:rPr>
        <w:t>includes user instructions and system manuals, training Material in machine readable or printed form,</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written Specifications, Material associated with Software, flow charts, data file listings, and input and output formats, provided by Supplier under the applicable Order. If the applicable Order so provides, Program Material will also include the source code for the Custom Software.</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Equipment</w:t>
      </w:r>
    </w:p>
    <w:p>
      <w:pPr>
        <w:spacing w:after="0" w:line="117" w:lineRule="exact"/>
        <w:rPr>
          <w:sz w:val="20"/>
          <w:szCs w:val="20"/>
          <w:color w:val="auto"/>
        </w:rPr>
      </w:pPr>
    </w:p>
    <w:p>
      <w:pPr>
        <w:ind w:left="700" w:right="20"/>
        <w:spacing w:after="0" w:line="282" w:lineRule="auto"/>
        <w:rPr>
          <w:sz w:val="20"/>
          <w:szCs w:val="20"/>
          <w:color w:val="auto"/>
        </w:rPr>
      </w:pPr>
      <w:r>
        <w:rPr>
          <w:rFonts w:ascii="Arial" w:cs="Arial" w:eastAsia="Arial" w:hAnsi="Arial"/>
          <w:sz w:val="18"/>
          <w:szCs w:val="18"/>
          <w:b w:val="1"/>
          <w:bCs w:val="1"/>
          <w:color w:val="auto"/>
        </w:rPr>
        <w:t>“Equipment</w:t>
      </w:r>
      <w:r>
        <w:rPr>
          <w:rFonts w:ascii="Arial" w:cs="Arial" w:eastAsia="Arial" w:hAnsi="Arial"/>
          <w:sz w:val="18"/>
          <w:szCs w:val="18"/>
          <w:color w:val="auto"/>
        </w:rPr>
        <w:t>” means all tangible products and equipment used to operate the Software and/or all tangible products and equipment provided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Supplier.</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Error or Defect</w:t>
      </w:r>
    </w:p>
    <w:p>
      <w:pPr>
        <w:spacing w:after="0" w:line="117" w:lineRule="exact"/>
        <w:rPr>
          <w:sz w:val="20"/>
          <w:szCs w:val="20"/>
          <w:color w:val="auto"/>
        </w:rPr>
      </w:pPr>
    </w:p>
    <w:p>
      <w:pPr>
        <w:ind w:left="700" w:right="500"/>
        <w:spacing w:after="0" w:line="282" w:lineRule="auto"/>
        <w:rPr>
          <w:sz w:val="20"/>
          <w:szCs w:val="20"/>
          <w:color w:val="auto"/>
        </w:rPr>
      </w:pPr>
      <w:r>
        <w:rPr>
          <w:rFonts w:ascii="Arial" w:cs="Arial" w:eastAsia="Arial" w:hAnsi="Arial"/>
          <w:sz w:val="18"/>
          <w:szCs w:val="18"/>
          <w:b w:val="1"/>
          <w:bCs w:val="1"/>
          <w:color w:val="auto"/>
        </w:rPr>
        <w:t xml:space="preserve">“Error” </w:t>
      </w:r>
      <w:r>
        <w:rPr>
          <w:rFonts w:ascii="Arial" w:cs="Arial" w:eastAsia="Arial" w:hAnsi="Arial"/>
          <w:sz w:val="18"/>
          <w:szCs w:val="18"/>
          <w:color w:val="auto"/>
        </w:rPr>
        <w:t>or</w:t>
      </w:r>
      <w:r>
        <w:rPr>
          <w:rFonts w:ascii="Arial" w:cs="Arial" w:eastAsia="Arial" w:hAnsi="Arial"/>
          <w:sz w:val="18"/>
          <w:szCs w:val="18"/>
          <w:b w:val="1"/>
          <w:bCs w:val="1"/>
          <w:color w:val="auto"/>
        </w:rPr>
        <w:t xml:space="preserve"> “Defect” </w:t>
      </w:r>
      <w:r>
        <w:rPr>
          <w:rFonts w:ascii="Arial" w:cs="Arial" w:eastAsia="Arial" w:hAnsi="Arial"/>
          <w:sz w:val="18"/>
          <w:szCs w:val="18"/>
          <w:color w:val="auto"/>
        </w:rPr>
        <w:t>shall mean defects found in Custom Software which causes the Custom Software not to function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Specifications.</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7"/>
          <w:szCs w:val="17"/>
          <w:b w:val="1"/>
          <w:bCs w:val="1"/>
          <w:color w:val="auto"/>
        </w:rPr>
        <w:t>Harmful Code</w:t>
      </w:r>
    </w:p>
    <w:p>
      <w:pPr>
        <w:spacing w:after="0" w:line="117" w:lineRule="exact"/>
        <w:rPr>
          <w:sz w:val="20"/>
          <w:szCs w:val="20"/>
          <w:color w:val="auto"/>
        </w:rPr>
      </w:pPr>
    </w:p>
    <w:p>
      <w:pPr>
        <w:ind w:left="700" w:right="560"/>
        <w:spacing w:after="0" w:line="347" w:lineRule="auto"/>
        <w:rPr>
          <w:sz w:val="20"/>
          <w:szCs w:val="20"/>
          <w:color w:val="auto"/>
        </w:rPr>
      </w:pPr>
      <w:r>
        <w:rPr>
          <w:rFonts w:ascii="Arial" w:cs="Arial" w:eastAsia="Arial" w:hAnsi="Arial"/>
          <w:sz w:val="16"/>
          <w:szCs w:val="16"/>
          <w:b w:val="1"/>
          <w:bCs w:val="1"/>
          <w:color w:val="auto"/>
        </w:rPr>
        <w:t xml:space="preserve">“Harmful Code” </w:t>
      </w:r>
      <w:r>
        <w:rPr>
          <w:rFonts w:ascii="Arial" w:cs="Arial" w:eastAsia="Arial" w:hAnsi="Arial"/>
          <w:sz w:val="16"/>
          <w:szCs w:val="16"/>
          <w:color w:val="auto"/>
        </w:rPr>
        <w:t>includes any and all instructions designed to prevent a computer from producing intended results or to cause a computer to</w:t>
      </w:r>
      <w:r>
        <w:rPr>
          <w:rFonts w:ascii="Arial" w:cs="Arial" w:eastAsia="Arial" w:hAnsi="Arial"/>
          <w:sz w:val="16"/>
          <w:szCs w:val="16"/>
          <w:b w:val="1"/>
          <w:bCs w:val="1"/>
          <w:color w:val="auto"/>
        </w:rPr>
        <w:t xml:space="preserve"> </w:t>
      </w:r>
      <w:r>
        <w:rPr>
          <w:rFonts w:ascii="Arial" w:cs="Arial" w:eastAsia="Arial" w:hAnsi="Arial"/>
          <w:sz w:val="16"/>
          <w:szCs w:val="16"/>
          <w:color w:val="auto"/>
        </w:rPr>
        <w:t>produce unintended results, including, but not limited to the following: instructions designed to halt or disrupt the operation of a computer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6" w:name="page117"/>
    <w:bookmarkEnd w:id="116"/>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100"/>
        <w:spacing w:after="0" w:line="293" w:lineRule="auto"/>
        <w:rPr>
          <w:sz w:val="20"/>
          <w:szCs w:val="20"/>
          <w:color w:val="auto"/>
        </w:rPr>
      </w:pPr>
      <w:r>
        <w:rPr>
          <w:rFonts w:ascii="Arial" w:cs="Arial" w:eastAsia="Arial" w:hAnsi="Arial"/>
          <w:sz w:val="16"/>
          <w:szCs w:val="16"/>
          <w:color w:val="auto"/>
        </w:rPr>
        <w:t>program at an arbitrary time (“time bombs”) or upon the execution of an arbitrarily designated instruction (“logic bombs”); instructions designed to cause the computer to duplicate these instructions and retransmit those instructions to others, with or without additional disabling effects or instructions designed to cause the computer to maliciously erase its own data files (“viruses/worms”); instructions designed to override security features and facilitate access to the computer by unauthorized users (“back doors,” “trap doors,” and “undocumented passwords”) or to place the operation of the computer under the control of unauthorized remote users (“Trojan horses”). Harmful Code shall not include any key locks, or capacity limits on the operation of a computer program or software to the extent licensed by AT&amp;T with those restrictions.</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b w:val="1"/>
          <w:bCs w:val="1"/>
          <w:color w:val="auto"/>
        </w:rPr>
        <w:t>Incident</w:t>
      </w:r>
    </w:p>
    <w:p>
      <w:pPr>
        <w:spacing w:after="0" w:line="117" w:lineRule="exact"/>
        <w:rPr>
          <w:sz w:val="20"/>
          <w:szCs w:val="20"/>
          <w:color w:val="auto"/>
        </w:rPr>
      </w:pPr>
    </w:p>
    <w:p>
      <w:pPr>
        <w:ind w:left="700" w:right="100"/>
        <w:spacing w:after="0" w:line="298" w:lineRule="auto"/>
        <w:rPr>
          <w:sz w:val="20"/>
          <w:szCs w:val="20"/>
          <w:color w:val="auto"/>
        </w:rPr>
      </w:pPr>
      <w:r>
        <w:rPr>
          <w:rFonts w:ascii="Arial" w:cs="Arial" w:eastAsia="Arial" w:hAnsi="Arial"/>
          <w:sz w:val="16"/>
          <w:szCs w:val="16"/>
          <w:b w:val="1"/>
          <w:bCs w:val="1"/>
          <w:color w:val="auto"/>
        </w:rPr>
        <w:t xml:space="preserve">“Incident” </w:t>
      </w:r>
      <w:r>
        <w:rPr>
          <w:rFonts w:ascii="Arial" w:cs="Arial" w:eastAsia="Arial" w:hAnsi="Arial"/>
          <w:sz w:val="16"/>
          <w:szCs w:val="16"/>
          <w:color w:val="auto"/>
        </w:rPr>
        <w:t>shall be applicable only to Orders for Call Center Work and means a suspected or actual attack upon, intrusion upon, unauthorized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loss of, or other security breach involving Information Resources. In such case Supplier is required to promptly [***] notify AT&amp;T Asset Protection by telephone at 800-807-4205 from within the US and at 1-908-658-0380 from elsewhere whenever there is a suspected or actual attack upon, intrusion upon, unauthorized access to, loss of, or any other breach of In-Scope Information. This notification is in addition to and not in replacement of those notification requirements contained within the AT&amp;T Supplier Information Security Requirements (SISR).</w:t>
      </w:r>
    </w:p>
    <w:p>
      <w:pPr>
        <w:spacing w:after="0" w:line="5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Examples of Incidents to report to AT&amp;T include but are not limited to the following:</w:t>
      </w:r>
    </w:p>
    <w:p>
      <w:pPr>
        <w:spacing w:after="0" w:line="131" w:lineRule="exact"/>
        <w:rPr>
          <w:sz w:val="20"/>
          <w:szCs w:val="20"/>
          <w:color w:val="auto"/>
        </w:rPr>
      </w:pPr>
    </w:p>
    <w:p>
      <w:pPr>
        <w:ind w:left="1460" w:hanging="777"/>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Suspected improper or fraudulent use of customer or employee information</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Theft or loss of sensitive customer or employee information</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Accidental or intentional disclosure of sensitive customer information to a third party, such as: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Customer call records, billing information, or other CPNI</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Customer financial account, banking or credit information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Customer Social Security Number or date of birth</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Accidental or intentional disclosure of sensitive employee information to a third party , such as: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Employee Social Security Number, date of birth, or financial account information,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Employee medical information or health-related records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Employee human resources records</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Improper storage, disposal, or retention of confidential AT&amp;T customer or employee files or records</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security breach, as that term is commonly defined</w:t>
      </w:r>
    </w:p>
    <w:p>
      <w:pPr>
        <w:spacing w:after="0" w:line="130" w:lineRule="exact"/>
        <w:rPr>
          <w:rFonts w:ascii="Arial" w:cs="Arial" w:eastAsia="Arial" w:hAnsi="Arial"/>
          <w:sz w:val="18"/>
          <w:szCs w:val="18"/>
          <w:color w:val="auto"/>
        </w:rPr>
      </w:pPr>
    </w:p>
    <w:p>
      <w:pPr>
        <w:ind w:left="1460" w:right="580" w:hanging="777"/>
        <w:spacing w:after="0" w:line="277" w:lineRule="auto"/>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customer or employee privacy-related issues or occurrences that may negatively impact employees or customers or result in negative financial and/or reputational consequences to AT&amp;T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b w:val="1"/>
          <w:bCs w:val="1"/>
          <w:color w:val="auto"/>
        </w:rPr>
        <w:t>Information</w:t>
      </w:r>
    </w:p>
    <w:p>
      <w:pPr>
        <w:spacing w:after="0" w:line="117" w:lineRule="exact"/>
        <w:rPr>
          <w:sz w:val="20"/>
          <w:szCs w:val="20"/>
          <w:color w:val="auto"/>
        </w:rPr>
      </w:pPr>
    </w:p>
    <w:p>
      <w:pPr>
        <w:ind w:left="700" w:right="540"/>
        <w:spacing w:after="0" w:line="347" w:lineRule="auto"/>
        <w:rPr>
          <w:sz w:val="20"/>
          <w:szCs w:val="20"/>
          <w:color w:val="auto"/>
        </w:rPr>
      </w:pPr>
      <w:r>
        <w:rPr>
          <w:rFonts w:ascii="Arial" w:cs="Arial" w:eastAsia="Arial" w:hAnsi="Arial"/>
          <w:sz w:val="16"/>
          <w:szCs w:val="16"/>
          <w:b w:val="1"/>
          <w:bCs w:val="1"/>
          <w:color w:val="auto"/>
        </w:rPr>
        <w:t>“Information”</w:t>
      </w:r>
      <w:r>
        <w:rPr>
          <w:rFonts w:ascii="Arial" w:cs="Arial" w:eastAsia="Arial" w:hAnsi="Arial"/>
          <w:sz w:val="16"/>
          <w:szCs w:val="16"/>
          <w:color w:val="auto"/>
        </w:rPr>
        <w:t>, with respect to a Party, means all confidential, proprietary or trade secret information, including discoveries, ideas, concepts,</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techniques, processes, procedures, designs, specifications, strategic information, proposals, requests for proposals,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7" w:name="page118"/>
    <w:bookmarkEnd w:id="117"/>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340"/>
        <w:spacing w:after="0" w:line="259" w:lineRule="auto"/>
        <w:rPr>
          <w:sz w:val="20"/>
          <w:szCs w:val="20"/>
          <w:color w:val="auto"/>
        </w:rPr>
      </w:pPr>
      <w:r>
        <w:rPr>
          <w:rFonts w:ascii="Arial" w:cs="Arial" w:eastAsia="Arial" w:hAnsi="Arial"/>
          <w:sz w:val="18"/>
          <w:szCs w:val="18"/>
          <w:color w:val="auto"/>
        </w:rPr>
        <w:t>proposed products, drawings, blueprints, tracings, diagrams, models, samples, flow charts, data, computer programs, marketing plans, Customer Information (including Internet activities, history, and/or patterns of use), employee personal information, health or financial information, authentication credentials, and other technical, financial or business information, whether disclosed in writing, orally, or visually, in tangible or intangible form, including in electronic mail or by other electronic communication.</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Intellectual Property Rights</w:t>
      </w:r>
    </w:p>
    <w:p>
      <w:pPr>
        <w:spacing w:after="0" w:line="117" w:lineRule="exact"/>
        <w:rPr>
          <w:sz w:val="20"/>
          <w:szCs w:val="20"/>
          <w:color w:val="auto"/>
        </w:rPr>
      </w:pPr>
    </w:p>
    <w:p>
      <w:pPr>
        <w:ind w:left="700" w:right="120"/>
        <w:spacing w:after="0" w:line="261" w:lineRule="auto"/>
        <w:rPr>
          <w:sz w:val="20"/>
          <w:szCs w:val="20"/>
          <w:color w:val="auto"/>
        </w:rPr>
      </w:pP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means all patents (including all reissues, divisions, continuations, and extensions thereof) and patent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trade names, trademarks, service marks, logos, trade dress, copyrights, trade secrets, mask works, rights in technology, know-how, rights in content (including performance and synchronization rights), or other intellectual property rights that are in each case protected under the Laws of any governmental authority having jurisdiction</w:t>
      </w:r>
      <w:r>
        <w:rPr>
          <w:rFonts w:ascii="Arial" w:cs="Arial" w:eastAsia="Arial" w:hAnsi="Arial"/>
          <w:sz w:val="18"/>
          <w:szCs w:val="18"/>
          <w:i w:val="1"/>
          <w:iCs w:val="1"/>
          <w:color w:val="auto"/>
        </w:rPr>
        <w:t>.</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Laws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 xml:space="preserve">“Laws” </w:t>
      </w:r>
      <w:r>
        <w:rPr>
          <w:rFonts w:ascii="Arial" w:cs="Arial" w:eastAsia="Arial" w:hAnsi="Arial"/>
          <w:sz w:val="17"/>
          <w:szCs w:val="17"/>
          <w:color w:val="auto"/>
        </w:rPr>
        <w:t>includes all statutes, ordinances, regulations, orders, administrative rules and codes of any jurisdiction applicable to this Agreement.</w:t>
      </w:r>
    </w:p>
    <w:p>
      <w:pPr>
        <w:spacing w:after="0" w:line="14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License Order</w:t>
      </w:r>
    </w:p>
    <w:p>
      <w:pPr>
        <w:spacing w:after="0" w:line="117" w:lineRule="exact"/>
        <w:rPr>
          <w:sz w:val="20"/>
          <w:szCs w:val="20"/>
          <w:color w:val="auto"/>
        </w:rPr>
      </w:pPr>
    </w:p>
    <w:p>
      <w:pPr>
        <w:ind w:left="700" w:right="40"/>
        <w:spacing w:after="0" w:line="282" w:lineRule="auto"/>
        <w:rPr>
          <w:sz w:val="20"/>
          <w:szCs w:val="20"/>
          <w:color w:val="auto"/>
        </w:rPr>
      </w:pPr>
      <w:r>
        <w:rPr>
          <w:rFonts w:ascii="Arial" w:cs="Arial" w:eastAsia="Arial" w:hAnsi="Arial"/>
          <w:sz w:val="18"/>
          <w:szCs w:val="18"/>
          <w:b w:val="1"/>
          <w:bCs w:val="1"/>
          <w:color w:val="auto"/>
        </w:rPr>
        <w:t xml:space="preserve">“License Order” </w:t>
      </w:r>
      <w:r>
        <w:rPr>
          <w:rFonts w:ascii="Arial" w:cs="Arial" w:eastAsia="Arial" w:hAnsi="Arial"/>
          <w:sz w:val="18"/>
          <w:szCs w:val="18"/>
          <w:color w:val="auto"/>
        </w:rPr>
        <w:t>means an Order to license Supplier’s or a Supplier Affiliate’s proprietary generic software product, solely in object code form that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include any Material or Services which constitute Paid-For Development.</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7"/>
          <w:szCs w:val="17"/>
          <w:b w:val="1"/>
          <w:bCs w:val="1"/>
          <w:color w:val="auto"/>
        </w:rPr>
        <w:t>Material</w:t>
      </w:r>
    </w:p>
    <w:p>
      <w:pPr>
        <w:spacing w:after="0" w:line="117" w:lineRule="exact"/>
        <w:rPr>
          <w:sz w:val="20"/>
          <w:szCs w:val="20"/>
          <w:color w:val="auto"/>
        </w:rPr>
      </w:pPr>
    </w:p>
    <w:p>
      <w:pPr>
        <w:ind w:left="700" w:right="80"/>
        <w:spacing w:after="0" w:line="266" w:lineRule="auto"/>
        <w:rPr>
          <w:sz w:val="20"/>
          <w:szCs w:val="20"/>
          <w:color w:val="auto"/>
        </w:rPr>
      </w:pPr>
      <w:r>
        <w:rPr>
          <w:rFonts w:ascii="Arial" w:cs="Arial" w:eastAsia="Arial" w:hAnsi="Arial"/>
          <w:sz w:val="18"/>
          <w:szCs w:val="18"/>
          <w:b w:val="1"/>
          <w:bCs w:val="1"/>
          <w:color w:val="auto"/>
        </w:rPr>
        <w:t xml:space="preserve">“Material” </w:t>
      </w:r>
      <w:r>
        <w:rPr>
          <w:rFonts w:ascii="Arial" w:cs="Arial" w:eastAsia="Arial" w:hAnsi="Arial"/>
          <w:sz w:val="18"/>
          <w:szCs w:val="18"/>
          <w:color w:val="auto"/>
        </w:rPr>
        <w:t>means a unit of Equipment, apparatus, components, tools, supplies, material, Documentation, Hardware, or firmware thereto, or</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purchased or licensed hereunder by AT&amp;T from Supplier or otherwise provided by or on behalf of Supplier, including third party Material provided or furnished by Supplier. “Material” shall be deemed to include any replacement parts.</w:t>
      </w:r>
    </w:p>
    <w:p>
      <w:pPr>
        <w:spacing w:after="0" w:line="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OnGoing Support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“OnGoing Support” </w:t>
      </w:r>
      <w:r>
        <w:rPr>
          <w:rFonts w:ascii="Arial" w:cs="Arial" w:eastAsia="Arial" w:hAnsi="Arial"/>
          <w:sz w:val="18"/>
          <w:szCs w:val="18"/>
          <w:color w:val="auto"/>
        </w:rPr>
        <w:t>or</w:t>
      </w:r>
      <w:r>
        <w:rPr>
          <w:rFonts w:ascii="Arial" w:cs="Arial" w:eastAsia="Arial" w:hAnsi="Arial"/>
          <w:sz w:val="18"/>
          <w:szCs w:val="18"/>
          <w:b w:val="1"/>
          <w:bCs w:val="1"/>
          <w:color w:val="auto"/>
        </w:rPr>
        <w:t xml:space="preserve"> “OnGoing Support Services” (OGS) </w:t>
      </w:r>
      <w:r>
        <w:rPr>
          <w:rFonts w:ascii="Arial" w:cs="Arial" w:eastAsia="Arial" w:hAnsi="Arial"/>
          <w:sz w:val="18"/>
          <w:szCs w:val="18"/>
          <w:color w:val="auto"/>
        </w:rPr>
        <w:t>mean the Services as described herein and the applicable Order</w:t>
      </w:r>
      <w:r>
        <w:rPr>
          <w:rFonts w:ascii="Arial" w:cs="Arial" w:eastAsia="Arial" w:hAnsi="Arial"/>
          <w:sz w:val="18"/>
          <w:szCs w:val="18"/>
          <w:b w:val="1"/>
          <w:bCs w:val="1"/>
          <w:color w:val="auto"/>
        </w:rPr>
        <w: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7"/>
          <w:szCs w:val="17"/>
          <w:b w:val="1"/>
          <w:bCs w:val="1"/>
          <w:color w:val="auto"/>
        </w:rPr>
        <w:t>Order</w:t>
      </w:r>
    </w:p>
    <w:p>
      <w:pPr>
        <w:spacing w:after="0" w:line="117" w:lineRule="exact"/>
        <w:rPr>
          <w:sz w:val="20"/>
          <w:szCs w:val="20"/>
          <w:color w:val="auto"/>
        </w:rPr>
      </w:pPr>
    </w:p>
    <w:p>
      <w:pPr>
        <w:ind w:left="700" w:right="100"/>
        <w:spacing w:after="0" w:line="282" w:lineRule="auto"/>
        <w:rPr>
          <w:sz w:val="20"/>
          <w:szCs w:val="20"/>
          <w:color w:val="auto"/>
        </w:rPr>
      </w:pPr>
      <w:r>
        <w:rPr>
          <w:rFonts w:ascii="Arial" w:cs="Arial" w:eastAsia="Arial" w:hAnsi="Arial"/>
          <w:sz w:val="18"/>
          <w:szCs w:val="18"/>
          <w:b w:val="1"/>
          <w:bCs w:val="1"/>
          <w:color w:val="auto"/>
        </w:rPr>
        <w:t xml:space="preserve">“Order” </w:t>
      </w:r>
      <w:r>
        <w:rPr>
          <w:rFonts w:ascii="Arial" w:cs="Arial" w:eastAsia="Arial" w:hAnsi="Arial"/>
          <w:sz w:val="18"/>
          <w:szCs w:val="18"/>
          <w:color w:val="auto"/>
        </w:rPr>
        <w:t>means such paper or electronic records (a) as AT&amp;T may send to Supplier for the purpose of ordering Material and Services 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 as the Parties may execute for the purpose of ordering Material and Services hereunder.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Production Support</w:t>
      </w:r>
    </w:p>
    <w:p>
      <w:pPr>
        <w:spacing w:after="0" w:line="117" w:lineRule="exact"/>
        <w:rPr>
          <w:sz w:val="20"/>
          <w:szCs w:val="20"/>
          <w:color w:val="auto"/>
        </w:rPr>
      </w:pPr>
    </w:p>
    <w:p>
      <w:pPr>
        <w:ind w:left="700"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Production Support</w:t>
      </w:r>
      <w:r>
        <w:rPr>
          <w:rFonts w:ascii="Arial" w:cs="Arial" w:eastAsia="Arial" w:hAnsi="Arial"/>
          <w:sz w:val="18"/>
          <w:szCs w:val="18"/>
          <w:color w:val="auto"/>
        </w:rPr>
        <w:t>” means support services for Software and Systems in production which are not covered under an Amdocs warranty in an Order. For avoidance of doubt, Work performed by Amdocs in Production Support is itself subject to the OnGoing Support Services warranty provisions herein.</w:t>
      </w:r>
    </w:p>
    <w:p>
      <w:pPr>
        <w:spacing w:after="0" w:line="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b w:val="1"/>
          <w:bCs w:val="1"/>
          <w:color w:val="auto"/>
        </w:rPr>
        <w:t>Project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means the development of Custom Software and/or providing Services to AT&amp;T.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6"/>
          <w:szCs w:val="16"/>
          <w:b w:val="1"/>
          <w:bCs w:val="1"/>
          <w:color w:val="auto"/>
        </w:rPr>
        <w:t>Project Manager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“Project Manager” </w:t>
      </w:r>
      <w:r>
        <w:rPr>
          <w:rFonts w:ascii="Arial" w:cs="Arial" w:eastAsia="Arial" w:hAnsi="Arial"/>
          <w:sz w:val="18"/>
          <w:szCs w:val="18"/>
          <w:color w:val="auto"/>
        </w:rPr>
        <w:t>means each Party’s manager responsible for a Project and identified on the applicable Order.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b w:val="1"/>
          <w:bCs w:val="1"/>
          <w:color w:val="auto"/>
        </w:rPr>
        <w:t>Revision</w:t>
      </w:r>
    </w:p>
    <w:p>
      <w:pPr>
        <w:spacing w:after="0" w:line="117" w:lineRule="exact"/>
        <w:rPr>
          <w:sz w:val="20"/>
          <w:szCs w:val="20"/>
          <w:color w:val="auto"/>
        </w:rPr>
      </w:pPr>
    </w:p>
    <w:p>
      <w:pPr>
        <w:ind w:left="700" w:right="280"/>
        <w:spacing w:after="0" w:line="282" w:lineRule="auto"/>
        <w:rPr>
          <w:sz w:val="20"/>
          <w:szCs w:val="20"/>
          <w:color w:val="auto"/>
        </w:rPr>
      </w:pPr>
      <w:r>
        <w:rPr>
          <w:rFonts w:ascii="Arial" w:cs="Arial" w:eastAsia="Arial" w:hAnsi="Arial"/>
          <w:sz w:val="18"/>
          <w:szCs w:val="18"/>
          <w:b w:val="1"/>
          <w:bCs w:val="1"/>
          <w:color w:val="auto"/>
        </w:rPr>
        <w:t xml:space="preserve">“Revision” </w:t>
      </w:r>
      <w:r>
        <w:rPr>
          <w:rFonts w:ascii="Arial" w:cs="Arial" w:eastAsia="Arial" w:hAnsi="Arial"/>
          <w:sz w:val="18"/>
          <w:szCs w:val="18"/>
          <w:color w:val="auto"/>
        </w:rPr>
        <w:t>means an update to the Documentation to reflect the addition, deletion or correction of the previous version of the Documentation. A</w:t>
      </w:r>
      <w:r>
        <w:rPr>
          <w:rFonts w:ascii="Arial" w:cs="Arial" w:eastAsia="Arial" w:hAnsi="Arial"/>
          <w:sz w:val="18"/>
          <w:szCs w:val="18"/>
          <w:b w:val="1"/>
          <w:bCs w:val="1"/>
          <w:color w:val="auto"/>
        </w:rPr>
        <w:t xml:space="preserve"> </w:t>
      </w:r>
      <w:r>
        <w:rPr>
          <w:rFonts w:ascii="Arial" w:cs="Arial" w:eastAsia="Arial" w:hAnsi="Arial"/>
          <w:sz w:val="18"/>
          <w:szCs w:val="18"/>
          <w:color w:val="auto"/>
        </w:rPr>
        <w:t>Revision may also be referred to as a documentation update.</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5"/>
          <w:szCs w:val="15"/>
          <w:b w:val="1"/>
          <w:bCs w:val="1"/>
          <w:color w:val="auto"/>
        </w:rPr>
        <w:t>Services</w:t>
      </w:r>
    </w:p>
    <w:p>
      <w:pPr>
        <w:spacing w:after="0" w:line="117" w:lineRule="exact"/>
        <w:rPr>
          <w:sz w:val="20"/>
          <w:szCs w:val="20"/>
          <w:color w:val="auto"/>
        </w:rPr>
      </w:pPr>
    </w:p>
    <w:p>
      <w:pPr>
        <w:ind w:left="700" w:right="20"/>
        <w:spacing w:after="0" w:line="282" w:lineRule="auto"/>
        <w:rPr>
          <w:sz w:val="20"/>
          <w:szCs w:val="20"/>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means any labor or service provided in connection with this Agreement or any Order, including any Documentation or material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Services that is not otherwise Material as defined herein.</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Software</w:t>
      </w:r>
    </w:p>
    <w:p>
      <w:pPr>
        <w:spacing w:after="0" w:line="117" w:lineRule="exact"/>
        <w:rPr>
          <w:sz w:val="20"/>
          <w:szCs w:val="20"/>
          <w:color w:val="auto"/>
        </w:rPr>
      </w:pPr>
    </w:p>
    <w:p>
      <w:pPr>
        <w:ind w:left="700" w:right="340"/>
        <w:spacing w:after="0" w:line="266"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means any and all software (including Custom Software, Standard Software and firmware) in any form (including, for Custom</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source code as applicable and object code), as well as any Documentation, licensed or otherwise provided by or on behalf of Supplier, excluding any Third Party Software.</w:t>
      </w:r>
    </w:p>
    <w:p>
      <w:pPr>
        <w:spacing w:after="0" w:line="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5"/>
          <w:szCs w:val="15"/>
          <w:b w:val="1"/>
          <w:bCs w:val="1"/>
          <w:color w:val="auto"/>
        </w:rPr>
        <w:t>Specifications</w:t>
      </w:r>
    </w:p>
    <w:p>
      <w:pPr>
        <w:spacing w:after="0" w:line="117" w:lineRule="exact"/>
        <w:rPr>
          <w:sz w:val="20"/>
          <w:szCs w:val="20"/>
          <w:color w:val="auto"/>
        </w:rPr>
      </w:pPr>
    </w:p>
    <w:p>
      <w:pPr>
        <w:ind w:left="700" w:right="280"/>
        <w:spacing w:after="0" w:line="282"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(i) Supplier’s applicable specifications and descriptions, and (ii) any other requirements, specifications, and descriptions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by the parties and specified in, or attached to, an applicable Order.</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Standard Software</w:t>
      </w:r>
    </w:p>
    <w:p>
      <w:pPr>
        <w:spacing w:after="0" w:line="117" w:lineRule="exact"/>
        <w:rPr>
          <w:sz w:val="20"/>
          <w:szCs w:val="20"/>
          <w:color w:val="auto"/>
        </w:rPr>
      </w:pPr>
    </w:p>
    <w:p>
      <w:pPr>
        <w:ind w:left="7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Software”</w:t>
      </w:r>
      <w:r>
        <w:rPr>
          <w:rFonts w:ascii="Arial" w:cs="Arial" w:eastAsia="Arial" w:hAnsi="Arial"/>
          <w:sz w:val="18"/>
          <w:szCs w:val="18"/>
          <w:color w:val="auto"/>
        </w:rPr>
        <w:t xml:space="preserve"> means Supplier’s or a Supplier Affiliate’s proprietary generic software product, solely in object code form, that is licensed to AT&amp;T in accordance with the Software Master Agreement No. 03032360 (as amended) or an applicable License Order.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6"/>
          <w:szCs w:val="16"/>
          <w:b w:val="1"/>
          <w:bCs w:val="1"/>
          <w:color w:val="auto"/>
        </w:rPr>
        <w:t>Subcontractor</w:t>
      </w:r>
    </w:p>
    <w:p>
      <w:pPr>
        <w:spacing w:after="0" w:line="117" w:lineRule="exact"/>
        <w:rPr>
          <w:sz w:val="20"/>
          <w:szCs w:val="20"/>
          <w:color w:val="auto"/>
        </w:rPr>
      </w:pPr>
    </w:p>
    <w:p>
      <w:pPr>
        <w:ind w:left="700" w:right="80"/>
        <w:spacing w:after="0" w:line="266" w:lineRule="auto"/>
        <w:rPr>
          <w:sz w:val="20"/>
          <w:szCs w:val="20"/>
          <w:color w:val="auto"/>
        </w:rPr>
      </w:pPr>
      <w:r>
        <w:rPr>
          <w:rFonts w:ascii="Arial" w:cs="Arial" w:eastAsia="Arial" w:hAnsi="Arial"/>
          <w:sz w:val="18"/>
          <w:szCs w:val="18"/>
          <w:b w:val="1"/>
          <w:bCs w:val="1"/>
          <w:color w:val="auto"/>
        </w:rPr>
        <w:t xml:space="preserve">“Subcontractor” </w:t>
      </w:r>
      <w:r>
        <w:rPr>
          <w:rFonts w:ascii="Arial" w:cs="Arial" w:eastAsia="Arial" w:hAnsi="Arial"/>
          <w:sz w:val="18"/>
          <w:szCs w:val="18"/>
          <w:color w:val="auto"/>
        </w:rPr>
        <w:t>means any person or entity (including an agent) supplying labor or materials to perform any or all of Supplier’s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any person or entity at any tier of subcontractors, and shall not be limited to those persons or entities with a direct relationship with Supplier.</w:t>
      </w:r>
    </w:p>
    <w:p>
      <w:pPr>
        <w:spacing w:after="0" w:line="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System</w:t>
      </w:r>
    </w:p>
    <w:p>
      <w:pPr>
        <w:spacing w:after="0" w:line="117" w:lineRule="exact"/>
        <w:rPr>
          <w:sz w:val="20"/>
          <w:szCs w:val="20"/>
          <w:color w:val="auto"/>
        </w:rPr>
      </w:pPr>
    </w:p>
    <w:p>
      <w:pPr>
        <w:ind w:left="700" w:right="120"/>
        <w:spacing w:after="0" w:line="347" w:lineRule="auto"/>
        <w:rPr>
          <w:sz w:val="20"/>
          <w:szCs w:val="20"/>
          <w:color w:val="auto"/>
        </w:rPr>
      </w:pPr>
      <w:r>
        <w:rPr>
          <w:rFonts w:ascii="Arial" w:cs="Arial" w:eastAsia="Arial" w:hAnsi="Arial"/>
          <w:sz w:val="16"/>
          <w:szCs w:val="16"/>
          <w:b w:val="1"/>
          <w:bCs w:val="1"/>
          <w:color w:val="auto"/>
        </w:rPr>
        <w:t xml:space="preserve">“System” </w:t>
      </w:r>
      <w:r>
        <w:rPr>
          <w:rFonts w:ascii="Arial" w:cs="Arial" w:eastAsia="Arial" w:hAnsi="Arial"/>
          <w:sz w:val="16"/>
          <w:szCs w:val="16"/>
          <w:color w:val="auto"/>
        </w:rPr>
        <w:t>means the operating environment for Software and includes the Hardware on which the Software resides and the operating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Software, databases which interact with such Software, and the Software and Hardware interfaces among such Hardware and Software.</w:t>
      </w:r>
    </w:p>
    <w:p>
      <w:pPr>
        <w:spacing w:after="0" w:line="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b w:val="1"/>
          <w:bCs w:val="1"/>
          <w:color w:val="auto"/>
        </w:rPr>
        <w:t>Third-Party Software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 Software</w:t>
      </w:r>
      <w:r>
        <w:rPr>
          <w:rFonts w:ascii="Arial" w:cs="Arial" w:eastAsia="Arial" w:hAnsi="Arial"/>
          <w:sz w:val="18"/>
          <w:szCs w:val="18"/>
          <w:color w:val="auto"/>
        </w:rPr>
        <w:t>” means any Software not owned by Supplier or AT&amp;T or their Affiliates.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b w:val="1"/>
          <w:bCs w:val="1"/>
          <w:color w:val="auto"/>
        </w:rPr>
        <w:t>Vulnerability</w:t>
      </w:r>
    </w:p>
    <w:p>
      <w:pPr>
        <w:spacing w:after="0" w:line="117" w:lineRule="exact"/>
        <w:rPr>
          <w:sz w:val="20"/>
          <w:szCs w:val="20"/>
          <w:color w:val="auto"/>
        </w:rPr>
      </w:pPr>
    </w:p>
    <w:p>
      <w:pPr>
        <w:ind w:left="700" w:right="220"/>
        <w:spacing w:after="0" w:line="282" w:lineRule="auto"/>
        <w:rPr>
          <w:sz w:val="20"/>
          <w:szCs w:val="20"/>
          <w:color w:val="auto"/>
        </w:rPr>
      </w:pPr>
      <w:r>
        <w:rPr>
          <w:rFonts w:ascii="Arial" w:cs="Arial" w:eastAsia="Arial" w:hAnsi="Arial"/>
          <w:sz w:val="18"/>
          <w:szCs w:val="18"/>
          <w:b w:val="1"/>
          <w:bCs w:val="1"/>
          <w:color w:val="auto"/>
        </w:rPr>
        <w:t xml:space="preserve">“Vulnerability” </w:t>
      </w:r>
      <w:r>
        <w:rPr>
          <w:rFonts w:ascii="Arial" w:cs="Arial" w:eastAsia="Arial" w:hAnsi="Arial"/>
          <w:sz w:val="18"/>
          <w:szCs w:val="18"/>
          <w:color w:val="auto"/>
        </w:rPr>
        <w:t>means a condition in the instructions of the Software, whether consistent with its Specifications or not, that renders the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Software is operating susceptible to unauthorized access and use.</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2.40</w:t>
      </w:r>
      <w:r>
        <w:rPr>
          <w:sz w:val="20"/>
          <w:szCs w:val="20"/>
          <w:color w:val="auto"/>
        </w:rPr>
        <w:tab/>
      </w:r>
      <w:r>
        <w:rPr>
          <w:rFonts w:ascii="Arial" w:cs="Arial" w:eastAsia="Arial" w:hAnsi="Arial"/>
          <w:sz w:val="17"/>
          <w:szCs w:val="17"/>
          <w:b w:val="1"/>
          <w:bCs w:val="1"/>
          <w:color w:val="auto"/>
        </w:rPr>
        <w:t>Work</w:t>
      </w:r>
    </w:p>
    <w:p>
      <w:pPr>
        <w:spacing w:after="0" w:line="117" w:lineRule="exact"/>
        <w:rPr>
          <w:sz w:val="20"/>
          <w:szCs w:val="20"/>
          <w:color w:val="auto"/>
        </w:rPr>
      </w:pPr>
    </w:p>
    <w:p>
      <w:pPr>
        <w:ind w:left="700" w:right="220"/>
        <w:spacing w:after="0" w:line="282" w:lineRule="auto"/>
        <w:rPr>
          <w:sz w:val="20"/>
          <w:szCs w:val="20"/>
          <w:color w:val="auto"/>
        </w:rPr>
      </w:pPr>
      <w:r>
        <w:rPr>
          <w:rFonts w:ascii="Arial" w:cs="Arial" w:eastAsia="Arial" w:hAnsi="Arial"/>
          <w:sz w:val="18"/>
          <w:szCs w:val="18"/>
          <w:b w:val="1"/>
          <w:bCs w:val="1"/>
          <w:color w:val="auto"/>
        </w:rPr>
        <w:t xml:space="preserve">“Work” </w:t>
      </w:r>
      <w:r>
        <w:rPr>
          <w:rFonts w:ascii="Arial" w:cs="Arial" w:eastAsia="Arial" w:hAnsi="Arial"/>
          <w:sz w:val="18"/>
          <w:szCs w:val="18"/>
          <w:color w:val="auto"/>
        </w:rPr>
        <w:t>means all or any portion, as the case may be, of the Material and Services that Supplier is supplying pursuant to Orders placed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General Terms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AT&amp;T Affiliate</w:t>
      </w:r>
    </w:p>
    <w:p>
      <w:pPr>
        <w:spacing w:after="0" w:line="135" w:lineRule="exact"/>
        <w:rPr>
          <w:sz w:val="20"/>
          <w:szCs w:val="20"/>
          <w:color w:val="auto"/>
        </w:rPr>
      </w:pPr>
    </w:p>
    <w:p>
      <w:pPr>
        <w:ind w:left="1480" w:hanging="797"/>
        <w:spacing w:after="0" w:line="290" w:lineRule="auto"/>
        <w:tabs>
          <w:tab w:leader="none" w:pos="1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AT&amp;T Affiliate may transact business under this Agreement and place Orders with Supplier that incorporate the terms and conditions of this Agreement. References to “AT&amp;T” herein are deemed to refer to an AT&amp;T Affiliate when an AT&amp;T Affiliate places an Order with Supplier under this Agreement, or when AT&amp;T places an Order on behalf of an AT&amp;T Affiliate, or when an AT&amp;T Affiliate otherwise transacts business with Supplier under this Agreement. To the extent that the pricing under this Agreement or any Orders provides for discounts of any sort based on volume of purchases by AT&amp;T (including percentage discounts and tier-based pricing) or requires a certain volume of purchases by AT&amp;T, [***]. An AT&amp;T Affiliate is solely responsible for its own obligations, including all charges incurred in connection with such an Order or transaction. Nothing in this Agreement is to [***], nor is anything in this Agreement to be construed to require any AT&amp;T Affiliate to indemnify Supplier, or to otherwise assume any responsibility, for the acts or omissions of</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0" w:name="page121"/>
    <w:bookmarkEnd w:id="120"/>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80" w:right="240"/>
        <w:spacing w:after="0" w:line="312" w:lineRule="auto"/>
        <w:rPr>
          <w:sz w:val="20"/>
          <w:szCs w:val="20"/>
          <w:color w:val="auto"/>
        </w:rPr>
      </w:pPr>
      <w:r>
        <w:rPr>
          <w:rFonts w:ascii="Arial" w:cs="Arial" w:eastAsia="Arial" w:hAnsi="Arial"/>
          <w:sz w:val="16"/>
          <w:szCs w:val="16"/>
          <w:color w:val="auto"/>
        </w:rPr>
        <w:t>AT&amp;T or any other AT&amp;T Affiliate. To the extent that the Affiliate is not based in the United States or is purchasing Services to be provided outside the United States and a Party reasonably believes that additional or different terms should be applied in the Order, the Parties shall negotiate in good faith on the additional or different terms to be included in the Order or a Supplement to this Agreement.</w:t>
      </w:r>
    </w:p>
    <w:p>
      <w:pPr>
        <w:spacing w:after="0" w:line="52" w:lineRule="exact"/>
        <w:rPr>
          <w:sz w:val="20"/>
          <w:szCs w:val="20"/>
          <w:color w:val="auto"/>
        </w:rPr>
      </w:pPr>
    </w:p>
    <w:p>
      <w:pPr>
        <w:ind w:left="1480" w:hanging="79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the foregoing, the Parties agree as follows:</w:t>
      </w:r>
    </w:p>
    <w:p>
      <w:pPr>
        <w:spacing w:after="0" w:line="130" w:lineRule="exact"/>
        <w:rPr>
          <w:rFonts w:ascii="Arial" w:cs="Arial" w:eastAsia="Arial" w:hAnsi="Arial"/>
          <w:sz w:val="18"/>
          <w:szCs w:val="18"/>
          <w:color w:val="auto"/>
        </w:rPr>
      </w:pPr>
    </w:p>
    <w:p>
      <w:pPr>
        <w:ind w:left="2160" w:right="60" w:hanging="680"/>
        <w:spacing w:after="0" w:line="308" w:lineRule="auto"/>
        <w:tabs>
          <w:tab w:leader="none" w:pos="21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a then-current AT&amp;T Affiliate desires to place Orders with Supplier for Material or Services, and such AT&amp;T Affiliate has an existing agreement with Supplier, AT&amp;T shall determine under which agreement the Order will be placed; and</w:t>
      </w:r>
    </w:p>
    <w:p>
      <w:pPr>
        <w:spacing w:after="0" w:line="51" w:lineRule="exact"/>
        <w:rPr>
          <w:rFonts w:ascii="Arial" w:cs="Arial" w:eastAsia="Arial" w:hAnsi="Arial"/>
          <w:sz w:val="17"/>
          <w:szCs w:val="17"/>
          <w:color w:val="auto"/>
        </w:rPr>
      </w:pPr>
    </w:p>
    <w:p>
      <w:pPr>
        <w:jc w:val="both"/>
        <w:ind w:left="2160" w:right="160" w:hanging="680"/>
        <w:spacing w:after="0" w:line="264" w:lineRule="auto"/>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the extent AT&amp;T acquires an entity or business with a pre-existing contractual relationship with Supplier, then AT&amp;T shall determine whether the acquired entity or business will process any new Orders under this Agreement or under the pre-existing contractual relationship.</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Amendments and Waivers</w:t>
      </w:r>
    </w:p>
    <w:p>
      <w:pPr>
        <w:spacing w:after="0" w:line="135" w:lineRule="exact"/>
        <w:rPr>
          <w:sz w:val="20"/>
          <w:szCs w:val="20"/>
          <w:color w:val="auto"/>
        </w:rPr>
      </w:pPr>
    </w:p>
    <w:p>
      <w:pPr>
        <w:ind w:left="1480" w:hanging="797"/>
        <w:spacing w:after="0" w:line="293" w:lineRule="auto"/>
        <w:tabs>
          <w:tab w:leader="none" w:pos="1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Parties may not amend this Agreement or an Order except by a written agreement of the Parties that identifies itself as an amendment to this Agreement or such Order and is signed by both Parties, or as otherwise expressly provided below in this Section. No waiver of any right or condition is effective unless given in writing and signed by the Party waiving such right or condition. No delay or omission by either Party to exercise any right or power it has under this Agreement shall impair or be construed as a waiver of such right or power. A waiver by any Party of any breach, condition or covenant shall not be construed to be a waiver of any succeeding breach or condition or of any other covenant. All waivers must be in writing and signed by the Party waiving its rights.</w:t>
      </w:r>
    </w:p>
    <w:p>
      <w:pPr>
        <w:spacing w:after="0" w:line="70" w:lineRule="exact"/>
        <w:rPr>
          <w:rFonts w:ascii="Arial" w:cs="Arial" w:eastAsia="Arial" w:hAnsi="Arial"/>
          <w:sz w:val="16"/>
          <w:szCs w:val="16"/>
          <w:color w:val="auto"/>
        </w:rPr>
      </w:pPr>
    </w:p>
    <w:p>
      <w:pPr>
        <w:ind w:left="1480" w:right="60" w:hanging="797"/>
        <w:spacing w:after="0" w:line="279" w:lineRule="auto"/>
        <w:tabs>
          <w:tab w:leader="none" w:pos="14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AT&amp;T’s Project Manager may, at any time, make changes to the scope of Work, which shall be confirmed in writing, and Supplier shall not unreasonably withhold or condition its consent. An equitable adjustment shall be made to the charges if such change to the scope affects the time of performance or the cost of the Work, including expenses, to be performed under this Agreement. Such cost adjustment shall be made on the basis of the fees specified in the Order for the Work, unless otherwise agreed in writing.</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Anticorruption Laws</w:t>
      </w:r>
    </w:p>
    <w:p>
      <w:pPr>
        <w:spacing w:after="0" w:line="121"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Supplier and its employees, temporary workers, agents, consultants, partners, officers, directors, members or representatives of Supplier and its Subcontractors, if any, performing Services or other activities under this Agreement (each and any of the foregoing individuals, for the purpose of this Section, a “Supplier Representative”) shall comply with the US Foreign Corrupt Practices Act and all applicable anticorruption laws (including commercial bribery laws). Supplier Representatives shall not directly or indirectly pay, offer, give, promise to pay or authorize the payment of any portion of the compensation received in connection with this Agreement or any other monies or other things of value in connection with its performance to a Government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1" w:name="page122"/>
    <w:bookmarkEnd w:id="121"/>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Official, as such term is defined below, to obtain or retain business or secure any improper advantage nor shall it permit such actions by a third party in connection with this Agreement. For purposes of this Section, “Government Official” means: (i) an officer or employee of any government or any department, agency, or instrumentality thereof, including government-owned or government-controlled commercial entities; (ii) an officer or employee of a public international organization; (iii) any person acting in an official capacity for or on behalf of any government or department, agency, or instrumentality or public international organization; (iv) any political party or official thereof; (v) any candidate for political office; or (vi) any other person, individual or entity at the suggestion, request or direction or for the benefit of any of the above-described persons or entities.</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Assignment and Delegation</w:t>
      </w:r>
    </w:p>
    <w:p>
      <w:pPr>
        <w:spacing w:after="0" w:line="135" w:lineRule="exact"/>
        <w:rPr>
          <w:sz w:val="20"/>
          <w:szCs w:val="20"/>
          <w:color w:val="auto"/>
        </w:rPr>
      </w:pPr>
    </w:p>
    <w:p>
      <w:pPr>
        <w:ind w:left="1480" w:right="340" w:hanging="797"/>
        <w:spacing w:after="0" w:line="277"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Party may, nor will it have the power to, assign, delegate, or otherwise transfer its rights or obligations under this Agreement, without the prior written consent of the other Party, except in the following circumstances:</w:t>
      </w:r>
    </w:p>
    <w:p>
      <w:pPr>
        <w:spacing w:after="0" w:line="62" w:lineRule="exact"/>
        <w:rPr>
          <w:rFonts w:ascii="Arial" w:cs="Arial" w:eastAsia="Arial" w:hAnsi="Arial"/>
          <w:sz w:val="18"/>
          <w:szCs w:val="18"/>
          <w:color w:val="auto"/>
        </w:rPr>
      </w:pPr>
    </w:p>
    <w:p>
      <w:pPr>
        <w:ind w:left="1500" w:right="40"/>
        <w:spacing w:after="0" w:line="271" w:lineRule="auto"/>
        <w:rPr>
          <w:rFonts w:ascii="Arial" w:cs="Arial" w:eastAsia="Arial" w:hAnsi="Arial"/>
          <w:sz w:val="18"/>
          <w:szCs w:val="18"/>
          <w:color w:val="auto"/>
        </w:rPr>
      </w:pPr>
      <w:r>
        <w:rPr>
          <w:rFonts w:ascii="Arial" w:cs="Arial" w:eastAsia="Arial" w:hAnsi="Arial"/>
          <w:sz w:val="17"/>
          <w:szCs w:val="17"/>
          <w:color w:val="auto"/>
        </w:rPr>
        <w:t>AT&amp;T may assign its rights and obligations under this Agreement, without the approval of Supplier, to an AT&amp;T Affiliate and Supplier may assign its rights and obligations under this Agreement, without the approval of AT&amp;T, to a Supplier Affiliate, which in either case has the necessary capability, standing, resources and solvency as reasonably determined by the non-assigning Party to perform the Agreement and which expressly assumes such assigning Party’s obligations and responsibilities hereunder, and which is not a direct competitor of the other Party; provided, however, that the assigning Party shall remain fully liable for and shall not be relieved from the full performance of all obligations under this Agreement without the consent of the other Party. A Party assigning its rights or obligations in accordance with this Section shall, within[***] after such assignment, provide notice thereof to the other Party together with a copy of any relevant provisions of the assignment document.</w:t>
      </w:r>
    </w:p>
    <w:p>
      <w:pPr>
        <w:spacing w:after="0" w:line="84" w:lineRule="exact"/>
        <w:rPr>
          <w:rFonts w:ascii="Arial" w:cs="Arial" w:eastAsia="Arial" w:hAnsi="Arial"/>
          <w:sz w:val="18"/>
          <w:szCs w:val="18"/>
          <w:color w:val="auto"/>
        </w:rPr>
      </w:pPr>
    </w:p>
    <w:p>
      <w:pPr>
        <w:ind w:left="1480" w:right="100" w:hanging="797"/>
        <w:spacing w:after="0" w:line="297" w:lineRule="auto"/>
        <w:tabs>
          <w:tab w:leader="none" w:pos="14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Party may assign its right to receive money due hereunder, but any assignment of money will be void to the extent (i) the assignor fails to give the non-assigning Party at least thirty (30) days prior written notice, or (ii) the assignment purports to impose upon the non-assigning Party additional costs or obligations in addition to the payment of such money, or (iii) the assignment purports to preclude AT&amp;T from dealing solely and directly with Supplier in all matters pertaining to this Agreement. Any assignment, delegation or transfer for which consent is required hereby and which is made without such consent given in writing will be void.</w:t>
      </w:r>
    </w:p>
    <w:p>
      <w:pPr>
        <w:spacing w:after="0" w:line="63" w:lineRule="exact"/>
        <w:rPr>
          <w:rFonts w:ascii="Arial" w:cs="Arial" w:eastAsia="Arial" w:hAnsi="Arial"/>
          <w:sz w:val="16"/>
          <w:szCs w:val="16"/>
          <w:color w:val="auto"/>
        </w:rPr>
      </w:pPr>
    </w:p>
    <w:p>
      <w:pPr>
        <w:ind w:left="1480" w:hanging="79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Supplier may subcontract its performance subject to the Section herein entitled “Work Done by Others”.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Compliance with Laws</w:t>
      </w:r>
    </w:p>
    <w:p>
      <w:pPr>
        <w:spacing w:after="0" w:line="135" w:lineRule="exact"/>
        <w:rPr>
          <w:sz w:val="20"/>
          <w:szCs w:val="20"/>
          <w:color w:val="auto"/>
        </w:rPr>
      </w:pPr>
    </w:p>
    <w:p>
      <w:pPr>
        <w:ind w:left="1480" w:right="200" w:hanging="797"/>
        <w:spacing w:after="0" w:line="264"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Supplier shall comply with all Laws applicable to Supplier attendant upon Supplier’s performance under this Agreement. AT&amp;T shall comply with all Laws applicable to AT&amp;T attendant upon AT&amp;T’s performance of its obligations under this Agreement and AT&amp;T’s or its customers’ utilization of the Material and/or Services.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100" w:hanging="797"/>
        <w:spacing w:after="0" w:line="257"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Supplier shall procure all approvals, bonds, certificates, insurance, inspections, licenses, and permits that such Laws require with respect to Supplier’s performance of this Agreement. Supplier shall create and maintain any necessary records and provide any certificate, affidavit or other information or documentation requested or as otherwise required by AT&amp;T: (a) to show compliance by Supplier and its Subcontractors with Laws; (b) necessary for AT&amp;T to comply or otherwise establish AT&amp;T’s compliance with Laws; or (c) to allow AT&amp;T to timely respond to any complaints, filings, or other proceedings.</w:t>
      </w:r>
    </w:p>
    <w:p>
      <w:pPr>
        <w:spacing w:after="0" w:line="93" w:lineRule="exact"/>
        <w:rPr>
          <w:rFonts w:ascii="Arial" w:cs="Arial" w:eastAsia="Arial" w:hAnsi="Arial"/>
          <w:sz w:val="18"/>
          <w:szCs w:val="18"/>
          <w:color w:val="auto"/>
        </w:rPr>
      </w:pPr>
    </w:p>
    <w:p>
      <w:pPr>
        <w:ind w:left="800" w:right="200" w:hanging="797"/>
        <w:spacing w:after="0" w:line="253"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any modifications to Software or Services to be delivered to AT&amp;T are required for the purposes of complying with Laws relating to AT&amp;T’s business, Supplier will assist AT&amp;T to comply with such Laws as specified by AT&amp;T by complying with the Specifications in the applicable Order. Upon request by AT&amp;T, Supplier shall make available to AT&amp;T appropriate product and subject matter experts as may reasonably be required in assisting AT&amp;T in defining the business requirements and functionality required for AT&amp;T to comply with any and all Laws, all to the extent expressly agreed to in the Specifications in the applicable Order, provided, however, that in so assisting AT&amp;T, Supplier shall not be required to provide, and Supplier shall not be deemed to have provided, any legal services, advice or counsel to AT&amp;T. All changes and/or modifications to be made to the Software or Services as requested by AT&amp;T due to changes in Laws as identified by AT&amp;T will be handled in accordance with the change management procedures of this Agreement.</w:t>
      </w:r>
    </w:p>
    <w:p>
      <w:pPr>
        <w:spacing w:after="0" w:line="98" w:lineRule="exact"/>
        <w:rPr>
          <w:rFonts w:ascii="Arial" w:cs="Arial" w:eastAsia="Arial" w:hAnsi="Arial"/>
          <w:sz w:val="18"/>
          <w:szCs w:val="18"/>
          <w:color w:val="auto"/>
        </w:rPr>
      </w:pPr>
    </w:p>
    <w:p>
      <w:pPr>
        <w:ind w:left="800" w:hanging="797"/>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Export/Import Law and Foreign Trade Controls</w:t>
      </w:r>
    </w:p>
    <w:p>
      <w:pPr>
        <w:spacing w:after="0" w:line="134" w:lineRule="exact"/>
        <w:rPr>
          <w:rFonts w:ascii="Arial" w:cs="Arial" w:eastAsia="Arial" w:hAnsi="Arial"/>
          <w:sz w:val="18"/>
          <w:szCs w:val="18"/>
          <w:color w:val="auto"/>
        </w:rPr>
      </w:pPr>
    </w:p>
    <w:p>
      <w:pPr>
        <w:ind w:left="1480" w:right="80" w:hanging="680"/>
        <w:spacing w:after="0" w:line="270" w:lineRule="auto"/>
        <w:tabs>
          <w:tab w:leader="none" w:pos="14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Each Party shall comply with all export control, import and foreign trade sanctions laws, rules and regulations, in its performance of this Agreement. Without prejudice to the generality of the foregoing, Supplier understands and acknowledges that certain AT&amp;T applications and Materials and Services (including technical assistance and technical data) to be provided hereunder may be subject to export controls under the laws and regulations of the United States, the European Union and other foreign trade control laws, rules and regulations restricting their transfer to certain countries and parties including but not limited to the US Export Administration Regulations and trade sanctions programs administered by the US Department of the Treasury. Supplier shall comply with all applicable export control and other foreign trade laws, rules and regulations in performance of its obligations hereunder, and shall not use, resell, export, transfer, distribute, dispose or otherwise deal with the AT&amp;T applications or any technical data related thereto, directly or indirectly, except in full compliance with such laws, rules and regulations.</w:t>
      </w:r>
    </w:p>
    <w:p>
      <w:pPr>
        <w:spacing w:after="0" w:line="83" w:lineRule="exact"/>
        <w:rPr>
          <w:rFonts w:ascii="Arial" w:cs="Arial" w:eastAsia="Arial" w:hAnsi="Arial"/>
          <w:sz w:val="17"/>
          <w:szCs w:val="17"/>
          <w:color w:val="auto"/>
        </w:rPr>
      </w:pPr>
    </w:p>
    <w:p>
      <w:pPr>
        <w:ind w:left="1480" w:right="20" w:hanging="680"/>
        <w:spacing w:after="0" w:line="286" w:lineRule="auto"/>
        <w:tabs>
          <w:tab w:leader="none" w:pos="14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Neither Party shall use, sell, export, re-export, distribute, transfer, dispose or otherwise deal with any such Material or any direct product thereof nor undertake any transaction or Service without first obtaining all necessary written consents, permits and authorizations and completing such formalities as may be required by any such laws or regulations.</w:t>
      </w:r>
    </w:p>
    <w:p>
      <w:pPr>
        <w:spacing w:after="0" w:line="94"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920" w:top="27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right="20" w:hanging="680"/>
        <w:spacing w:after="0" w:line="293" w:lineRule="auto"/>
        <w:tabs>
          <w:tab w:leader="none" w:pos="21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Supplier shall be solely responsible for arranging export clearance, including applying for and obtaining any permits, licenses or other authorizations and complying with export clearance formalities, for all exports of Materials and Services made by Supplier hereunder, including but not limited to exports by Supplier to its Affiliates or Subcontractors and exports from such Affiliates or Subcontractors to Supplier or to AT&amp;T in the United States. AT&amp;T agrees to use reasonable efforts to obtain and provide to Supplier in a timely manner any end-user, end-use and other documentation and certifications as may reasonably be requested by Supplier in support of any applications made to relevant government authorities in connection with such exports.</w:t>
      </w:r>
    </w:p>
    <w:p>
      <w:pPr>
        <w:spacing w:after="0" w:line="70" w:lineRule="exact"/>
        <w:rPr>
          <w:rFonts w:ascii="Arial" w:cs="Arial" w:eastAsia="Arial" w:hAnsi="Arial"/>
          <w:sz w:val="16"/>
          <w:szCs w:val="16"/>
          <w:color w:val="auto"/>
        </w:rPr>
      </w:pPr>
    </w:p>
    <w:p>
      <w:pPr>
        <w:ind w:left="2160" w:right="80" w:hanging="680"/>
        <w:spacing w:after="0" w:line="272" w:lineRule="auto"/>
        <w:tabs>
          <w:tab w:leader="none" w:pos="21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Supplier specifically represents and warrants that it shall not export/re-export or otherwise transfer the AT&amp;T applications, Materials or Services to any country that is subject to US trade sanctions imposed from time to time (currently, Cuba, Iran, North Korea, Sudan and Syria), to any persons or entities located in or organized under the laws of such country, or who are owned or controlled by or acting on behalf of the governments of such countries, as well as to citizens of such countries, or to persons identified from time to time on applicable US government restricted party lists (the US Department of Commerce’s Denied Party List, Entity List, Unverified List; the US Department of the Treasury’s List of Specially Designated Nationals and Other Blocked Persons; the US Department of State’s various non-proliferation lists).</w:t>
      </w:r>
    </w:p>
    <w:p>
      <w:pPr>
        <w:spacing w:after="0" w:line="83" w:lineRule="exact"/>
        <w:rPr>
          <w:rFonts w:ascii="Arial" w:cs="Arial" w:eastAsia="Arial" w:hAnsi="Arial"/>
          <w:sz w:val="17"/>
          <w:szCs w:val="17"/>
          <w:color w:val="auto"/>
        </w:rPr>
      </w:pPr>
    </w:p>
    <w:p>
      <w:pPr>
        <w:ind w:left="2160" w:right="80" w:hanging="680"/>
        <w:spacing w:after="0" w:line="257" w:lineRule="auto"/>
        <w:tabs>
          <w:tab w:leader="none" w:pos="2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Supplier represents and warrants that it has in place compliance mechanisms sufficient to assure compliance with applicable export control and foreign trade control laws, rules and regulations. Supplier shall not do anything which would cause AT&amp;T to be in breach of applicable export control or foreign trade control laws, rules and regulations, and shall protect, indemnify and hold harmless AT&amp;T from any claim, damages, liability costs, fees and expenses incurred by AT&amp;T as a result of the failure of omission of Supplier to comply with such laws, rules and regulations.</w:t>
      </w:r>
    </w:p>
    <w:p>
      <w:pPr>
        <w:spacing w:after="0" w:line="93" w:lineRule="exact"/>
        <w:rPr>
          <w:rFonts w:ascii="Arial" w:cs="Arial" w:eastAsia="Arial" w:hAnsi="Arial"/>
          <w:sz w:val="18"/>
          <w:szCs w:val="18"/>
          <w:color w:val="auto"/>
        </w:rPr>
      </w:pPr>
    </w:p>
    <w:p>
      <w:pPr>
        <w:ind w:left="2160" w:right="720" w:hanging="680"/>
        <w:spacing w:after="0" w:line="277" w:lineRule="auto"/>
        <w:tabs>
          <w:tab w:leader="none" w:pos="2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Failure by Supplier to comply with applicable export control and foreign trade control laws, rules and regulations shall constitute a material breach of this Agreement.</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provisions of this Section, “Compliance with Laws”, will survive the expiration or termination of this Agreement for any reason.</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Construction and Interpretation</w:t>
      </w:r>
    </w:p>
    <w:p>
      <w:pPr>
        <w:spacing w:after="0" w:line="135" w:lineRule="exact"/>
        <w:rPr>
          <w:sz w:val="20"/>
          <w:szCs w:val="20"/>
          <w:color w:val="auto"/>
        </w:rPr>
      </w:pPr>
    </w:p>
    <w:p>
      <w:pPr>
        <w:ind w:left="1480" w:right="20" w:hanging="797"/>
        <w:spacing w:after="0" w:line="259" w:lineRule="auto"/>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Agreement has been prepared jointly and has been the subject of arm’s length and careful negotiation. Each Party has been given the opportunity to independently review this Agreement with legal counsel and other consultants, and each Party has the requisite experience and sophistication to understand, interpret and agree to the particular language of its provisions. Accordingly, the drafting of this Agreement is not to be attributed to either Party.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20" w:hanging="797"/>
        <w:spacing w:after="0" w:line="276" w:lineRule="auto"/>
        <w:tabs>
          <w:tab w:leader="none" w:pos="14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Article, Section and paragraph headings contained in this Agreement are for reference purposes only and are not to affect the meaning or interpretation of this Agreement. The word “include” in every form means to include without limitation by virtue of enumeration and a derivative of a defined term shall have the meaning appropriate to the context of its use. Whenever this Agreement refers to a consent or approval to be given by either Party, such consent or approval is effective only if given in writing and signed by the Party giving approval or consent. The use of singular words includes the plural and vice versa.</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Cumulative Remedies</w:t>
      </w:r>
    </w:p>
    <w:p>
      <w:pPr>
        <w:spacing w:after="0" w:line="121" w:lineRule="exact"/>
        <w:rPr>
          <w:sz w:val="20"/>
          <w:szCs w:val="20"/>
          <w:color w:val="auto"/>
        </w:rPr>
      </w:pPr>
    </w:p>
    <w:p>
      <w:pPr>
        <w:ind w:left="700" w:right="140"/>
        <w:spacing w:after="0" w:line="297" w:lineRule="auto"/>
        <w:rPr>
          <w:sz w:val="20"/>
          <w:szCs w:val="20"/>
          <w:color w:val="auto"/>
        </w:rPr>
      </w:pPr>
      <w:r>
        <w:rPr>
          <w:rFonts w:ascii="Arial" w:cs="Arial" w:eastAsia="Arial" w:hAnsi="Arial"/>
          <w:sz w:val="16"/>
          <w:szCs w:val="16"/>
          <w:color w:val="auto"/>
        </w:rPr>
        <w:t>Except as specifically identified as a Party’s sole remedy including without limitation as set forth in the Section titled “Warranty”, any rights of termination, liquidated damages, or other remedies prescribed in this Agreement, the rights and remedies of the Parties set forth in this Agreement are not exclusive of, but are cumulative to, any other rights or remedies set forth in the Agreement or the applicable Order, at law, or in equity. Neither Party may retain the benefit of inconsistent remedies. No single or partial exercise of any right or remedy with respect to one breach of this Agreement or any Order precludes the simultaneous or subsequent exercise of any other right or remedy with respect to a different breach.</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Special Software Terms</w:t>
      </w:r>
    </w:p>
    <w:p>
      <w:pPr>
        <w:spacing w:after="0" w:line="135" w:lineRule="exact"/>
        <w:rPr>
          <w:sz w:val="20"/>
          <w:szCs w:val="20"/>
          <w:color w:val="auto"/>
        </w:rPr>
      </w:pPr>
    </w:p>
    <w:p>
      <w:pPr>
        <w:ind w:left="1480" w:hanging="79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Standard Software License and License Fees</w:t>
      </w:r>
    </w:p>
    <w:p>
      <w:pPr>
        <w:spacing w:after="0" w:line="130" w:lineRule="exact"/>
        <w:rPr>
          <w:rFonts w:ascii="Arial" w:cs="Arial" w:eastAsia="Arial" w:hAnsi="Arial"/>
          <w:sz w:val="18"/>
          <w:szCs w:val="18"/>
          <w:color w:val="auto"/>
        </w:rPr>
      </w:pPr>
    </w:p>
    <w:p>
      <w:pPr>
        <w:ind w:left="2160" w:right="140" w:hanging="680"/>
        <w:spacing w:after="0" w:line="259" w:lineRule="auto"/>
        <w:tabs>
          <w:tab w:leader="none" w:pos="2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Standard Software licensed to AT&amp;T will continue to be licensed in accordance with the terms of the applicable agreements, except as otherwise agreed by the Parties and specified in an Order. Any additional or different Standard Software not previously licensed by Supplier shall be subject to separate agreements to be negotiated by the Parties, unless otherwise agreed to in an Order.</w:t>
      </w:r>
    </w:p>
    <w:p>
      <w:pPr>
        <w:spacing w:after="0" w:line="92" w:lineRule="exact"/>
        <w:rPr>
          <w:rFonts w:ascii="Arial" w:cs="Arial" w:eastAsia="Arial" w:hAnsi="Arial"/>
          <w:sz w:val="18"/>
          <w:szCs w:val="18"/>
          <w:color w:val="auto"/>
        </w:rPr>
      </w:pPr>
    </w:p>
    <w:p>
      <w:pPr>
        <w:ind w:left="1480" w:hanging="79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Custom Software Development</w:t>
      </w:r>
    </w:p>
    <w:p>
      <w:pPr>
        <w:spacing w:after="0" w:line="130" w:lineRule="exact"/>
        <w:rPr>
          <w:rFonts w:ascii="Arial" w:cs="Arial" w:eastAsia="Arial" w:hAnsi="Arial"/>
          <w:sz w:val="18"/>
          <w:szCs w:val="18"/>
          <w:color w:val="auto"/>
        </w:rPr>
      </w:pPr>
    </w:p>
    <w:p>
      <w:pPr>
        <w:ind w:left="2160" w:right="180" w:hanging="680"/>
        <w:spacing w:after="0" w:line="276" w:lineRule="auto"/>
        <w:tabs>
          <w:tab w:leader="none" w:pos="21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Supplier shall develop the Custom Software in compliance with the applicable Order. During the development process, AT&amp;T shall assist Supplier and cooperate with Supplier by making employees available to Supplier for consultation and providing information, facilities, equipment and data required for the performance of the Services. The Parties shall mutually develop a Project plan utilizing Project management methodologies agreed to by the Parties, and predicated upon the Project’s requirements. The Project plan shall include deliverables, milestones and reviews.</w:t>
      </w:r>
    </w:p>
    <w:p>
      <w:pPr>
        <w:spacing w:after="0" w:line="77" w:lineRule="exact"/>
        <w:rPr>
          <w:rFonts w:ascii="Arial" w:cs="Arial" w:eastAsia="Arial" w:hAnsi="Arial"/>
          <w:sz w:val="17"/>
          <w:szCs w:val="17"/>
          <w:color w:val="auto"/>
        </w:rPr>
      </w:pPr>
    </w:p>
    <w:p>
      <w:pPr>
        <w:ind w:left="2160" w:right="140" w:hanging="680"/>
        <w:spacing w:after="0" w:line="276" w:lineRule="auto"/>
        <w:tabs>
          <w:tab w:leader="none" w:pos="21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In accordance with the Project plan and applicable Specifications, Supplier shall develop, complete, and deliver to AT&amp;T all programming to be included in the Custom Software. All Custom Software developed by Supplier shall be documented concurrently with its programming. In accordance with the Project plan, AT&amp;T shall provide to Supplier the relevant test and interface data and test scripts. All Custom Software provided to AT&amp;T hereunder shall be tested (including unit subsystem and system testing) and debugged by Supplier, unless otherwise specified in the Order.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960" w:right="20" w:hanging="680"/>
        <w:spacing w:after="0" w:line="259"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After the completion of such testing and debugging, Supplier shall Deliver (and install, if applicable) such Custom Software to AT&amp;T on or before the scheduled Delivery Date set forth in the applicable Order. Delivery shall be in accordance with Subsection c of Section 3.10 “Delivery of Software” below. The protocol for Acceptance Tests after Delivery is described below in Section 3.9 “Acceptance or Rejection.”</w:t>
      </w:r>
    </w:p>
    <w:p>
      <w:pPr>
        <w:spacing w:after="0" w:line="92" w:lineRule="exact"/>
        <w:rPr>
          <w:rFonts w:ascii="Arial" w:cs="Arial" w:eastAsia="Arial" w:hAnsi="Arial"/>
          <w:sz w:val="18"/>
          <w:szCs w:val="18"/>
          <w:color w:val="auto"/>
        </w:rPr>
      </w:pPr>
    </w:p>
    <w:p>
      <w:pPr>
        <w:ind w:left="960" w:hanging="680"/>
        <w:spacing w:after="0" w:line="268" w:lineRule="auto"/>
        <w:tabs>
          <w:tab w:leader="none" w:pos="9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Order will be subject to the governance procedures applicable to such Order. The respective Project Managers shall review each Party’s progress in meeting its objectives under the Project plan. Upon the request of AT&amp;T’s Project Manager or on Supplier’s initiative, Supplier’s Project Manager will provide a written progress report identifying any circumstance (including but not limited to any discovery of ambiguity in any previously approved Specifications) coming to light since the previous such meeting which is likely to result in (i) a delay in Supplier’s ability to meet its due dates, or (ii) a proposed adjustment in projected amounts likely to be billed to AT&amp;T for time and charges, or (iii) both such a proposed adjustment and such a delay. The report will provide Supplier’s best estimate of the length of such projected delay and the amount of such proposed adjustment to time and charges. To the extent that any such circumstance is shown to have resulted from a failure of AT&amp;T (including any contractor or subcontractor of AT&amp;T) to meet its obligations with respect to the Project, Supplier shall be granted an equitable extension of time and an equitable adjustment of the fixed or estimated fee to the extent necessary to remedy AT&amp;T’s failure to meet its obligations. Supplier waives any and all claims for any such equitable extension or adjustment to the extent that it is based on any such circumstance in which Supplier failed to notify AT&amp;T within one month (or otherwise specified in the Order) of Supplier’s recognition of the problem.</w:t>
      </w:r>
    </w:p>
    <w:p>
      <w:pPr>
        <w:spacing w:after="0" w:line="93" w:lineRule="exact"/>
        <w:rPr>
          <w:rFonts w:ascii="Arial" w:cs="Arial" w:eastAsia="Arial" w:hAnsi="Arial"/>
          <w:sz w:val="17"/>
          <w:szCs w:val="17"/>
          <w:color w:val="auto"/>
        </w:rPr>
      </w:pPr>
    </w:p>
    <w:p>
      <w:pPr>
        <w:ind w:left="960" w:right="20" w:hanging="680"/>
        <w:spacing w:after="0" w:line="288"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equitable extension of time and each equitable adjustment of any fixed or estimated fee shall be recorded in an amendment to the Order, which shall be prepared by the respective Project Managers of each Party. In addition, if AT&amp;T desires to make a change in any previously approved Specifications, then AT&amp;T shall deliver a change request to Supplier, and Supplier shall respond by providing a written change quote specifying any proposed adjustment to time and charges that Supplier believes necessary to effectuate the change. If AT&amp;T accepts the proposed change, the Parties shall amend the applicable Order. For clarity, each such change shall become an amendment to the applicable Order when signed by the appropriate representative of each Party. If Program Material or Custom Software is not Delivered to AT&amp;T (and installed, if applicable) as a result of factors under Supplier’s responsibility and control which includes Supplier’s Subcontractors and agents on or before the scheduled Critical Performance Milestone Date or Delivery Date therefore (as extended by any amendment), AT&amp;T may, at its option, and subject to resolution of any related dispute in accordance with this Agreement’s dispute resolution process:</w:t>
      </w:r>
    </w:p>
    <w:p>
      <w:pPr>
        <w:spacing w:after="0" w:line="74" w:lineRule="exact"/>
        <w:rPr>
          <w:rFonts w:ascii="Arial" w:cs="Arial" w:eastAsia="Arial" w:hAnsi="Arial"/>
          <w:sz w:val="16"/>
          <w:szCs w:val="16"/>
          <w:color w:val="auto"/>
        </w:rPr>
      </w:pPr>
    </w:p>
    <w:p>
      <w:pPr>
        <w:ind w:left="1760" w:hanging="791"/>
        <w:spacing w:after="0"/>
        <w:tabs>
          <w:tab w:leader="none" w:pos="17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scheduled Critical Performance Milestone Date or Delivery [***]; or</w:t>
      </w:r>
    </w:p>
    <w:p>
      <w:pPr>
        <w:spacing w:after="0" w:line="130" w:lineRule="exact"/>
        <w:rPr>
          <w:rFonts w:ascii="Arial" w:cs="Arial" w:eastAsia="Arial" w:hAnsi="Arial"/>
          <w:sz w:val="18"/>
          <w:szCs w:val="18"/>
          <w:color w:val="auto"/>
        </w:rPr>
      </w:pPr>
    </w:p>
    <w:p>
      <w:pPr>
        <w:ind w:left="1760" w:hanging="791"/>
        <w:spacing w:after="0"/>
        <w:tabs>
          <w:tab w:leader="none" w:pos="17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the Order covering such Custom Software [***] Software, [***]; or</w:t>
      </w:r>
    </w:p>
    <w:p>
      <w:pPr>
        <w:spacing w:after="0" w:line="130" w:lineRule="exact"/>
        <w:rPr>
          <w:rFonts w:ascii="Arial" w:cs="Arial" w:eastAsia="Arial" w:hAnsi="Arial"/>
          <w:sz w:val="18"/>
          <w:szCs w:val="18"/>
          <w:color w:val="auto"/>
        </w:rPr>
      </w:pPr>
    </w:p>
    <w:p>
      <w:pPr>
        <w:ind w:left="1760" w:hanging="791"/>
        <w:spacing w:after="0"/>
        <w:tabs>
          <w:tab w:leader="none" w:pos="17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the Order covering such Custom [***] under the Order [***]; provided, however, that [***]; or</w:t>
      </w:r>
    </w:p>
    <w:p>
      <w:pPr>
        <w:spacing w:after="0" w:line="15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1440" w:top="27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960" w:hanging="791"/>
        <w:spacing w:after="0"/>
        <w:tabs>
          <w:tab w:leader="none" w:pos="2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as set forth in the applicable Order.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pursuant to this Section, each Party shall[***].</w:t>
      </w:r>
    </w:p>
    <w:p>
      <w:pPr>
        <w:spacing w:after="0" w:line="130" w:lineRule="exact"/>
        <w:rPr>
          <w:rFonts w:ascii="Arial" w:cs="Arial" w:eastAsia="Arial" w:hAnsi="Arial"/>
          <w:sz w:val="18"/>
          <w:szCs w:val="18"/>
          <w:color w:val="auto"/>
        </w:rPr>
      </w:pPr>
    </w:p>
    <w:p>
      <w:pPr>
        <w:ind w:left="2160" w:right="400" w:hanging="680"/>
        <w:spacing w:after="0" w:line="277" w:lineRule="auto"/>
        <w:tabs>
          <w:tab w:leader="none" w:pos="2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From time to time AT&amp;T may authorize Supplier to use computer systems that are physically located on AT&amp;T’s premises. Such authorization shall be limited to Projects specified in writing by AT&amp;T.</w:t>
      </w:r>
    </w:p>
    <w:p>
      <w:pPr>
        <w:spacing w:after="0" w:line="75" w:lineRule="exact"/>
        <w:rPr>
          <w:rFonts w:ascii="Arial" w:cs="Arial" w:eastAsia="Arial" w:hAnsi="Arial"/>
          <w:sz w:val="18"/>
          <w:szCs w:val="18"/>
          <w:color w:val="auto"/>
        </w:rPr>
      </w:pPr>
    </w:p>
    <w:p>
      <w:pPr>
        <w:ind w:left="2160" w:right="100" w:hanging="680"/>
        <w:spacing w:after="0" w:line="264" w:lineRule="auto"/>
        <w:tabs>
          <w:tab w:leader="none" w:pos="2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Supplier shall notify AT&amp;T as soon as reasonably possible of any Custom Software issues and risks that are identified by Supplier staff that may materially impact the Project and provide Custom Software development progress reports as reasonably requested by AT&amp;T.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Acceptance or Rejection</w:t>
      </w:r>
    </w:p>
    <w:p>
      <w:pPr>
        <w:spacing w:after="0" w:line="135" w:lineRule="exact"/>
        <w:rPr>
          <w:sz w:val="20"/>
          <w:szCs w:val="20"/>
          <w:color w:val="auto"/>
        </w:rPr>
      </w:pPr>
    </w:p>
    <w:p>
      <w:pPr>
        <w:ind w:left="1480" w:hanging="79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After the Delivery of the Software, AT&amp;T will start the Acceptance Test Period.</w:t>
      </w:r>
    </w:p>
    <w:p>
      <w:pPr>
        <w:spacing w:after="0" w:line="130" w:lineRule="exact"/>
        <w:rPr>
          <w:rFonts w:ascii="Arial" w:cs="Arial" w:eastAsia="Arial" w:hAnsi="Arial"/>
          <w:sz w:val="18"/>
          <w:szCs w:val="18"/>
          <w:color w:val="auto"/>
        </w:rPr>
      </w:pPr>
    </w:p>
    <w:p>
      <w:pPr>
        <w:ind w:left="1480" w:right="40" w:hanging="797"/>
        <w:spacing w:after="0" w:line="255"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During the Acceptance Test Period, AT&amp;T will notify Supplier promptly in writing of any Errors found by AT&amp;T, and Supplier will promptly correct such Errors and deliver to AT&amp;T the resulting corrections. AT&amp;T shall have the right to test the Software after such corrected and/or completed Software is redelivered to AT&amp;T, and such corrected and/or completed Software shall thereafter be subject to AT&amp;T’s acceptance or rejection under this Section. The Acceptance Test Period shall be extended by the greater of either (i) [***] during which [***] of the Software, or (ii) when applicable, [***]. Any Errors in the Software that [***] with the Specifications shall be addressed in accordance with the appropriate resolution plan as set forth in Section 3.10.e. “Error Severity Level and Resolution Plan and Liquidated Damages”.</w:t>
      </w:r>
    </w:p>
    <w:p>
      <w:pPr>
        <w:spacing w:after="0" w:line="94" w:lineRule="exact"/>
        <w:rPr>
          <w:rFonts w:ascii="Arial" w:cs="Arial" w:eastAsia="Arial" w:hAnsi="Arial"/>
          <w:sz w:val="18"/>
          <w:szCs w:val="18"/>
          <w:color w:val="auto"/>
        </w:rPr>
      </w:pPr>
    </w:p>
    <w:p>
      <w:pPr>
        <w:ind w:left="1480" w:right="20" w:hanging="797"/>
        <w:spacing w:after="0" w:line="272" w:lineRule="auto"/>
        <w:tabs>
          <w:tab w:leader="none" w:pos="1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Software conforms with the terms of the applicable Order during the Acceptance Test Period, AT&amp;T shall sign and deliver a copy of an Acceptance Letter substantially in the form of Appendix F, “Acceptance Letter”, to Supplier after the completion of the Acceptance Test Period. If AT&amp;T fails to send an Acceptance Letter, or to inform Supplier of the rejection of the Software, within two (2) business days after the conclusion of the Acceptance Test Period, then Supplier shall promptly notify AT&amp;T’s IT leadership of such failure via e-mail or other writing, with a copy to AT&amp;T’s Project Manager. If neither AT&amp;T’s IT leadership nor AT&amp;T’s Project Manager responds via e-mail or other writing within [***] business days after such notice has been duly given, the Software shall be deemed to be Accepted as of the end of such Acceptance Test Period.</w:t>
      </w:r>
    </w:p>
    <w:p>
      <w:pPr>
        <w:spacing w:after="0" w:line="83" w:lineRule="exact"/>
        <w:rPr>
          <w:rFonts w:ascii="Arial" w:cs="Arial" w:eastAsia="Arial" w:hAnsi="Arial"/>
          <w:sz w:val="17"/>
          <w:szCs w:val="17"/>
          <w:color w:val="auto"/>
        </w:rPr>
      </w:pPr>
    </w:p>
    <w:p>
      <w:pPr>
        <w:ind w:left="1480" w:right="360" w:hanging="797"/>
        <w:spacing w:after="0" w:line="277"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any Software [***] during the Acceptance Test Period [***] prior to the date[***]. However, [***] the Acceptance Test Period shall [***].</w:t>
      </w:r>
    </w:p>
    <w:p>
      <w:pPr>
        <w:spacing w:after="0" w:line="75"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Program Material other than Custom Software shall be deemed accepted upon delivery, subject to Supplier’s responsibility to correct Errors in such Program Material.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5"/>
          <w:szCs w:val="15"/>
          <w:b w:val="1"/>
          <w:bCs w:val="1"/>
          <w:color w:val="auto"/>
        </w:rPr>
        <w:t>Technology Standards</w:t>
      </w:r>
    </w:p>
    <w:p>
      <w:pPr>
        <w:spacing w:after="0" w:line="135" w:lineRule="exact"/>
        <w:rPr>
          <w:sz w:val="20"/>
          <w:szCs w:val="20"/>
          <w:color w:val="auto"/>
        </w:rPr>
      </w:pPr>
    </w:p>
    <w:p>
      <w:pPr>
        <w:ind w:left="1480" w:right="120" w:hanging="797"/>
        <w:spacing w:after="0" w:line="290" w:lineRule="auto"/>
        <w:tabs>
          <w:tab w:leader="none" w:pos="14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Supplier will utilize AT&amp;T’s approved Project Management methodologies, tools and practices. Additional Amdocs procedures must be in compliance with AT&amp;T’s current methodologies, tools and practices for testing defect tracking systems and quality initiative approaches, and in compliance with or have an approved exception to the Technology, Strategies, and Standards (TSS) and such other processes as AT&amp;T may implement in the future or as AT&amp;T may require outside of the Technology Development organization; in each case to the extent the same have been communicated to Supplier by AT&amp;T in writing. If AT&amp;T implements new processes or changes in existing processes that result in a significant increase in the cost to Supplier of providing the Services, the Parties shall evaluate such changes and the associated cost using the then-applicable Change Management Process. Supplier will utilize AT&amp;T processes for required deliverables to AT&amp;T, but may follow Supplier methodology and best practices for internal testing activities.</w:t>
      </w:r>
    </w:p>
    <w:p>
      <w:pPr>
        <w:spacing w:after="0" w:line="71" w:lineRule="exact"/>
        <w:rPr>
          <w:rFonts w:ascii="Arial" w:cs="Arial" w:eastAsia="Arial" w:hAnsi="Arial"/>
          <w:sz w:val="16"/>
          <w:szCs w:val="16"/>
          <w:color w:val="auto"/>
        </w:rPr>
      </w:pPr>
    </w:p>
    <w:p>
      <w:pPr>
        <w:ind w:left="1480" w:hanging="79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Source Code Availability</w:t>
      </w:r>
    </w:p>
    <w:p>
      <w:pPr>
        <w:spacing w:after="0" w:line="117" w:lineRule="exact"/>
        <w:rPr>
          <w:rFonts w:ascii="Arial" w:cs="Arial" w:eastAsia="Arial" w:hAnsi="Arial"/>
          <w:sz w:val="18"/>
          <w:szCs w:val="18"/>
          <w:color w:val="auto"/>
        </w:rPr>
      </w:pPr>
    </w:p>
    <w:p>
      <w:pPr>
        <w:ind w:left="1500" w:right="240"/>
        <w:spacing w:after="0" w:line="277" w:lineRule="auto"/>
        <w:rPr>
          <w:rFonts w:ascii="Arial" w:cs="Arial" w:eastAsia="Arial" w:hAnsi="Arial"/>
          <w:sz w:val="18"/>
          <w:szCs w:val="18"/>
          <w:color w:val="auto"/>
        </w:rPr>
      </w:pPr>
      <w:r>
        <w:rPr>
          <w:rFonts w:ascii="Arial" w:cs="Arial" w:eastAsia="Arial" w:hAnsi="Arial"/>
          <w:sz w:val="18"/>
          <w:szCs w:val="18"/>
          <w:color w:val="auto"/>
        </w:rPr>
        <w:t>Supplier shall [***] the Custom Software, [***]. Supplier shall provide, [***], during the term of this Agreement [***], Supplier shall [***].</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Delivery of Software</w:t>
      </w:r>
    </w:p>
    <w:p>
      <w:pPr>
        <w:spacing w:after="0" w:line="117" w:lineRule="exact"/>
        <w:rPr>
          <w:rFonts w:ascii="Arial" w:cs="Arial" w:eastAsia="Arial" w:hAnsi="Arial"/>
          <w:sz w:val="18"/>
          <w:szCs w:val="18"/>
          <w:color w:val="auto"/>
        </w:rPr>
      </w:pPr>
    </w:p>
    <w:p>
      <w:pPr>
        <w:ind w:left="1500" w:right="60"/>
        <w:spacing w:after="0" w:line="293" w:lineRule="auto"/>
        <w:rPr>
          <w:rFonts w:ascii="Arial" w:cs="Arial" w:eastAsia="Arial" w:hAnsi="Arial"/>
          <w:sz w:val="18"/>
          <w:szCs w:val="18"/>
          <w:color w:val="auto"/>
        </w:rPr>
      </w:pPr>
      <w:r>
        <w:rPr>
          <w:rFonts w:ascii="Arial" w:cs="Arial" w:eastAsia="Arial" w:hAnsi="Arial"/>
          <w:sz w:val="16"/>
          <w:szCs w:val="16"/>
          <w:color w:val="auto"/>
        </w:rPr>
        <w:t>Software Deliveries shall be in the form selected by AT&amp;T, including, but not limited to, electronic data exchange, U.S. Mail or a private carrier, as agreed by the Parties and/or specified in the applicable Order. Except as otherwise agreed by the Parties and/or specified in the applicable Order, Supplier shall deliver the Software (and any subsequent releases or upgrades of the Software purchased by AT&amp;T) electronically, either through transfer by means of telecommunications or by copying the Software directly onto AT&amp;T’s computer, disk, tape or other storage medium selected by AT&amp;T. Unless and until directed in writing by AT&amp;T to do so, Supplier will not transfer any disks, tapes or other tangible property containing the Software (or any subsequent releases or upgrades of the Software) to AT&amp;T.</w:t>
      </w:r>
    </w:p>
    <w:p>
      <w:pPr>
        <w:spacing w:after="0" w:line="70" w:lineRule="exact"/>
        <w:rPr>
          <w:rFonts w:ascii="Arial" w:cs="Arial" w:eastAsia="Arial" w:hAnsi="Arial"/>
          <w:sz w:val="18"/>
          <w:szCs w:val="18"/>
          <w:color w:val="auto"/>
        </w:rPr>
      </w:pPr>
    </w:p>
    <w:p>
      <w:pPr>
        <w:ind w:left="1480" w:hanging="79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Third Party Software</w:t>
      </w:r>
    </w:p>
    <w:p>
      <w:pPr>
        <w:spacing w:after="0" w:line="117" w:lineRule="exact"/>
        <w:rPr>
          <w:rFonts w:ascii="Arial" w:cs="Arial" w:eastAsia="Arial" w:hAnsi="Arial"/>
          <w:sz w:val="18"/>
          <w:szCs w:val="18"/>
          <w:color w:val="auto"/>
        </w:rPr>
      </w:pPr>
    </w:p>
    <w:p>
      <w:pPr>
        <w:ind w:left="1500" w:right="340"/>
        <w:spacing w:after="0" w:line="277" w:lineRule="auto"/>
        <w:rPr>
          <w:rFonts w:ascii="Arial" w:cs="Arial" w:eastAsia="Arial" w:hAnsi="Arial"/>
          <w:sz w:val="18"/>
          <w:szCs w:val="18"/>
          <w:color w:val="auto"/>
        </w:rPr>
      </w:pPr>
      <w:r>
        <w:rPr>
          <w:rFonts w:ascii="Arial" w:cs="Arial" w:eastAsia="Arial" w:hAnsi="Arial"/>
          <w:sz w:val="18"/>
          <w:szCs w:val="18"/>
          <w:color w:val="auto"/>
        </w:rPr>
        <w:t>With and prior to execution of each Order, Supplier shall provide a written list of all Third-Party Software that is part of the Software ordered by AT&amp;T or provided by Supplier.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Error Severity Level, Resolution Plan, and Liquidated Damages</w:t>
      </w:r>
    </w:p>
    <w:p>
      <w:pPr>
        <w:spacing w:after="0" w:line="130" w:lineRule="exact"/>
        <w:rPr>
          <w:rFonts w:ascii="Arial" w:cs="Arial" w:eastAsia="Arial" w:hAnsi="Arial"/>
          <w:sz w:val="18"/>
          <w:szCs w:val="18"/>
          <w:color w:val="auto"/>
        </w:rPr>
      </w:pPr>
    </w:p>
    <w:p>
      <w:pPr>
        <w:ind w:left="2160" w:right="100" w:hanging="680"/>
        <w:spacing w:after="0" w:line="312" w:lineRule="auto"/>
        <w:tabs>
          <w:tab w:leader="none" w:pos="2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Supplier and AT&amp;T shall negotiate in good faith in applicable Orders under this Agreement to include, as part of OnGoing Support Services, a Service Level Agreement and Liquidated Damages for failure to meet the Service Level Agreement which collectively may govern certain aspects of performance of the Custom Software under the Order following Acceptance thereof.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right="300" w:hanging="680"/>
        <w:spacing w:after="0" w:line="264" w:lineRule="auto"/>
        <w:tabs>
          <w:tab w:leader="none" w:pos="2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case of Service Level Agreement commitments defined in the Order for which Supplier is solely responsible, Supplier shall use its best efforts to acknowledge or otherwise satisfy the commitments in the Service Level Agreement within the performance timeframes indicated in the Order.</w:t>
      </w:r>
    </w:p>
    <w:p>
      <w:pPr>
        <w:spacing w:after="0" w:line="86" w:lineRule="exact"/>
        <w:rPr>
          <w:rFonts w:ascii="Arial" w:cs="Arial" w:eastAsia="Arial" w:hAnsi="Arial"/>
          <w:sz w:val="18"/>
          <w:szCs w:val="18"/>
          <w:color w:val="auto"/>
        </w:rPr>
      </w:pPr>
    </w:p>
    <w:p>
      <w:pPr>
        <w:ind w:left="2160" w:right="380" w:hanging="680"/>
        <w:spacing w:after="0" w:line="264" w:lineRule="auto"/>
        <w:tabs>
          <w:tab w:leader="none" w:pos="2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Supplier shall use its best efforts to correct any and all Errors in the Custom Software in accordance with the Error Severity Levels specified in the Order, and respond according to the escalation process, or processes, as agreed by the Parties and specified in the Order.</w:t>
      </w:r>
    </w:p>
    <w:p>
      <w:pPr>
        <w:spacing w:after="0" w:line="86" w:lineRule="exact"/>
        <w:rPr>
          <w:rFonts w:ascii="Arial" w:cs="Arial" w:eastAsia="Arial" w:hAnsi="Arial"/>
          <w:sz w:val="18"/>
          <w:szCs w:val="18"/>
          <w:color w:val="auto"/>
        </w:rPr>
      </w:pPr>
    </w:p>
    <w:p>
      <w:pPr>
        <w:ind w:left="2160" w:right="240" w:hanging="680"/>
        <w:spacing w:after="0" w:line="289" w:lineRule="auto"/>
        <w:tabs>
          <w:tab w:leader="none" w:pos="2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Supplier fails to correct Errors in the Custom Software in accordance with the Error Severity Levels specified in the Order, then in accordance with the Service Level Agreement AT&amp;T may convene a meeting of the Parties’ respective Project Managers to address the situation. Barring resolution of the matter by the Parties’ Project Managers, AT&amp;T may escalate the matter per the Dispute Resolution provisions in this Agreement. Following such escalation, [***] in the Service Level Agreement [***]. No payments, progress or otherwise, made by AT&amp;T to Supplier after any scheduled Delivery Date shall constitute a waiver of the right to receive Liquidated Damages. If AT&amp;T elects to exercise its right to recover Liquidated Damages specified hereunder, Supplier shall provide a credit as shown in the column titled “Liquidated Damages” in the Service Level Agreement, and such credit(s) shall be assessed on a per Error basis up to the aggregate cap described in the applicable Order. Such Liquidated Damages shall be provided [***] of the Service Level Agreement[***].</w:t>
      </w:r>
    </w:p>
    <w:p>
      <w:pPr>
        <w:spacing w:after="0" w:line="72" w:lineRule="exact"/>
        <w:rPr>
          <w:rFonts w:ascii="Arial" w:cs="Arial" w:eastAsia="Arial" w:hAnsi="Arial"/>
          <w:sz w:val="16"/>
          <w:szCs w:val="16"/>
          <w:color w:val="auto"/>
        </w:rPr>
      </w:pPr>
    </w:p>
    <w:p>
      <w:pPr>
        <w:ind w:left="1480" w:hanging="79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Documentation Updates</w:t>
      </w:r>
    </w:p>
    <w:p>
      <w:pPr>
        <w:spacing w:after="0" w:line="130" w:lineRule="exact"/>
        <w:rPr>
          <w:rFonts w:ascii="Arial" w:cs="Arial" w:eastAsia="Arial" w:hAnsi="Arial"/>
          <w:sz w:val="18"/>
          <w:szCs w:val="18"/>
          <w:color w:val="auto"/>
        </w:rPr>
      </w:pPr>
    </w:p>
    <w:p>
      <w:pPr>
        <w:ind w:left="2160" w:right="20" w:hanging="680"/>
        <w:spacing w:after="0" w:line="257" w:lineRule="auto"/>
        <w:tabs>
          <w:tab w:leader="none" w:pos="2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 part of the OnGoing Support Services provided under an Order, and upon AT&amp;T’s request, Supplier agrees to provide updates to Documentation furnished to AT&amp;T hereunder which is related to the use and support of the Software. Documentation shall be maintained and revised as part of such Services to reflect enhancements and corrections to the Software resulting from the issuance of a new release, including the incorporation of new or revised operating procedures resulting from corrections to and revisions of the Software, including APIs.</w:t>
      </w:r>
    </w:p>
    <w:p>
      <w:pPr>
        <w:spacing w:after="0" w:line="93" w:lineRule="exact"/>
        <w:rPr>
          <w:rFonts w:ascii="Arial" w:cs="Arial" w:eastAsia="Arial" w:hAnsi="Arial"/>
          <w:sz w:val="18"/>
          <w:szCs w:val="18"/>
          <w:color w:val="auto"/>
        </w:rPr>
      </w:pPr>
    </w:p>
    <w:p>
      <w:pPr>
        <w:ind w:left="2160" w:right="60" w:hanging="680"/>
        <w:spacing w:after="0" w:line="259" w:lineRule="auto"/>
        <w:tabs>
          <w:tab w:leader="none" w:pos="2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 part of its Custom Software development Services under an Order, Supplier shall coordinate with AT&amp;T in the manner and to the extent stated in the applicable Order to provide Documentation updates on all systems issues, open and closed, associated with Custom Software developed for AT&amp;T. This includes, but is not limited to, issues logs, test results, jeopardy documents, and temporary code work-arounds.</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This Agreement constitutes the final, complete, and exclusive expression of the Parties’ agreement on the matters contained in this Agreement. All prior written and oral negotiations and agreements, and all contemporaneous oral negotiations and agreements, between the Parties on the matters contained in this Agreement are expressly merged into and superseded by this Agreement. The Parties do not intend that the provisions of this Agreement be explained,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29" w:name="page130"/>
    <w:bookmarkEnd w:id="129"/>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supplemented, or qualified through evidence of trade usage or any prior course of dealings or any course of performance under any prior agreement. In entering into this Agreement, neither Party has relied upon any statement, estimate, forecast, projection, representation, warranty, action or agreement of the other Party except for those expressly contained in this Agreement. There are no conditions precedent to the effectiveness of this Agreement other than any expressly stated in this Agreement.</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Force Majeure</w:t>
      </w:r>
    </w:p>
    <w:p>
      <w:pPr>
        <w:spacing w:after="0" w:line="135" w:lineRule="exact"/>
        <w:rPr>
          <w:sz w:val="20"/>
          <w:szCs w:val="20"/>
          <w:color w:val="auto"/>
        </w:rPr>
      </w:pPr>
    </w:p>
    <w:p>
      <w:pPr>
        <w:ind w:left="1480" w:hanging="797"/>
        <w:spacing w:after="0"/>
        <w:tabs>
          <w:tab w:leader="none" w:pos="14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Party is excused from performing its obligations under this Agreement or any Order if, to the extent that, and for so long as:</w:t>
      </w:r>
    </w:p>
    <w:p>
      <w:pPr>
        <w:spacing w:after="0" w:line="142" w:lineRule="exact"/>
        <w:rPr>
          <w:rFonts w:ascii="Arial" w:cs="Arial" w:eastAsia="Arial" w:hAnsi="Arial"/>
          <w:sz w:val="17"/>
          <w:szCs w:val="17"/>
          <w:color w:val="auto"/>
        </w:rPr>
      </w:pPr>
    </w:p>
    <w:p>
      <w:pPr>
        <w:ind w:left="2160" w:right="180" w:hanging="680"/>
        <w:spacing w:after="0" w:line="264" w:lineRule="auto"/>
        <w:tabs>
          <w:tab w:leader="none" w:pos="2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Party’s performance is prevented or delayed by an act or event (other than economic hardship, changes in market conditions, insufficiency of funds, or unavailability of equipment and supplies) that is beyond its reasonable control and could not have been prevented or avoided by its exercise of due diligence; and</w:t>
      </w:r>
    </w:p>
    <w:p>
      <w:pPr>
        <w:spacing w:after="0" w:line="86" w:lineRule="exact"/>
        <w:rPr>
          <w:rFonts w:ascii="Arial" w:cs="Arial" w:eastAsia="Arial" w:hAnsi="Arial"/>
          <w:sz w:val="18"/>
          <w:szCs w:val="18"/>
          <w:color w:val="auto"/>
        </w:rPr>
      </w:pPr>
    </w:p>
    <w:p>
      <w:pPr>
        <w:ind w:left="2160" w:right="420" w:hanging="680"/>
        <w:spacing w:after="0" w:line="277" w:lineRule="auto"/>
        <w:tabs>
          <w:tab w:leader="none" w:pos="2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Party gives written notice to the other Party, as soon as practicable under the circumstances, of the act or event that so prevents such Party from performing its obligations.</w:t>
      </w:r>
    </w:p>
    <w:p>
      <w:pPr>
        <w:spacing w:after="0" w:line="75" w:lineRule="exact"/>
        <w:rPr>
          <w:rFonts w:ascii="Arial" w:cs="Arial" w:eastAsia="Arial" w:hAnsi="Arial"/>
          <w:sz w:val="18"/>
          <w:szCs w:val="18"/>
          <w:color w:val="auto"/>
        </w:rPr>
      </w:pPr>
    </w:p>
    <w:p>
      <w:pPr>
        <w:ind w:left="1480" w:right="20" w:hanging="797"/>
        <w:spacing w:after="0" w:line="264"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way of illustration, and not limitation, acts or events that may prevent or delay performance (as contemplated by this Section) include: acts of God or the public enemy, acts of civil or military authority, terrorists acts, embargoes, epidemics, war, riots, insurrections, fires, explosions, earthquakes, floods, and extreme weather events.</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Supplier is the Party whose performance is prevented or delayed for a period of [***], AT&amp;T may elect to:</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Terminate the affected Order, without any liability to Supplier, or</w:t>
      </w:r>
    </w:p>
    <w:p>
      <w:pPr>
        <w:spacing w:after="0" w:line="130" w:lineRule="exact"/>
        <w:rPr>
          <w:rFonts w:ascii="Arial" w:cs="Arial" w:eastAsia="Arial" w:hAnsi="Arial"/>
          <w:sz w:val="18"/>
          <w:szCs w:val="18"/>
          <w:color w:val="auto"/>
        </w:rPr>
      </w:pPr>
    </w:p>
    <w:p>
      <w:pPr>
        <w:ind w:left="2160" w:hanging="680"/>
        <w:spacing w:after="0" w:line="273" w:lineRule="auto"/>
        <w:tabs>
          <w:tab w:leader="none" w:pos="21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suspend the affected Order or any part thereof for the duration of the delay; and obtain Work elsewhere and deduct from any commitment under such Order the quantity of the Work obtained elsewhere or for which commitments have been made elsewhere; and resume performance under such Order when Supplier resumes its performance; and extend any affected Delivery Date or performance date up to the length of time Supplier’s performance was delayed or prevented. If AT&amp;T does not give any written notice within [***] days after receiving notice under this Section that Supplier’s performance has been delayed or prevented, this option (ii) will be deemed to have been selected.</w:t>
      </w:r>
    </w:p>
    <w:p>
      <w:pPr>
        <w:spacing w:after="0" w:line="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Governing Law</w:t>
      </w:r>
    </w:p>
    <w:p>
      <w:pPr>
        <w:spacing w:after="0" w:line="121" w:lineRule="exact"/>
        <w:rPr>
          <w:sz w:val="20"/>
          <w:szCs w:val="20"/>
          <w:color w:val="auto"/>
        </w:rPr>
      </w:pPr>
    </w:p>
    <w:p>
      <w:pPr>
        <w:ind w:left="700" w:right="500"/>
        <w:spacing w:after="0" w:line="264" w:lineRule="auto"/>
        <w:rPr>
          <w:sz w:val="20"/>
          <w:szCs w:val="20"/>
          <w:color w:val="auto"/>
        </w:rPr>
      </w:pPr>
      <w:r>
        <w:rPr>
          <w:rFonts w:ascii="Arial" w:cs="Arial" w:eastAsia="Arial" w:hAnsi="Arial"/>
          <w:sz w:val="18"/>
          <w:szCs w:val="18"/>
          <w:color w:val="auto"/>
        </w:rPr>
        <w:t>The laws of the State of Texas (excluding any laws that direct the application of another jurisdiction’s law) govern all matters arising out of or relating to this Agreement and all of the transactions it contemplates, including its validity, interpretation, construction, performance, and enforcement.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Government Contract Provisions</w:t>
      </w:r>
    </w:p>
    <w:p>
      <w:pPr>
        <w:spacing w:after="0" w:line="135" w:lineRule="exact"/>
        <w:rPr>
          <w:sz w:val="20"/>
          <w:szCs w:val="20"/>
          <w:color w:val="auto"/>
        </w:rPr>
      </w:pPr>
    </w:p>
    <w:p>
      <w:pPr>
        <w:ind w:left="1480" w:right="240" w:hanging="797"/>
        <w:spacing w:after="0" w:line="264"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 Order includes a statement that performance is intended for a government contract and to the extent any government contracting provisions are applicable to the Services to be provided by Supplier, such government contracting provisions may include to the extent agreed by Supplier and Company:</w:t>
      </w:r>
    </w:p>
    <w:p>
      <w:pPr>
        <w:spacing w:after="0" w:line="86" w:lineRule="exact"/>
        <w:rPr>
          <w:rFonts w:ascii="Arial" w:cs="Arial" w:eastAsia="Arial" w:hAnsi="Arial"/>
          <w:sz w:val="18"/>
          <w:szCs w:val="18"/>
          <w:color w:val="auto"/>
        </w:rPr>
      </w:pPr>
    </w:p>
    <w:p>
      <w:pPr>
        <w:ind w:left="2160" w:right="20" w:hanging="680"/>
        <w:spacing w:after="0" w:line="259" w:lineRule="auto"/>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certain executive orders (including E.O. 11246 and E.O. 13201) and statutes (including Section 503 of the Rehabilitation Act of 1973, as amended; the Vietnam Era Veteran’s Readjustment Assistance Act of 1974; Section 8116 of the Defense Appropriations Act for Fiscal Year 2010 (Pub. L. 111-118); and the Jobs for Veterans Act) pertaining to government contractors, Supplier shall:</w:t>
      </w:r>
    </w:p>
    <w:p>
      <w:pPr>
        <w:spacing w:after="0" w:line="92" w:lineRule="exact"/>
        <w:rPr>
          <w:rFonts w:ascii="Arial" w:cs="Arial" w:eastAsia="Arial" w:hAnsi="Arial"/>
          <w:sz w:val="18"/>
          <w:szCs w:val="18"/>
          <w:color w:val="auto"/>
        </w:rPr>
      </w:pPr>
    </w:p>
    <w:p>
      <w:pPr>
        <w:ind w:left="2960" w:right="140" w:hanging="791"/>
        <w:spacing w:after="0" w:line="277" w:lineRule="auto"/>
        <w:tabs>
          <w:tab w:leader="none" w:pos="2960" w:val="left"/>
        </w:tabs>
        <w:numPr>
          <w:ilvl w:val="2"/>
          <w:numId w:val="84"/>
        </w:numPr>
        <w:rPr>
          <w:rFonts w:ascii="Arial" w:cs="Arial" w:eastAsia="Arial" w:hAnsi="Arial"/>
          <w:sz w:val="18"/>
          <w:szCs w:val="18"/>
          <w:color w:val="auto"/>
        </w:rPr>
      </w:pPr>
      <w:r>
        <w:rPr>
          <w:rFonts w:ascii="Arial" w:cs="Arial" w:eastAsia="Arial" w:hAnsi="Arial"/>
          <w:sz w:val="18"/>
          <w:szCs w:val="18"/>
          <w:color w:val="auto"/>
        </w:rPr>
        <w:t>comply with such executive orders and statutes, and their implementing regulations, as amended from time to time; and</w:t>
      </w:r>
    </w:p>
    <w:p>
      <w:pPr>
        <w:spacing w:after="0" w:line="75" w:lineRule="exact"/>
        <w:rPr>
          <w:rFonts w:ascii="Arial" w:cs="Arial" w:eastAsia="Arial" w:hAnsi="Arial"/>
          <w:sz w:val="18"/>
          <w:szCs w:val="18"/>
          <w:color w:val="auto"/>
        </w:rPr>
      </w:pPr>
    </w:p>
    <w:p>
      <w:pPr>
        <w:ind w:left="2960" w:hanging="791"/>
        <w:spacing w:after="0"/>
        <w:tabs>
          <w:tab w:leader="none" w:pos="2960" w:val="left"/>
        </w:tabs>
        <w:numPr>
          <w:ilvl w:val="2"/>
          <w:numId w:val="84"/>
        </w:numPr>
        <w:rPr>
          <w:rFonts w:ascii="Arial" w:cs="Arial" w:eastAsia="Arial" w:hAnsi="Arial"/>
          <w:sz w:val="18"/>
          <w:szCs w:val="18"/>
          <w:color w:val="auto"/>
        </w:rPr>
      </w:pPr>
      <w:r>
        <w:rPr>
          <w:rFonts w:ascii="Arial" w:cs="Arial" w:eastAsia="Arial" w:hAnsi="Arial"/>
          <w:sz w:val="18"/>
          <w:szCs w:val="18"/>
          <w:color w:val="auto"/>
        </w:rPr>
        <w:t>fulfill the obligations of a contractor under the clauses incorporated by this Section.</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Section incorporates the following statutes and rules: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“Affirmative Action For Workers With Disabilities” (at 48 CFR §52.222-36);</w:t>
      </w:r>
    </w:p>
    <w:p>
      <w:pPr>
        <w:spacing w:after="0" w:line="130" w:lineRule="exact"/>
        <w:rPr>
          <w:rFonts w:ascii="Arial" w:cs="Arial" w:eastAsia="Arial" w:hAnsi="Arial"/>
          <w:sz w:val="18"/>
          <w:szCs w:val="18"/>
          <w:color w:val="auto"/>
        </w:rPr>
      </w:pPr>
    </w:p>
    <w:p>
      <w:pPr>
        <w:ind w:left="2160" w:right="240" w:hanging="680"/>
        <w:spacing w:after="0" w:line="277" w:lineRule="auto"/>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“Employment Reports On Special Disabled Veterans, Veterans Of The Vietnam Era, and Other Eligible Veterans” (at 48 CFR §52.222-37);</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“Equal Employment Opportunity” (at 48 CFR §52.222-26);</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“Equal Employment Opportunity Clause” (at 41 CFR §60-1.4(a));</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“Equal Opportunity For Special Disabled Veterans And Veterans of the Vietnam Era” (at 41 CFR §60-250.5);</w:t>
      </w:r>
    </w:p>
    <w:p>
      <w:pPr>
        <w:spacing w:after="0" w:line="130"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“Equal Opportunity for Disabled Veterans, Recently Separated Veterans, Other Protected Veterans, and Armed Forces Service Medal Veterans” (at 41 CFR §60-300.5);</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“Equal Opportunity For Workers With Disabilities” (at 41 CFR §60-741.5);</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“Prohibition of Segregated Facilities” (at 48 CFR §52.222-21);</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“Small Business Subcontracting Plan” (at 48 CFR §52.219-9);</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“Utilization Of Small Business Concerns” (at 48 CFR §52.219-8);</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“Whistleblower Protections Under the American Recovery and Reinvestment Act of 2009” (FAR 52.203-15);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“American Recovery and Reinvestment Act—Reporting Requirements” (FAR 52.204-11);</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“GAO/IG Access” (FAR 52.212-5(d) (Alt. II), FAR 52.214-26(c) (Alt. I), FAR 52.215-2(d) (Alt. I));</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“Davis-Bacon Act” (FAR 52.222-6);</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“Buy American Act” (FAR 52.225-21, FAR 52.225-22, FAR 52.225-23, &amp; FAR 52.225-24);</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“Whistleblower Protections” (Pub. L. No. 111-5, Section 1553);</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“Award term—Reporting and registration requirements under section 1512 of the Recovery Act” (2 CFR §176.50);</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“GAO/IG Access” (Pub. L. No. 111-5, Section 902, 1514 and 1515);</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“Award term—Wage Rate Requirements under Section 1606 of the Recovery Act” (2 CFR §176.190);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“Buy American Requirements” (2 CFR §176.140, 2 CFR §176.150, 2 CFR §176.160, &amp; 2 CFR §176.170).</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Indemnity</w:t>
      </w:r>
    </w:p>
    <w:p>
      <w:pPr>
        <w:spacing w:after="0" w:line="135" w:lineRule="exact"/>
        <w:rPr>
          <w:sz w:val="20"/>
          <w:szCs w:val="20"/>
          <w:color w:val="auto"/>
        </w:rPr>
      </w:pPr>
    </w:p>
    <w:p>
      <w:pPr>
        <w:ind w:left="1480" w:right="100" w:hanging="797"/>
        <w:spacing w:after="0" w:line="255"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otherwise provided in the Section entitled “Infringement,” a Party, its Affiliates, and their agents and employees (collectively the “Indemnified Party”) shall have the right to request from the other Party or its Affiliates, agents, or employees (collectively the “Indemnifying Party”) defense and indemnification against any third party claims for Loss for the majority of which it believes that the Indemnifying Party is responsible alleging (1) injuries to persons, including death or disease; (2) damages to tangible property, including theft; and (3) failure to comply with Laws. The Indemnified Party shall reimburse the Indemnifying Party for that pro rata portion of any third party claim for Loss (including Litigation Expense) resulting from an Indemnified Party’s fault (“Indemnified Party Fault”) as set forth herein.</w:t>
      </w:r>
    </w:p>
    <w:p>
      <w:pPr>
        <w:spacing w:after="0" w:line="94" w:lineRule="exact"/>
        <w:rPr>
          <w:rFonts w:ascii="Arial" w:cs="Arial" w:eastAsia="Arial" w:hAnsi="Arial"/>
          <w:sz w:val="18"/>
          <w:szCs w:val="18"/>
          <w:color w:val="auto"/>
        </w:rPr>
      </w:pPr>
    </w:p>
    <w:p>
      <w:pPr>
        <w:ind w:left="1480" w:right="120" w:hanging="797"/>
        <w:spacing w:after="0" w:line="255"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Without limiting the foregoing provisions of this Section, Amdocs (as Indemnifying Party) also agrees to defend, indemnify, hold harmless and defend AT&amp;T (as Indemnified Party) in the event that any federal, state or local governmental agency or any of Amdocs’ current or former applicants, agents, employees or Subcontractors, or agents or employees of Amdocs’ Subcontractors assert claims arising out of the employment relationship with Amdocs, or otherwise with respect to performance under this Agreement, including but not limited to claims, charges and actions arising under Title VII of the Civil Rights Act of 1964, as amended, The Equal Pay Act, the Age Discrimination in Employment Act, as amended, The Rehabilitation Act, the Americans with Disabilities Act, as amended, the Fair Labor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32" w:name="page133"/>
    <w:bookmarkEnd w:id="132"/>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800" w:right="80"/>
        <w:spacing w:after="0" w:line="276" w:lineRule="auto"/>
        <w:rPr>
          <w:sz w:val="20"/>
          <w:szCs w:val="20"/>
          <w:color w:val="auto"/>
        </w:rPr>
      </w:pPr>
      <w:r>
        <w:rPr>
          <w:rFonts w:ascii="Arial" w:cs="Arial" w:eastAsia="Arial" w:hAnsi="Arial"/>
          <w:sz w:val="17"/>
          <w:szCs w:val="17"/>
          <w:color w:val="auto"/>
        </w:rPr>
        <w:t>Standards Act, the Family and Medical Leave Act, Workers’ Compensation laws, the National Labor Relations Act and any other applicable federal, state or local Laws. Amdocs’ duties to indemnify, hold harmless and defend AT&amp;T under this Section include, but are not limited to, any liability, cause of action, lawsuit, penalty, claim or demand, or administrative proceeding in which AT&amp;T or any other Indemnified Party is named as or alleged to be an “employer” or “joint employer” with Amdocs. The foregoing indemnity obligation shall be in addition to any other indemnity obligations of Amdocs set forth in this Agreement.</w:t>
      </w:r>
    </w:p>
    <w:p>
      <w:pPr>
        <w:spacing w:after="0" w:line="78" w:lineRule="exact"/>
        <w:rPr>
          <w:sz w:val="20"/>
          <w:szCs w:val="20"/>
          <w:color w:val="auto"/>
        </w:rPr>
      </w:pPr>
    </w:p>
    <w:p>
      <w:pPr>
        <w:ind w:left="800" w:hanging="797"/>
        <w:spacing w:after="0" w:line="28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receipt of a request from any Indemnified Party for defense and indemnification under this Section, the Indemnifying Party shall have the right to determine whether, in its reasonable opinion, there is a reasonable likelihood that Indemnified Party Fault contributed to the majority of the Loss; should the Indemnifying Party make such a determination, the Indemnifying Party shall have the right, subject to the Indemnified Party’s rights set forth below, to refuse to defend and indemnify the Indemnified Party. The Indemnifying Party shall make such determination and notify the Indemnified Party if it refuses to defend and indemnify the Indemnified Party within [***] business days after its receipt of the Indemnified Party’s request to the Indemnifying Party for defense and indemnification; otherwise, it shall undertake the defense. Should the Indemnifying Party refuse to defend and indemnify the Indemnified Party, the Indemnified Party shall have the right (i) to take such action as may be necessary to defend the Indemnified Party against the claim, including filing a third party action in that case against the Indemnifying Party for contribution or other legal or equitable rights or in an independent action against the Indemnifying Party seeking a determination that the Indemnifying Party was obligated to defend, indemnify, and hold harmless the Indemnified Party with respect to the claim and seeking any and all remedies to which the Indemnified Party might be entitled at law or in equity and, should the court or other tribunal hearing the case under either of those scenarios determine that Indemnified Party Fault did not contribute to a majority of the Loss, the Indemnifying Party shall promptly pay the Indemnified Party that pro-rata portion of the Indemnified Party’s Litigation Expense and any judgment against the Indemnified Party that is equivalent to the Indemnifying Party’s fault relative to the Indemnified Party Fault or (ii) to settle the case and, either prior to or after settlement, to seek judicial determination in that case or in a separately-filed case of the amount of the Indemnifying Party’s fault relative to the Indemnified Party Fault, and the Indemnifying Party shall be liable to the Indemnified Party for that portion of the Indemnified Party’s Litigation Expense and the settlement amount that is equivalent to the Indemnifying Party’s fault relative to the Indemnified Party Fault as determined by the court in either such scenario. If the Indemnified Party is required to take any action to seek judicial determination of the amount of the Indemnifying Party’s fault relative to the Indemnified Party Fault under this Agreement because of the Indemnifying Party’s failure to promptly assume the defense as set forth herein and is successful in obtaining a determination that the Indemnified Party Fault did not contribute to the majority of the Loss, then the Indemnified Party may also recover from the Indemnifying Party any reasonable attorney’s fees and other costs of obtaining that judicial determination.</w:t>
      </w:r>
    </w:p>
    <w:p>
      <w:pPr>
        <w:spacing w:after="0" w:line="32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40"/>
          </w:cols>
          <w:pgMar w:left="920" w:top="27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460" w:hanging="797"/>
        <w:spacing w:after="0" w:line="277" w:lineRule="auto"/>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neither Party shall be required to indemnify the other Party from Losses resulting from claims or allegations of criminal conduct or misfeasance by the other Party.</w:t>
      </w:r>
    </w:p>
    <w:p>
      <w:pPr>
        <w:spacing w:after="0" w:line="75" w:lineRule="exact"/>
        <w:rPr>
          <w:rFonts w:ascii="Arial" w:cs="Arial" w:eastAsia="Arial" w:hAnsi="Arial"/>
          <w:sz w:val="18"/>
          <w:szCs w:val="18"/>
          <w:color w:val="auto"/>
        </w:rPr>
      </w:pPr>
    </w:p>
    <w:p>
      <w:pPr>
        <w:ind w:left="800" w:right="40" w:hanging="797"/>
        <w:spacing w:after="0" w:line="267" w:lineRule="auto"/>
        <w:tabs>
          <w:tab w:leader="none" w:pos="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Indemnifying Party shall conduct the defense (employing counsel acceptable to the Indemnified Party), at the Indemnifying Party’s expense, against any claim, demand, suit or cause of action within the scope of paragraph i) or paragraph ii) above, whether or not litigation is actually commenced or the allegations are meritorious and, upon the Indemnified Party’s request, keep the Indemnified Party informed as to the progress of such defense. At its own option, the Indemnified Party may employ separate counsel, including in-house counsel, to conduct the Indemnified Party’s defense against such a claim. The Parties shall cooperate in the defense of any such claim. The Indemnifying Party may control the defense and settlement of such a claim, but if the settlement of a claim may have an adverse effect on any Indemnified Party, then the Indemnifying Party shall not settle such claim without the consent of the Indemnified Party, and the Indemnified Party shall not unreasonably withhold or delay its consent. To the extent that the Indemnifying Party pays any part of a judgment, award or settlement with respect to the Loss and any other expenses related to the resolution of the Loss, including costs, interest, and reasonable Attorneys’ Fees, as a result of being self-insured or as a result of insurance coverage being insufficient to cover the amount of the judgment, award or settlement, upon final resolution of the claim, demand, suit or cause of action, the Indemnified Party shall reimburse the Indemnifying Party for the pro-rata portion of any such payment based on the Indemnified Party Fault relative to the Indemnifying Party’s fault. If any Indemnified Party is required to take any action to enforce its indemnity rights under this Agreement or to assume the defense of any claim, demand, suit or cause of action for which it is entitled to receive an indemnity under this Agreement because of the Indemnifying Party’s failure to promptly assume such defense, then the Indemnified Party may also recover from the Indemnifying Party any reasonable Attorney’s Fees and other costs of enforcing its indemnity rights or assuming such defense.</w:t>
      </w:r>
    </w:p>
    <w:p>
      <w:pPr>
        <w:spacing w:after="0" w:line="98" w:lineRule="exact"/>
        <w:rPr>
          <w:rFonts w:ascii="Arial" w:cs="Arial" w:eastAsia="Arial" w:hAnsi="Arial"/>
          <w:sz w:val="17"/>
          <w:szCs w:val="17"/>
          <w:color w:val="auto"/>
        </w:rPr>
      </w:pPr>
    </w:p>
    <w:p>
      <w:pPr>
        <w:ind w:left="800" w:right="60" w:hanging="797"/>
        <w:spacing w:after="0" w:line="269" w:lineRule="auto"/>
        <w:tabs>
          <w:tab w:leader="none" w:pos="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the Parties intend that any amount for which any Indemnified Party might otherwise have an obligation of reimbursement to the Indemnifying Party for its pro-rata portion pursuant to this Section will be net of any insurance proceeds or other amounts paid by the Indemnifying Party’s insurance company or any other entity (“Insurance Proceeds”) that actually reduce the amount that the Indemnifying Party is required to pay on account of a Loss. Accordingly, the amount with respect to which the Indemnified Party is required to reimburse the Indemnifying Party its pro-rata portion will be reduced by any Insurance Proceeds theretofore actually paid on behalf of the Indemnifying Party in respect of the related Loss. If the Indemnifying Party receives a reimbursement required by this Section from the Indemnified Party in respect of the Indemnified Party’s pro-rata share of the amount of any Loss and subsequently receives Insurance Proceeds or the benefit of any payments made for the Indemnifying Party or on its behalf by any insurance company or other entity with respect to such Loss, then the Indemnifying Party will pay to the Indemnified Party, within [***] days after such receipt of Insurance Proceeds or benefit of any payments, an amount equal to the excess of the reimbursement that the Indemnifying Party received from the</w:t>
      </w:r>
    </w:p>
    <w:p>
      <w:pPr>
        <w:spacing w:after="0" w:line="111"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40"/>
          </w:cols>
          <w:pgMar w:left="920" w:top="274" w:right="239" w:bottom="1440" w:gutter="0" w:footer="0" w:header="0"/>
        </w:sectPr>
      </w:pPr>
    </w:p>
    <w:bookmarkStart w:id="134" w:name="page135"/>
    <w:bookmarkEnd w:id="134"/>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80" w:right="40"/>
        <w:spacing w:after="0" w:line="271" w:lineRule="auto"/>
        <w:rPr>
          <w:sz w:val="20"/>
          <w:szCs w:val="20"/>
          <w:color w:val="auto"/>
        </w:rPr>
      </w:pPr>
      <w:r>
        <w:rPr>
          <w:rFonts w:ascii="Arial" w:cs="Arial" w:eastAsia="Arial" w:hAnsi="Arial"/>
          <w:sz w:val="17"/>
          <w:szCs w:val="17"/>
          <w:color w:val="auto"/>
        </w:rPr>
        <w:t>Indemnified Party over the amount of the reimbursement that would have been due under this Section from the Indemnified Party if the Insurance Proceeds had been received, realized or recovered before the reimbursement was made by the Indemnified Party. An insurer that would otherwise be obligated to pay any amount as a result of a Loss shall not be relieved of the responsibility with respect thereto or, by virtue of the indemnification or reimbursement provisions hereof, have any subrogation rights with respect thereto, it being expressly understood and agreed that no insurer or any other third party shall be entitled to a “wind-fall” (i.e., a benefit they would not be entitled to receive in the absence of the indemnification provisions) by virtue of the indemnification or reimbursement provisions hereof. The Indemnifying Party shall have a good faith obligation to seek to collect or recover any Insurance Proceeds that may in any way be available to reduce the amount of any Loss.</w:t>
      </w:r>
    </w:p>
    <w:p>
      <w:pPr>
        <w:spacing w:after="0" w:line="84" w:lineRule="exact"/>
        <w:rPr>
          <w:sz w:val="20"/>
          <w:szCs w:val="20"/>
          <w:color w:val="auto"/>
        </w:rPr>
      </w:pPr>
    </w:p>
    <w:p>
      <w:pPr>
        <w:ind w:left="1480" w:right="60" w:hanging="797"/>
        <w:spacing w:after="0" w:line="255"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this Section, “Loss” includes any liability, claim, demand, suit, cause of action, settlement payment, cost and expense, interest, award, judgment, damages (including punitive damages), diminution in value, liens, fines, fees, penalties, and Litigation Expense. “Litigation Expense” means any court filing fee, court cost, arbitration fee, and each other fee and cost of investigating or defending an indemnified claim or asserting any claim for indemnification or defense under this Agreement, including Attorney’s Fees, other professionals’ fees, and disbursements. “Attorney’s Fees” include a charge for the service of in-house counsel at the market rate for independent counsel of similar experience</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7"/>
          <w:szCs w:val="17"/>
          <w:b w:val="1"/>
          <w:bCs w:val="1"/>
          <w:color w:val="auto"/>
        </w:rPr>
        <w:t>Information</w:t>
      </w:r>
    </w:p>
    <w:p>
      <w:pPr>
        <w:spacing w:after="0" w:line="135" w:lineRule="exact"/>
        <w:rPr>
          <w:sz w:val="20"/>
          <w:szCs w:val="20"/>
          <w:color w:val="auto"/>
        </w:rPr>
      </w:pPr>
    </w:p>
    <w:p>
      <w:pPr>
        <w:ind w:left="1480" w:right="20" w:hanging="797"/>
        <w:spacing w:after="0" w:line="283" w:lineRule="auto"/>
        <w:tabs>
          <w:tab w:leader="none" w:pos="1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connection with this Agreement, including Supplier’s performance of its obligations hereunder and AT&amp;T’s receipt of Work, either Party may find it beneficial to disclose to the other Party (which may include permitting or enabling the other Party’s access to) certain of its Information. For the purpose of this clause, AT&amp;T’s disclosure of Information to Supplier includes any Information that Supplier receives, observes, collects, handles, stores, or accesses, in any way, in connection with this Agreement. Information of a disclosing Party shall be deemed to be confidential or proprietary only if it is clearly marked or otherwise identified by the disclosing Party as being confidential or proprietary, provided that if it is orally or visually disclosed (including Information conveyed to an answering machine, voice mail box or similar medium), the disclosing Party shall designate it as confidential or proprietary at the time of such disclosure. Notwithstanding the foregoing, a disclosing Party shall not have any such obligation to so mark or identify, or to so designate, Information that the disclosing Party discloses to or is otherwise obtained by the other Party’s employees, contractors, or representatives</w:t>
      </w:r>
    </w:p>
    <w:p>
      <w:pPr>
        <w:spacing w:after="0" w:line="6" w:lineRule="exact"/>
        <w:rPr>
          <w:rFonts w:ascii="Arial" w:cs="Arial" w:eastAsia="Arial" w:hAnsi="Arial"/>
          <w:sz w:val="16"/>
          <w:szCs w:val="16"/>
          <w:color w:val="auto"/>
        </w:rPr>
      </w:pPr>
    </w:p>
    <w:p>
      <w:pPr>
        <w:ind w:left="1480" w:right="40"/>
        <w:spacing w:after="0" w:line="270" w:lineRule="auto"/>
        <w:rPr>
          <w:rFonts w:ascii="Arial" w:cs="Arial" w:eastAsia="Arial" w:hAnsi="Arial"/>
          <w:sz w:val="16"/>
          <w:szCs w:val="16"/>
          <w:color w:val="auto"/>
        </w:rPr>
      </w:pPr>
      <w:r>
        <w:rPr>
          <w:rFonts w:ascii="Arial" w:cs="Arial" w:eastAsia="Arial" w:hAnsi="Arial"/>
          <w:sz w:val="17"/>
          <w:szCs w:val="17"/>
          <w:color w:val="auto"/>
        </w:rPr>
        <w:t>(i) who are located on the disclosing Party’s premises; (ii) who access the disclosing Party’s systems; or (iii) who otherwise obtain AT&amp;T Information and/or AT&amp;T Customer Information in connection with this Agreement; any such Information so disclosed shall automatically be deemed to be confidential and proprietary. Additionally, the failure to mark or designate information as being confidential or proprietary will not waive the confidentiality where it is reasonably obvious, under the circumstances surrounding disclosure, that the Information is confidential or proprietary; any such Information so disclosed or obtained shall automatically be deemed to be confidential and proprietary. For greater certainty, Information provided by either Party to the other Party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35" w:name="page136"/>
    <w:bookmarkEnd w:id="135"/>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800"/>
        <w:spacing w:after="0" w:line="279" w:lineRule="auto"/>
        <w:rPr>
          <w:sz w:val="20"/>
          <w:szCs w:val="20"/>
          <w:color w:val="auto"/>
        </w:rPr>
      </w:pPr>
      <w:r>
        <w:rPr>
          <w:rFonts w:ascii="Arial" w:cs="Arial" w:eastAsia="Arial" w:hAnsi="Arial"/>
          <w:sz w:val="17"/>
          <w:szCs w:val="17"/>
          <w:color w:val="auto"/>
        </w:rPr>
        <w:t>prior to the Effective Date of this Agreement in connection with the subject matter hereof, including any such Information provided under a separate non-disclosure agreement (howsoever denominated) is also subject to the terms of this Agreement. Neither Party shall disclose Information under this Agreement that includes, in any form, any of the following: customer or employee personal information, credit card and credit related information, health or financial information, and/or authentication credentials.</w:t>
      </w:r>
    </w:p>
    <w:p>
      <w:pPr>
        <w:spacing w:after="0" w:line="77" w:lineRule="exact"/>
        <w:rPr>
          <w:sz w:val="20"/>
          <w:szCs w:val="20"/>
          <w:color w:val="auto"/>
        </w:rPr>
      </w:pPr>
    </w:p>
    <w:p>
      <w:pPr>
        <w:ind w:left="800" w:hanging="797"/>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 respect to the Information of the disclosing Party, the receiving Party shall:</w:t>
      </w:r>
    </w:p>
    <w:p>
      <w:pPr>
        <w:spacing w:after="0" w:line="130" w:lineRule="exact"/>
        <w:rPr>
          <w:rFonts w:ascii="Arial" w:cs="Arial" w:eastAsia="Arial" w:hAnsi="Arial"/>
          <w:sz w:val="18"/>
          <w:szCs w:val="18"/>
          <w:color w:val="auto"/>
        </w:rPr>
      </w:pPr>
    </w:p>
    <w:p>
      <w:pPr>
        <w:ind w:left="1480" w:right="180" w:hanging="680"/>
        <w:spacing w:after="0" w:line="277"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hold all such Information in confidence with the same degree of care with which it protects its own confidential or proprietary Information, but with no less than reasonably prudent care;</w:t>
      </w:r>
    </w:p>
    <w:p>
      <w:pPr>
        <w:spacing w:after="0" w:line="75" w:lineRule="exact"/>
        <w:rPr>
          <w:rFonts w:ascii="Arial" w:cs="Arial" w:eastAsia="Arial" w:hAnsi="Arial"/>
          <w:sz w:val="18"/>
          <w:szCs w:val="18"/>
          <w:color w:val="auto"/>
        </w:rPr>
      </w:pPr>
    </w:p>
    <w:p>
      <w:pPr>
        <w:ind w:left="1480" w:right="400" w:hanging="680"/>
        <w:spacing w:after="0" w:line="259"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restrict disclosure of such Information solely to its employees, contractors, and agents (and, in the case of AT&amp;T, also to its Affiliates’ employees, contractors, and agents) with a need to know such Information, advise such persons of their confidentiality obligations with respect thereto, and ensure that such persons are bound by obligations of confidentiality reasonably comparable to those imposed in this Agreement;</w:t>
      </w:r>
    </w:p>
    <w:p>
      <w:pPr>
        <w:spacing w:after="0" w:line="92" w:lineRule="exact"/>
        <w:rPr>
          <w:rFonts w:ascii="Arial" w:cs="Arial" w:eastAsia="Arial" w:hAnsi="Arial"/>
          <w:sz w:val="18"/>
          <w:szCs w:val="18"/>
          <w:color w:val="auto"/>
        </w:rPr>
      </w:pPr>
    </w:p>
    <w:p>
      <w:pPr>
        <w:ind w:left="1480" w:right="260" w:hanging="680"/>
        <w:spacing w:after="0" w:line="277"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use such Information only as needed to perform its obligations (and, if AT&amp;T is the receiving Party, to receive the benefits of the Work provided) under this Agreement;</w:t>
      </w:r>
    </w:p>
    <w:p>
      <w:pPr>
        <w:spacing w:after="0" w:line="75" w:lineRule="exact"/>
        <w:rPr>
          <w:rFonts w:ascii="Arial" w:cs="Arial" w:eastAsia="Arial" w:hAnsi="Arial"/>
          <w:sz w:val="18"/>
          <w:szCs w:val="18"/>
          <w:color w:val="auto"/>
        </w:rPr>
      </w:pPr>
    </w:p>
    <w:p>
      <w:pPr>
        <w:ind w:left="1480" w:right="160" w:hanging="680"/>
        <w:spacing w:after="0" w:line="264"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except as necessary under the immediately preceding clause (3), not copy, distribute, or otherwise use any such Information or allow anyone else to copy, distribute, or otherwise use such Information; and ensure that any and all copies bear the same notices or legends, if any, as the originals; and</w:t>
      </w:r>
    </w:p>
    <w:p>
      <w:pPr>
        <w:spacing w:after="0" w:line="86" w:lineRule="exact"/>
        <w:rPr>
          <w:rFonts w:ascii="Arial" w:cs="Arial" w:eastAsia="Arial" w:hAnsi="Arial"/>
          <w:sz w:val="18"/>
          <w:szCs w:val="18"/>
          <w:color w:val="auto"/>
        </w:rPr>
      </w:pPr>
    </w:p>
    <w:p>
      <w:pPr>
        <w:ind w:left="1480" w:hanging="680"/>
        <w:spacing w:after="0" w:line="255"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upon the disclosing Party’s request, promptly return, or destroy all or any requested portion of the Information, including tangible and electronic copies, notes, summaries, extracts, mail or other communications, and provide written certification [***] business days to the disclosing Party that such Information has been returned or destroyed, provided that with respect to archival or back-up copies of Information that reside on the receiving Party’s systems, the receiving Party shall be deemed to have complied with its obligations under this clause (5) if it makes reasonable efforts to expunge from such systems, or to permanently render irretrievable, such copies.</w:t>
      </w:r>
    </w:p>
    <w:p>
      <w:pPr>
        <w:spacing w:after="0" w:line="98" w:lineRule="exact"/>
        <w:rPr>
          <w:rFonts w:ascii="Arial" w:cs="Arial" w:eastAsia="Arial" w:hAnsi="Arial"/>
          <w:sz w:val="18"/>
          <w:szCs w:val="18"/>
          <w:color w:val="auto"/>
        </w:rPr>
      </w:pPr>
    </w:p>
    <w:p>
      <w:pPr>
        <w:ind w:left="800" w:hanging="797"/>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for Customer Information, neither Party shall have any obligation to the other Party with respect to Information which:</w:t>
      </w:r>
    </w:p>
    <w:p>
      <w:pPr>
        <w:spacing w:after="0" w:line="130" w:lineRule="exact"/>
        <w:rPr>
          <w:rFonts w:ascii="Arial" w:cs="Arial" w:eastAsia="Arial" w:hAnsi="Arial"/>
          <w:sz w:val="18"/>
          <w:szCs w:val="18"/>
          <w:color w:val="auto"/>
        </w:rPr>
      </w:pPr>
    </w:p>
    <w:p>
      <w:pPr>
        <w:ind w:left="1480" w:right="40" w:hanging="680"/>
        <w:spacing w:after="0" w:line="277"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at the time of disclosure was already known to the receiving Party free of any obligation to keep it confidential (as evidenced by the receiving Party’s written records prepared prior to such disclosure);</w:t>
      </w:r>
    </w:p>
    <w:p>
      <w:pPr>
        <w:spacing w:after="0" w:line="75" w:lineRule="exact"/>
        <w:rPr>
          <w:rFonts w:ascii="Arial" w:cs="Arial" w:eastAsia="Arial" w:hAnsi="Arial"/>
          <w:sz w:val="18"/>
          <w:szCs w:val="18"/>
          <w:color w:val="auto"/>
        </w:rPr>
      </w:pPr>
    </w:p>
    <w:p>
      <w:pPr>
        <w:ind w:left="1480" w:right="680" w:hanging="680"/>
        <w:spacing w:after="0" w:line="277"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 or becomes publicly known through no wrongful act of the receiving Party (such obligations ceasing at the time such Information becomes publicly known);</w:t>
      </w:r>
    </w:p>
    <w:p>
      <w:pPr>
        <w:spacing w:after="0" w:line="9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40"/>
          </w:cols>
          <w:pgMar w:left="920" w:top="27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hanging="680"/>
        <w:spacing w:after="0"/>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is lawfully received from a third party, free of any obligation to keep it confidential;</w:t>
      </w:r>
    </w:p>
    <w:p>
      <w:pPr>
        <w:spacing w:after="0" w:line="130" w:lineRule="exact"/>
        <w:rPr>
          <w:rFonts w:ascii="Arial" w:cs="Arial" w:eastAsia="Arial" w:hAnsi="Arial"/>
          <w:sz w:val="18"/>
          <w:szCs w:val="18"/>
          <w:color w:val="auto"/>
        </w:rPr>
      </w:pPr>
    </w:p>
    <w:p>
      <w:pPr>
        <w:ind w:left="2160" w:right="40" w:hanging="680"/>
        <w:spacing w:after="0" w:line="264" w:lineRule="auto"/>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or a third party, as evidenced by the receiving Party’s written records, and where such development occurred without any direct or indirect use of or access to the Information received from the disclosing Party, or</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disclosing Party consents in writing to be free of restriction.</w:t>
      </w:r>
    </w:p>
    <w:p>
      <w:pPr>
        <w:spacing w:after="0" w:line="130" w:lineRule="exact"/>
        <w:rPr>
          <w:rFonts w:ascii="Arial" w:cs="Arial" w:eastAsia="Arial" w:hAnsi="Arial"/>
          <w:sz w:val="18"/>
          <w:szCs w:val="18"/>
          <w:color w:val="auto"/>
        </w:rPr>
      </w:pPr>
    </w:p>
    <w:p>
      <w:pPr>
        <w:ind w:left="1480" w:right="40" w:hanging="797"/>
        <w:spacing w:after="0" w:line="255"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 receiving Party is required to provide Information of a disclosing Party to any court or government agency pursuant to a written court order, subpoena, regulatory demand, request under the National Labor Relations Act (an “NLRA Request”), or process of law, the receiving Party must, unless prohibited by applicable law, first provide the disclosing Party with prompt written notice of such requirement and reasonable cooperation to the disclosing Party should it seek protective arrangements for the production of such Information. The receiving Party will (i) take reasonable steps to limit any such provision of Information to the specific Information required by such court or agency, and (ii) continue to otherwise protect all Information disclosed in response to such order, subpoena, regulation, NLRA Request, or process of law.</w:t>
      </w:r>
    </w:p>
    <w:p>
      <w:pPr>
        <w:spacing w:after="0" w:line="94" w:lineRule="exact"/>
        <w:rPr>
          <w:rFonts w:ascii="Arial" w:cs="Arial" w:eastAsia="Arial" w:hAnsi="Arial"/>
          <w:sz w:val="18"/>
          <w:szCs w:val="18"/>
          <w:color w:val="auto"/>
        </w:rPr>
      </w:pPr>
    </w:p>
    <w:p>
      <w:pPr>
        <w:ind w:left="1480" w:hanging="797"/>
        <w:spacing w:after="0" w:line="259"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receiving Party’s obligations with respect to any particular Information of a disclosing Party shall remain in effect, including after the expiration or termination of this Agreement, until such time as it qualifies under one of the exceptions set forth in clause (c) above. Notwithstanding anything to the contrary herein, Customer Information shall remain confidential indefinitely and shall never be disclosed or used without the prior written approval of an authorized representative of AT&amp;T.</w:t>
      </w:r>
    </w:p>
    <w:p>
      <w:pPr>
        <w:spacing w:after="0" w:line="92" w:lineRule="exact"/>
        <w:rPr>
          <w:rFonts w:ascii="Arial" w:cs="Arial" w:eastAsia="Arial" w:hAnsi="Arial"/>
          <w:sz w:val="18"/>
          <w:szCs w:val="18"/>
          <w:color w:val="auto"/>
        </w:rPr>
      </w:pPr>
    </w:p>
    <w:p>
      <w:pPr>
        <w:ind w:left="1480" w:right="120" w:hanging="797"/>
        <w:spacing w:after="0" w:line="276" w:lineRule="auto"/>
        <w:tabs>
          <w:tab w:leader="none" w:pos="14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vendors or consultants of AT&amp;T or other third parties who are required by AT&amp;T and authorized by Supplier in writing to have access to any Supplier Information for the purpose of providing services to AT&amp;T shall first sign Supplier’s non-disclosure agreement in the form attached hereto as Appendix I, Exhibit 2. In the event that such third party is a Supplier competitor (as specified by Supplier from time to time), AT&amp;T shall not provide such third party with access to the Supplier Information without Supplier’s express prior written consent which shall not be unreasonably withheld, conditioned, or delayed.</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Infringement</w:t>
      </w:r>
    </w:p>
    <w:p>
      <w:pPr>
        <w:spacing w:after="0" w:line="131" w:lineRule="exact"/>
        <w:rPr>
          <w:sz w:val="20"/>
          <w:szCs w:val="20"/>
          <w:color w:val="auto"/>
        </w:rPr>
      </w:pPr>
    </w:p>
    <w:p>
      <w:pPr>
        <w:ind w:left="1480" w:hanging="79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Section:</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“Indemnified Parties” shall mean AT&amp;T and its Affiliates, individually or collectively, as the case may be.</w:t>
      </w:r>
    </w:p>
    <w:p>
      <w:pPr>
        <w:spacing w:after="0" w:line="130" w:lineRule="exact"/>
        <w:rPr>
          <w:rFonts w:ascii="Arial" w:cs="Arial" w:eastAsia="Arial" w:hAnsi="Arial"/>
          <w:sz w:val="18"/>
          <w:szCs w:val="18"/>
          <w:color w:val="auto"/>
        </w:rPr>
      </w:pPr>
    </w:p>
    <w:p>
      <w:pPr>
        <w:ind w:left="2160" w:right="260" w:hanging="680"/>
        <w:spacing w:after="0" w:line="264" w:lineRule="auto"/>
        <w:tabs>
          <w:tab w:leader="none" w:pos="2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“Loss” shall mean any liability, loss, claim, demand, suit, cause of action, settlement payment, cost, expense, interest, award, judgment, damages (including, without limitation, punitive and exemplary damages and increased damages for willful infringement), liens, fines, fees, penalties, and Litigation Expense.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300" w:hanging="680"/>
        <w:spacing w:after="0" w:line="286" w:lineRule="auto"/>
        <w:tabs>
          <w:tab w:leader="none" w:pos="14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“Litigation Expense” means any court filing fee, court cost, arbitration fee, and each other reasonable fee and cost of investigating or defending an indemnified claim or asserting any claim for indemnification or defense under this Agreement, including without limitation reasonable attorneys’ fees and other professionals’ fees, and disbursements.</w:t>
      </w:r>
    </w:p>
    <w:p>
      <w:pPr>
        <w:spacing w:after="0" w:line="70" w:lineRule="exact"/>
        <w:rPr>
          <w:rFonts w:ascii="Arial" w:cs="Arial" w:eastAsia="Arial" w:hAnsi="Arial"/>
          <w:sz w:val="17"/>
          <w:szCs w:val="17"/>
          <w:color w:val="auto"/>
        </w:rPr>
      </w:pPr>
    </w:p>
    <w:p>
      <w:pPr>
        <w:ind w:left="1480" w:right="120" w:hanging="680"/>
        <w:spacing w:after="0" w:line="273" w:lineRule="auto"/>
        <w:tabs>
          <w:tab w:leader="none" w:pos="14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“Provided Elements” shall mean any products, hardware, software, interfaces, systems, content, services, processes, methods, documents, materials, data or information, or any functionality therein, provided to any Indemnified Party by or on behalf of Supplier (including, without limitation, by any of Supplier’s sub-suppliers or distributors, but excluding only Third Party Software resold by a Third Party to AT&amp;T by Supplier that is governed by an applicable license agreement between AT&amp;T and such Third Party) pursuant to this Agreement (including, without limitation, under any order, statement of work, exhibit, or other document under, subordinate to, or referencing this Agreement).</w:t>
      </w:r>
    </w:p>
    <w:p>
      <w:pPr>
        <w:spacing w:after="0" w:line="83" w:lineRule="exact"/>
        <w:rPr>
          <w:rFonts w:ascii="Arial" w:cs="Arial" w:eastAsia="Arial" w:hAnsi="Arial"/>
          <w:sz w:val="17"/>
          <w:szCs w:val="17"/>
          <w:color w:val="auto"/>
        </w:rPr>
      </w:pPr>
    </w:p>
    <w:p>
      <w:pPr>
        <w:ind w:left="800" w:hanging="797"/>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right="280" w:hanging="680"/>
        <w:spacing w:after="0" w:line="259" w:lineRule="auto"/>
        <w:tabs>
          <w:tab w:leader="none" w:pos="1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Supplier shall indemnify, hold harmless, and defend (which shall include, without limitation, cooperating with AT&amp;T as set forth below in the defense of) the Indemnified Parties against any Loss resulting from, arising out of or relating to any [***], demand, claim or lawsuit brought by any third party (“Covered Claim”), regardless of whether such Covered Claim is meritorious, of:</w:t>
      </w:r>
    </w:p>
    <w:p>
      <w:pPr>
        <w:spacing w:after="0" w:line="92" w:lineRule="exact"/>
        <w:rPr>
          <w:rFonts w:ascii="Arial" w:cs="Arial" w:eastAsia="Arial" w:hAnsi="Arial"/>
          <w:sz w:val="18"/>
          <w:szCs w:val="18"/>
          <w:color w:val="auto"/>
        </w:rPr>
      </w:pPr>
    </w:p>
    <w:p>
      <w:pPr>
        <w:ind w:left="2280" w:right="120" w:hanging="791"/>
        <w:spacing w:after="0" w:line="264" w:lineRule="auto"/>
        <w:tabs>
          <w:tab w:leader="none" w:pos="228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infringement (including, without limitation, direct, contributory and induced infringement) of any patent, copyright, trademark, service mark, or other Intellectual Property Right in connection with the Provided Elements, including, for example, any Covered Claim of infringement based on:</w:t>
      </w:r>
    </w:p>
    <w:p>
      <w:pPr>
        <w:spacing w:after="0" w:line="86" w:lineRule="exact"/>
        <w:rPr>
          <w:rFonts w:ascii="Arial" w:cs="Arial" w:eastAsia="Arial" w:hAnsi="Arial"/>
          <w:sz w:val="18"/>
          <w:szCs w:val="18"/>
          <w:color w:val="auto"/>
        </w:rPr>
      </w:pPr>
    </w:p>
    <w:p>
      <w:pPr>
        <w:ind w:left="2960" w:right="140" w:hanging="674"/>
        <w:spacing w:after="0" w:line="264" w:lineRule="auto"/>
        <w:tabs>
          <w:tab w:leader="none" w:pos="2960" w:val="left"/>
        </w:tabs>
        <w:numPr>
          <w:ilvl w:val="3"/>
          <w:numId w:val="96"/>
        </w:numPr>
        <w:rPr>
          <w:rFonts w:ascii="Arial" w:cs="Arial" w:eastAsia="Arial" w:hAnsi="Arial"/>
          <w:sz w:val="18"/>
          <w:szCs w:val="18"/>
          <w:color w:val="auto"/>
        </w:rPr>
      </w:pPr>
      <w:r>
        <w:rPr>
          <w:rFonts w:ascii="Arial" w:cs="Arial" w:eastAsia="Arial" w:hAnsi="Arial"/>
          <w:sz w:val="18"/>
          <w:szCs w:val="18"/>
          <w:color w:val="auto"/>
        </w:rPr>
        <w:t>making, repair, receipt, use, importing, sale or disposal (and offers to do any of the foregoing) of Provided Elements (or having others do any of the foregoing, in whole or in part, on behalf of or at the direction of the Indemnified Parties), or</w:t>
      </w:r>
    </w:p>
    <w:p>
      <w:pPr>
        <w:spacing w:after="0" w:line="86" w:lineRule="exact"/>
        <w:rPr>
          <w:rFonts w:ascii="Arial" w:cs="Arial" w:eastAsia="Arial" w:hAnsi="Arial"/>
          <w:sz w:val="18"/>
          <w:szCs w:val="18"/>
          <w:color w:val="auto"/>
        </w:rPr>
      </w:pPr>
    </w:p>
    <w:p>
      <w:pPr>
        <w:ind w:left="2960" w:right="40" w:hanging="674"/>
        <w:spacing w:after="0" w:line="264" w:lineRule="auto"/>
        <w:tabs>
          <w:tab w:leader="none" w:pos="2960" w:val="left"/>
        </w:tabs>
        <w:numPr>
          <w:ilvl w:val="3"/>
          <w:numId w:val="96"/>
        </w:numPr>
        <w:rPr>
          <w:rFonts w:ascii="Arial" w:cs="Arial" w:eastAsia="Arial" w:hAnsi="Arial"/>
          <w:sz w:val="18"/>
          <w:szCs w:val="18"/>
          <w:color w:val="auto"/>
        </w:rPr>
      </w:pPr>
      <w:r>
        <w:rPr>
          <w:rFonts w:ascii="Arial" w:cs="Arial" w:eastAsia="Arial" w:hAnsi="Arial"/>
          <w:sz w:val="18"/>
          <w:szCs w:val="18"/>
          <w:color w:val="auto"/>
        </w:rPr>
        <w:t>use of Provided Elements in [***] with products, hardware, software, interfaces, systems, content, services, processes, methods, documents, materials, data or information [***], including, for example, use in the [***] of such Provided Elements (a “[***] Claim”);</w:t>
      </w:r>
    </w:p>
    <w:p>
      <w:pPr>
        <w:spacing w:after="0" w:line="87" w:lineRule="exact"/>
        <w:rPr>
          <w:sz w:val="20"/>
          <w:szCs w:val="20"/>
          <w:color w:val="auto"/>
        </w:rPr>
      </w:pPr>
    </w:p>
    <w:p>
      <w:pPr>
        <w:ind w:left="2960" w:right="40" w:hanging="674"/>
        <w:spacing w:after="0" w:line="277" w:lineRule="auto"/>
        <w:tabs>
          <w:tab w:leader="none" w:pos="2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misappropriation of any trade secret, proprietary or non-public information in connection with the Provided Elements;</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any and all such Loss referenced in this Section b, “Obligations”, being hereinafter referred to as a “Covered Loss.”</w:t>
      </w:r>
    </w:p>
    <w:p>
      <w:pPr>
        <w:spacing w:after="0" w:line="131" w:lineRule="exact"/>
        <w:rPr>
          <w:sz w:val="20"/>
          <w:szCs w:val="20"/>
          <w:color w:val="auto"/>
        </w:rPr>
      </w:pPr>
    </w:p>
    <w:p>
      <w:pPr>
        <w:ind w:left="1480" w:right="240" w:hanging="680"/>
        <w:spacing w:after="0" w:line="264" w:lineRule="auto"/>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Insofar as Supplier’s obligations under paragraph b.1. result from, arise out of, or relate to a Covered Claim that is a [***] Claim, Supplier shall be liable to pay [***] of the Covered Loss associated with such [***] Claim. [***]. If Supplier believes AT&amp;T’s</w:t>
      </w:r>
    </w:p>
    <w:p>
      <w:pPr>
        <w:spacing w:after="0" w:line="110"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40"/>
          </w:cols>
          <w:pgMar w:left="920" w:top="274" w:right="239" w:bottom="1440" w:gutter="0" w:footer="0" w:header="0"/>
        </w:sectPr>
      </w:pPr>
    </w:p>
    <w:bookmarkStart w:id="138" w:name="page139"/>
    <w:bookmarkEnd w:id="138"/>
    <w:p>
      <w:pPr>
        <w:ind w:left="68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960" w:right="160"/>
        <w:spacing w:after="0" w:line="259" w:lineRule="auto"/>
        <w:rPr>
          <w:sz w:val="20"/>
          <w:szCs w:val="20"/>
          <w:color w:val="auto"/>
        </w:rPr>
      </w:pPr>
      <w:r>
        <w:rPr>
          <w:rFonts w:ascii="Arial" w:cs="Arial" w:eastAsia="Arial" w:hAnsi="Arial"/>
          <w:sz w:val="18"/>
          <w:szCs w:val="18"/>
          <w:color w:val="auto"/>
        </w:rPr>
        <w:t>assessment of Supplier’s [***] is not fair and equitable, then Supplier’s [***] shall be determined, insofar as possible, through good faith negotiation between the Parties and, ultimately, through the dispute resolution process in this Agreement; provided, however, that a failure of the Parties to agree on Supplier’s [***] shall not relieve Supplier of its obligations to pay its [***] under this Section.</w:t>
      </w:r>
    </w:p>
    <w:p>
      <w:pPr>
        <w:spacing w:after="0" w:line="92" w:lineRule="exact"/>
        <w:rPr>
          <w:sz w:val="20"/>
          <w:szCs w:val="20"/>
          <w:color w:val="auto"/>
        </w:rPr>
      </w:pPr>
    </w:p>
    <w:p>
      <w:pPr>
        <w:ind w:left="960" w:right="40" w:hanging="680"/>
        <w:spacing w:after="0" w:line="273" w:lineRule="auto"/>
        <w:tabs>
          <w:tab w:leader="none" w:pos="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AT&amp;T shall have sole control over the defense of any [***] Claim. Supplier shall cooperate in every reasonable way with AT&amp;T to facilitate the defense and may, at its option and at its own expense, participate with AT&amp;T in the defense with counsel of its own choosing. Where AT&amp;T controls the defense under this paragraph, AT&amp;T shall make good faith efforts to enter into a reasonable joint defense or common interest agreement with Supplier, which agreement Supplier shall negotiate in good faith; provided, however, that Supplier shall not be required to provide any information or assistance to AT&amp;T unless or until a joint defense or common interest agreement is entered into by the Parties.</w:t>
      </w:r>
    </w:p>
    <w:p>
      <w:pPr>
        <w:spacing w:after="0" w:line="83" w:lineRule="exact"/>
        <w:rPr>
          <w:rFonts w:ascii="Arial" w:cs="Arial" w:eastAsia="Arial" w:hAnsi="Arial"/>
          <w:sz w:val="17"/>
          <w:szCs w:val="17"/>
          <w:color w:val="auto"/>
        </w:rPr>
      </w:pPr>
    </w:p>
    <w:p>
      <w:pPr>
        <w:ind w:left="960" w:right="20" w:hanging="680"/>
        <w:spacing w:after="0" w:line="270" w:lineRule="auto"/>
        <w:tabs>
          <w:tab w:leader="none" w:pos="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Insofar as Supplier’s obligations under paragraph b.1. result from, arise out of, or relate to </w:t>
      </w:r>
      <w:r>
        <w:rPr>
          <w:rFonts w:ascii="Arial" w:cs="Arial" w:eastAsia="Arial" w:hAnsi="Arial"/>
          <w:sz w:val="17"/>
          <w:szCs w:val="17"/>
          <w:u w:val="single" w:color="auto"/>
          <w:color w:val="auto"/>
        </w:rPr>
        <w:t>other</w:t>
      </w:r>
      <w:r>
        <w:rPr>
          <w:rFonts w:ascii="Arial" w:cs="Arial" w:eastAsia="Arial" w:hAnsi="Arial"/>
          <w:sz w:val="17"/>
          <w:szCs w:val="17"/>
          <w:color w:val="auto"/>
        </w:rPr>
        <w:t xml:space="preserve"> than a [***] Claim, Supplier shall have control of the defense of the Covered Claim. In the event that Supplier controls the defense of the Covered Claim, Supplier shall retain as its lead counsel, subject to AT&amp;T’s approval, one or more competent attorneys from a nationally recognized law firm who have significant experience in litigating intellectual property claims of the type at issue; and the Indemnified Parties may, at their option and expense, participate with Supplier in the defense of such Covered Claim. Where Supplier controls the defense under this paragraph, Supplier shall make good faith efforts to enter into a reasonable joint defense or common interest agreement with AT&amp;T, which agreement AT&amp;T shall negotiate in good faith; provided, however, that AT&amp;T shall not be required to provide any information or assistance to Supplier unless or until a joint defense or common interest agreement is entered into by the Parties.</w:t>
      </w:r>
    </w:p>
    <w:p>
      <w:pPr>
        <w:spacing w:after="0" w:line="87" w:lineRule="exact"/>
        <w:rPr>
          <w:rFonts w:ascii="Arial" w:cs="Arial" w:eastAsia="Arial" w:hAnsi="Arial"/>
          <w:sz w:val="17"/>
          <w:szCs w:val="17"/>
          <w:color w:val="auto"/>
        </w:rPr>
      </w:pPr>
    </w:p>
    <w:p>
      <w:pPr>
        <w:ind w:left="960" w:right="160" w:hanging="680"/>
        <w:spacing w:after="0" w:line="264"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AT&amp;T shall notify Supplier promptly of any Covered Claim; provided, however, that any delay in such notice shall not relieve Supplier of its obligations under this Section, except to the extent that Supplier can show such delay actually and materially prejudiced Supplier.</w:t>
      </w:r>
    </w:p>
    <w:p>
      <w:pPr>
        <w:spacing w:after="0" w:line="86" w:lineRule="exact"/>
        <w:rPr>
          <w:rFonts w:ascii="Arial" w:cs="Arial" w:eastAsia="Arial" w:hAnsi="Arial"/>
          <w:sz w:val="18"/>
          <w:szCs w:val="18"/>
          <w:color w:val="auto"/>
        </w:rPr>
      </w:pPr>
    </w:p>
    <w:p>
      <w:pPr>
        <w:ind w:left="960" w:right="40" w:hanging="680"/>
        <w:spacing w:after="0" w:line="276" w:lineRule="auto"/>
        <w:tabs>
          <w:tab w:leader="none" w:pos="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no event shall Supplier settle, without AT&amp;T’s prior written consent which shall not unreasonably be withheld, any Covered Claim, in whole or in part, in a manner that would require any Indemnified Party to discontinue or materially modify its products or services (or offerings thereof). In no event shall Supplier enter into any agreement related to any Covered Claim or to the Intellectual Property Rights asserted therein that discharges or mitigates Supplier’s liability to the third-party claimant but fails to fully discharge all of AT&amp;T’s liabilities as to the Covered Loss.</w:t>
      </w:r>
    </w:p>
    <w:p>
      <w:pPr>
        <w:spacing w:after="0" w:line="10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20"/>
          </w:cols>
          <w:pgMar w:left="1440" w:top="27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hanging="797"/>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Continued Use of Provided Elements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20"/>
        <w:spacing w:after="0" w:line="267" w:lineRule="auto"/>
        <w:rPr>
          <w:rFonts w:ascii="Arial" w:cs="Arial" w:eastAsia="Arial" w:hAnsi="Arial"/>
          <w:sz w:val="18"/>
          <w:szCs w:val="18"/>
          <w:color w:val="auto"/>
        </w:rPr>
      </w:pPr>
      <w:r>
        <w:rPr>
          <w:rFonts w:ascii="Arial" w:cs="Arial" w:eastAsia="Arial" w:hAnsi="Arial"/>
          <w:sz w:val="17"/>
          <w:szCs w:val="17"/>
          <w:color w:val="auto"/>
        </w:rPr>
        <w:t>Without in any manner limiting the foregoing indemnification, if, as a result of a Covered Claim (other than a [***] Claim), (i) the Indemnified Parties’ rights under this Agreement are restricted or diminished; or (ii) an injunction, exclusion order, or other order from a court, arbitrator or other competent tribunal or governmental authority preventing or restricting the Indemnified Parties’ use or enjoyment of the Provided Elements is issued, imminent, or reasonably likely to be issued, then, in addition to its other obligations set forth in this Section, Supplier, in any case at its sole expense and at no loss, cost or damage to the Indemnified Parties or their customers, shall use commercially reasonable efforts to obtain for the Indemnified Parties the right to continue using or conducting other activities with respect to the Provided Elements; provided that if Supplier is unable to obtain such right, Supplier shall, after consulting with and obtaining the written approval of the Indemnified Parties, provide modified or replacement non-infringing Provided Elements that are equally suitable and functionally equivalent while retaining the quality of the original Provided Elements and complying fully with all the representations and warranties set forth in this Agreement; provided further that if Supplier is unable in this way to provide such modified or replacement non-infringing Provided Elements, AT&amp;T shall, at its option: (i) terminate this Agreement with respect to the Provided Elements or (ii) require Supplier, as applicable, to remove, return, or discontinue use of the Provided Elements, and, in case of either (i) or (ii), to require Supplier to refund to AT&amp;T the purchase price thereof or other monies paid therefor (subject to reduction based on the amount of depreciation or amortization over the useful life of the Provided Elements at issue) and to reimburse AT&amp;T for any and all reasonable out-of-pocket expenses of removing, returning, or discontinuing such Provided Elements. If, as a result of a [***] Claim, (i) the Indemnified Parties’ rights under this Agreement are restricted or diminished; or (ii) an injunction, exclusion order, or other order from a court, arbitrator or other competent tribunal or governmental authority preventing or restricting the Indemnified Parties’ use or enjoyment of the Provided Elements is issued, imminent, or reasonably likely to be issued, and Supplier, after using commercially reasonable efforts ([***]) per [***] Claim or [***] period for all [***] Claims in [***] period, which amounts, together with any other amounts paid with respect to such [***] Claim, [***]Claims set forth in Subsection b.ii. above), cannot provide a technically feasible non-infringing [***], operation or use of the Provided Elements in the [***] at issue, then if Supplier obtains and provides AT&amp;T with a written opinion from outside counsel with a national reputation in intellectual property law that no valid non-infringement or invalidity defenses exist as to the Covered Claim, AT&amp;T shall either cease using the Provided Elements within the [***] giving rise to the [***]Claim or Supplier shall have no further obligation to indemnify AT&amp;T with respect to Losses associated with such [***] Claim after the date on which written opinion is provided to AT&amp;T.</w:t>
      </w:r>
    </w:p>
    <w:p>
      <w:pPr>
        <w:spacing w:after="0" w:line="87" w:lineRule="exact"/>
        <w:rPr>
          <w:rFonts w:ascii="Arial" w:cs="Arial" w:eastAsia="Arial" w:hAnsi="Arial"/>
          <w:sz w:val="18"/>
          <w:szCs w:val="18"/>
          <w:color w:val="auto"/>
        </w:rPr>
      </w:pPr>
    </w:p>
    <w:p>
      <w:pPr>
        <w:ind w:left="800" w:right="340" w:hanging="797"/>
        <w:spacing w:after="0" w:line="264" w:lineRule="auto"/>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Elimination of Charges</w:t>
      </w:r>
      <w:r>
        <w:rPr>
          <w:rFonts w:ascii="Arial" w:cs="Arial" w:eastAsia="Arial" w:hAnsi="Arial"/>
          <w:sz w:val="18"/>
          <w:szCs w:val="18"/>
          <w:color w:val="auto"/>
        </w:rPr>
        <w:t>. After AT&amp;T ceases, as a result of actual or claimed infringement or misappropriation, to exercise the rights granted under this Agreement with respect to the Provided Elements, AT&amp;T has no obligation to pay Supplier any charges that would otherwise be due under this Agreement for such rights.</w:t>
      </w:r>
    </w:p>
    <w:p>
      <w:pPr>
        <w:spacing w:after="0" w:line="110"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40"/>
          </w:cols>
          <w:pgMar w:left="920" w:top="274"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320" w:hanging="797"/>
        <w:spacing w:after="0" w:line="277" w:lineRule="auto"/>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xml:space="preserve"> Supplier shall have no liability or obligation to any of the Indemnified Parties for that portion of a Covered Loss which is based on (and only to the extent such portion is based on):</w:t>
      </w:r>
    </w:p>
    <w:p>
      <w:pPr>
        <w:spacing w:after="0" w:line="75" w:lineRule="exact"/>
        <w:rPr>
          <w:rFonts w:ascii="Arial" w:cs="Arial" w:eastAsia="Arial" w:hAnsi="Arial"/>
          <w:sz w:val="18"/>
          <w:szCs w:val="18"/>
          <w:color w:val="auto"/>
        </w:rPr>
      </w:pPr>
    </w:p>
    <w:p>
      <w:pPr>
        <w:ind w:left="1480" w:right="160" w:hanging="680"/>
        <w:spacing w:after="0" w:line="277" w:lineRule="auto"/>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use of the Provided Elements by the Indemnified Parties in a manner that constitutes a breach of the scope of the license terms under this Agreement or an Order; or</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 unauthorized modification of the Provided Elements by or on behalf of an Indemnified Party; or</w:t>
      </w:r>
    </w:p>
    <w:p>
      <w:pPr>
        <w:spacing w:after="0" w:line="130" w:lineRule="exact"/>
        <w:rPr>
          <w:rFonts w:ascii="Arial" w:cs="Arial" w:eastAsia="Arial" w:hAnsi="Arial"/>
          <w:sz w:val="18"/>
          <w:szCs w:val="18"/>
          <w:color w:val="auto"/>
        </w:rPr>
      </w:pPr>
    </w:p>
    <w:p>
      <w:pPr>
        <w:ind w:left="1480" w:right="180" w:hanging="680"/>
        <w:spacing w:after="0" w:line="277" w:lineRule="auto"/>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Supplier’s contractually required conformance to the Indemnified Party’s written specifications, unless any one or more of the following is true:</w:t>
      </w:r>
    </w:p>
    <w:p>
      <w:pPr>
        <w:spacing w:after="0" w:line="75" w:lineRule="exact"/>
        <w:rPr>
          <w:rFonts w:ascii="Arial" w:cs="Arial" w:eastAsia="Arial" w:hAnsi="Arial"/>
          <w:sz w:val="18"/>
          <w:szCs w:val="18"/>
          <w:color w:val="auto"/>
        </w:rPr>
      </w:pPr>
    </w:p>
    <w:p>
      <w:pPr>
        <w:jc w:val="both"/>
        <w:ind w:left="2280" w:right="180" w:hanging="791"/>
        <w:spacing w:after="0" w:line="264" w:lineRule="auto"/>
        <w:tabs>
          <w:tab w:leader="none" w:pos="22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Provided Elements are or have been provided by or on behalf of Supplier to any third party at any time prior to receipt of the written specification from the Indemnified Party and other than as a result of Supplier’s conformance to specifications provided by such third party; or</w:t>
      </w:r>
    </w:p>
    <w:p>
      <w:pPr>
        <w:spacing w:after="0" w:line="86" w:lineRule="exact"/>
        <w:rPr>
          <w:rFonts w:ascii="Arial" w:cs="Arial" w:eastAsia="Arial" w:hAnsi="Arial"/>
          <w:sz w:val="18"/>
          <w:szCs w:val="18"/>
          <w:color w:val="auto"/>
        </w:rPr>
      </w:pPr>
    </w:p>
    <w:p>
      <w:pPr>
        <w:ind w:left="2280" w:right="720" w:hanging="791"/>
        <w:spacing w:after="0" w:line="277" w:lineRule="auto"/>
        <w:tabs>
          <w:tab w:leader="none" w:pos="22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Supplier knew that such specifications for the Provided Elements were infringing and failed to implement a technically feasible non-infringing means of complying with those specifications; or</w:t>
      </w:r>
    </w:p>
    <w:p>
      <w:pPr>
        <w:spacing w:after="0" w:line="75" w:lineRule="exact"/>
        <w:rPr>
          <w:rFonts w:ascii="Arial" w:cs="Arial" w:eastAsia="Arial" w:hAnsi="Arial"/>
          <w:sz w:val="18"/>
          <w:szCs w:val="18"/>
          <w:color w:val="auto"/>
        </w:rPr>
      </w:pPr>
    </w:p>
    <w:p>
      <w:pPr>
        <w:ind w:left="2280" w:right="180" w:hanging="791"/>
        <w:spacing w:after="0" w:line="277" w:lineRule="auto"/>
        <w:tabs>
          <w:tab w:leader="none" w:pos="22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relevant specifications for the Provided Elements are of Supplier’s (or one or more of its sub-suppliers’) origin, design, or selection.</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use of the Provided Elements by the Indemnified Parties [***] that the Indemnified Parties knew was infringing.</w:t>
      </w:r>
    </w:p>
    <w:p>
      <w:pPr>
        <w:spacing w:after="0" w:line="130" w:lineRule="exact"/>
        <w:rPr>
          <w:rFonts w:ascii="Arial" w:cs="Arial" w:eastAsia="Arial" w:hAnsi="Arial"/>
          <w:sz w:val="18"/>
          <w:szCs w:val="18"/>
          <w:color w:val="auto"/>
        </w:rPr>
      </w:pPr>
    </w:p>
    <w:p>
      <w:pPr>
        <w:ind w:left="1480" w:right="20" w:hanging="680"/>
        <w:spacing w:after="0" w:line="259" w:lineRule="auto"/>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 Claim alleging infringement of a patent that issued after the date on which the Provided Element was provided to AT&amp;T, if such Provided Element constitutes Paid for Development under this Agreement, except to the extent Amdocs Pre-Existing Materials, Amdocs Independently Developed Materials, or Amdocs Mere Reconfigurations embedded therein caused the infringement.</w:t>
      </w:r>
    </w:p>
    <w:p>
      <w:pPr>
        <w:spacing w:after="0" w:line="92" w:lineRule="exact"/>
        <w:rPr>
          <w:rFonts w:ascii="Arial" w:cs="Arial" w:eastAsia="Arial" w:hAnsi="Arial"/>
          <w:sz w:val="18"/>
          <w:szCs w:val="18"/>
          <w:color w:val="auto"/>
        </w:rPr>
      </w:pPr>
    </w:p>
    <w:p>
      <w:pPr>
        <w:ind w:left="800" w:right="140" w:hanging="797"/>
        <w:spacing w:after="0" w:line="255" w:lineRule="auto"/>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OTHER LIMITATIONS OF LIABILITY NOT APPLICABLE.</w:t>
      </w:r>
      <w:r>
        <w:rPr>
          <w:rFonts w:ascii="Arial" w:cs="Arial" w:eastAsia="Arial" w:hAnsi="Arial"/>
          <w:sz w:val="18"/>
          <w:szCs w:val="18"/>
          <w:color w:val="auto"/>
        </w:rPr>
        <w:t xml:space="preserve"> NOTWITHSTANDING ANY OTHER PROVISION IN THIS AGREEMENT TO THE CONTRARY (AND WHETHER OR NOT SUCH A PROVISION CONTAINS LANGUAGE TO THE EFFECT THAT THE PROVISION TAKES PRECEDENCE OVER OTHER PROVISIONS CONTRARY TO IT), WHETHER EXPRESS OR IMPLIED, NONE OF THE LIMITATIONS OF LIABILITY (INCLUDING, WITHOUT LIMITATION, ANY LIMITATIONS REGARDING TYPES OF OR AMOUNTS OF DAMAGES OR LIABILITIES) CONTAINED ANYWHERE IN THIS AGREEMENT WILL APPLY TO SUPPLIER’S OBLIGATIONS UNDER THIS SECTION.</w:t>
      </w:r>
    </w:p>
    <w:p>
      <w:pPr>
        <w:spacing w:after="0" w:line="122"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40"/>
          </w:cols>
          <w:pgMar w:left="920" w:top="274"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color w:val="auto"/>
        </w:rPr>
        <w:t>Insurance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Parties agree that this Section shall apply to all existing Orders between AT&amp;T and Supplier.</w:t>
      </w:r>
    </w:p>
    <w:p>
      <w:pPr>
        <w:spacing w:after="0" w:line="131" w:lineRule="exact"/>
        <w:rPr>
          <w:sz w:val="20"/>
          <w:szCs w:val="20"/>
          <w:color w:val="auto"/>
        </w:rPr>
      </w:pPr>
    </w:p>
    <w:p>
      <w:pPr>
        <w:ind w:left="1480" w:right="560" w:hanging="797"/>
        <w:spacing w:after="0" w:line="277"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Supplier’s performance under this Agreement, and in addition to Supplier’s obligation to indemnify, Supplier shall comply with this Section, at its sole cost and expense.</w:t>
      </w:r>
    </w:p>
    <w:p>
      <w:pPr>
        <w:spacing w:after="0" w:line="75" w:lineRule="exact"/>
        <w:rPr>
          <w:rFonts w:ascii="Arial" w:cs="Arial" w:eastAsia="Arial" w:hAnsi="Arial"/>
          <w:sz w:val="18"/>
          <w:szCs w:val="18"/>
          <w:color w:val="auto"/>
        </w:rPr>
      </w:pPr>
    </w:p>
    <w:p>
      <w:pPr>
        <w:ind w:left="1480" w:right="300" w:hanging="797"/>
        <w:spacing w:after="0" w:line="277"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Supplier shall maintain insurance coverages and limits required by this Section and any additional insurance and/or bonds required by law:</w:t>
      </w:r>
    </w:p>
    <w:p>
      <w:pPr>
        <w:spacing w:after="0" w:line="75" w:lineRule="exact"/>
        <w:rPr>
          <w:rFonts w:ascii="Arial" w:cs="Arial" w:eastAsia="Arial" w:hAnsi="Arial"/>
          <w:sz w:val="18"/>
          <w:szCs w:val="18"/>
          <w:color w:val="auto"/>
        </w:rPr>
      </w:pPr>
    </w:p>
    <w:p>
      <w:pPr>
        <w:ind w:left="2160" w:right="60" w:hanging="680"/>
        <w:spacing w:after="0" w:line="277" w:lineRule="auto"/>
        <w:tabs>
          <w:tab w:leader="none" w:pos="2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at all times during the term of this Agreement and until completion of all Services associated with this Agreement, whichever is later; and</w:t>
      </w:r>
    </w:p>
    <w:p>
      <w:pPr>
        <w:spacing w:after="0" w:line="75" w:lineRule="exact"/>
        <w:rPr>
          <w:rFonts w:ascii="Arial" w:cs="Arial" w:eastAsia="Arial" w:hAnsi="Arial"/>
          <w:sz w:val="18"/>
          <w:szCs w:val="18"/>
          <w:color w:val="auto"/>
        </w:rPr>
      </w:pPr>
    </w:p>
    <w:p>
      <w:pPr>
        <w:ind w:left="2160" w:right="220" w:hanging="680"/>
        <w:spacing w:after="0" w:line="264" w:lineRule="auto"/>
        <w:tabs>
          <w:tab w:leader="none" w:pos="2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with respect to any coverage maintained in a “claims-made” policy, for two (2) years following the term of this Agreement or completion of all Services associated with this Agreement, whichever is later. If a “claims-made” policy is maintained, the retroactive date must precede the commencement of Services under this Agreement;</w:t>
      </w:r>
    </w:p>
    <w:p>
      <w:pPr>
        <w:spacing w:after="0" w:line="86" w:lineRule="exact"/>
        <w:rPr>
          <w:rFonts w:ascii="Arial" w:cs="Arial" w:eastAsia="Arial" w:hAnsi="Arial"/>
          <w:sz w:val="18"/>
          <w:szCs w:val="18"/>
          <w:color w:val="auto"/>
        </w:rPr>
      </w:pPr>
    </w:p>
    <w:p>
      <w:pPr>
        <w:ind w:left="1480" w:right="80" w:hanging="797"/>
        <w:spacing w:after="0" w:line="302" w:lineRule="auto"/>
        <w:tabs>
          <w:tab w:leader="none" w:pos="14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Supplier shall procure the required insurance from an insurance company eligible to do business in the state or states where Services will be performed and having and maintaining a Financial Strength Rating of “A-” or better and a Financial Size Category of “VII” or better, as rated in the A.M. Best Key Rating Guide for Property and Casualty Insurance Companies, except that, in the case of Workers’ Compensation insurance, Supplier may procure insurance from the state fund of the state where Services are to be performed.</w:t>
      </w:r>
    </w:p>
    <w:p>
      <w:pPr>
        <w:spacing w:after="0" w:line="59" w:lineRule="exact"/>
        <w:rPr>
          <w:rFonts w:ascii="Arial" w:cs="Arial" w:eastAsia="Arial" w:hAnsi="Arial"/>
          <w:sz w:val="16"/>
          <w:szCs w:val="16"/>
          <w:color w:val="auto"/>
        </w:rPr>
      </w:pPr>
    </w:p>
    <w:p>
      <w:pPr>
        <w:ind w:left="1480" w:right="140" w:hanging="797"/>
        <w:spacing w:after="0" w:line="264"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Supplier shall deliver to AT&amp;T certificates of insurance stating the types of insurance and policy limits. Supplier shall provide or will endeavor to have the issuing insurance company provide at least thirty (30) days advance written notice of cancellation, non-renewal, or reduction in coverage, terms, or limits to AT&amp;T. Supplier shall deliver such certificates:</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prior to execution of this Agreement and prior to commencement of any Services;</w:t>
      </w:r>
    </w:p>
    <w:p>
      <w:pPr>
        <w:spacing w:after="0" w:line="130" w:lineRule="exact"/>
        <w:rPr>
          <w:rFonts w:ascii="Arial" w:cs="Arial" w:eastAsia="Arial" w:hAnsi="Arial"/>
          <w:sz w:val="18"/>
          <w:szCs w:val="18"/>
          <w:color w:val="auto"/>
        </w:rPr>
      </w:pPr>
    </w:p>
    <w:p>
      <w:pPr>
        <w:ind w:left="2160" w:right="320" w:hanging="680"/>
        <w:spacing w:after="0" w:line="277" w:lineRule="auto"/>
        <w:tabs>
          <w:tab w:leader="none" w:pos="2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connection with a policy renewal or replacement, no later than fourteen (14) days following expiration of the then-current insurance policy required in this Section; and</w:t>
      </w:r>
    </w:p>
    <w:p>
      <w:pPr>
        <w:spacing w:after="0" w:line="75" w:lineRule="exact"/>
        <w:rPr>
          <w:rFonts w:ascii="Arial" w:cs="Arial" w:eastAsia="Arial" w:hAnsi="Arial"/>
          <w:sz w:val="18"/>
          <w:szCs w:val="18"/>
          <w:color w:val="auto"/>
        </w:rPr>
      </w:pPr>
    </w:p>
    <w:p>
      <w:pPr>
        <w:ind w:left="2160" w:right="180" w:hanging="680"/>
        <w:spacing w:after="0" w:line="277" w:lineRule="auto"/>
        <w:tabs>
          <w:tab w:leader="none" w:pos="2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for any coverage maintained on a “claims-made” policy, for two (2) years following the term of this Agreement or completion of all Services associated with this Agreement, whichever is later.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130" w:lineRule="exact"/>
        <w:rPr>
          <w:rFonts w:ascii="Arial" w:cs="Arial" w:eastAsia="Arial" w:hAnsi="Arial"/>
          <w:sz w:val="18"/>
          <w:szCs w:val="18"/>
          <w:color w:val="auto"/>
        </w:rPr>
      </w:pPr>
    </w:p>
    <w:p>
      <w:pPr>
        <w:ind w:left="2160" w:right="60" w:hanging="680"/>
        <w:spacing w:after="0" w:line="277" w:lineRule="auto"/>
        <w:tabs>
          <w:tab w:leader="none" w:pos="2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failure of AT&amp;T to demand such certificate of insurance or failure of AT&amp;T to identify a deficiency will not be construed as a waiver of Supplier’s obligation to maintain the insurance required under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140" w:hanging="680"/>
        <w:spacing w:after="0" w:line="277"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insurance required under this Agreement does not represent that coverage and limits will necessarily be adequate to protect Supplier, nor will it be deemed as a limitation on Supplier’s liability to AT&amp;T in this Agreement;</w:t>
      </w:r>
    </w:p>
    <w:p>
      <w:pPr>
        <w:spacing w:after="0" w:line="75" w:lineRule="exact"/>
        <w:rPr>
          <w:rFonts w:ascii="Arial" w:cs="Arial" w:eastAsia="Arial" w:hAnsi="Arial"/>
          <w:sz w:val="18"/>
          <w:szCs w:val="18"/>
          <w:color w:val="auto"/>
        </w:rPr>
      </w:pPr>
    </w:p>
    <w:p>
      <w:pPr>
        <w:ind w:left="1480" w:right="680" w:hanging="680"/>
        <w:spacing w:after="0" w:line="277"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Supplier may meet the required insurance coverages and limits with any[***] of primary and Umbrella/Excess liability insurance; and</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Supplier is responsible for any deductible or self-insured retention.</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insurance coverage required of Supplier by this Section shall include:</w:t>
      </w:r>
    </w:p>
    <w:p>
      <w:pPr>
        <w:spacing w:after="0" w:line="130" w:lineRule="exact"/>
        <w:rPr>
          <w:rFonts w:ascii="Arial" w:cs="Arial" w:eastAsia="Arial" w:hAnsi="Arial"/>
          <w:sz w:val="18"/>
          <w:szCs w:val="18"/>
          <w:color w:val="auto"/>
        </w:rPr>
      </w:pPr>
    </w:p>
    <w:p>
      <w:pPr>
        <w:ind w:left="1480" w:right="180" w:hanging="680"/>
        <w:spacing w:after="0" w:line="277" w:lineRule="auto"/>
        <w:tabs>
          <w:tab w:leader="none" w:pos="14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Workers’ Compensation insurance with benefits afforded under the laws of the state in which the Services are to be performed and Employers Liability insurance with limits of at least:</w:t>
      </w:r>
    </w:p>
    <w:p>
      <w:pPr>
        <w:spacing w:after="0" w:line="75" w:lineRule="exact"/>
        <w:rPr>
          <w:rFonts w:ascii="Arial" w:cs="Arial" w:eastAsia="Arial" w:hAnsi="Arial"/>
          <w:sz w:val="18"/>
          <w:szCs w:val="18"/>
          <w:color w:val="auto"/>
        </w:rPr>
      </w:pPr>
    </w:p>
    <w:p>
      <w:pPr>
        <w:ind w:left="2280" w:hanging="791"/>
        <w:spacing w:after="0"/>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$500,000 for Bodily Injury – each accident</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$500,000 for Bodily Injury be disease – policy limits</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$500,000 for Bodily Injury by disease – each employee</w:t>
      </w:r>
    </w:p>
    <w:p>
      <w:pPr>
        <w:spacing w:after="0" w:line="130" w:lineRule="exact"/>
        <w:rPr>
          <w:rFonts w:ascii="Arial" w:cs="Arial" w:eastAsia="Arial" w:hAnsi="Arial"/>
          <w:sz w:val="18"/>
          <w:szCs w:val="18"/>
          <w:color w:val="auto"/>
        </w:rPr>
      </w:pPr>
    </w:p>
    <w:p>
      <w:pPr>
        <w:ind w:left="2280" w:right="600" w:hanging="791"/>
        <w:spacing w:after="0" w:line="277" w:lineRule="auto"/>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To the fullest extent allowable by Law, the policy must include a waiver of subrogation in favor of AT&amp;T, its Affiliates, and their directors, officers and employees.</w:t>
      </w:r>
    </w:p>
    <w:p>
      <w:pPr>
        <w:spacing w:after="0" w:line="75" w:lineRule="exact"/>
        <w:rPr>
          <w:rFonts w:ascii="Arial" w:cs="Arial" w:eastAsia="Arial" w:hAnsi="Arial"/>
          <w:sz w:val="18"/>
          <w:szCs w:val="18"/>
          <w:color w:val="auto"/>
        </w:rPr>
      </w:pPr>
    </w:p>
    <w:p>
      <w:pPr>
        <w:ind w:left="2280" w:right="240" w:hanging="791"/>
        <w:spacing w:after="0" w:line="277" w:lineRule="auto"/>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In states where Workers’ Compensation insurance is a monopolistic state-run system, Supplier shall add Stop Gap Employers Liability with limits not less than $500,000 each accident or disease.</w:t>
      </w:r>
    </w:p>
    <w:p>
      <w:pPr>
        <w:spacing w:after="0" w:line="75" w:lineRule="exact"/>
        <w:rPr>
          <w:rFonts w:ascii="Arial" w:cs="Arial" w:eastAsia="Arial" w:hAnsi="Arial"/>
          <w:sz w:val="18"/>
          <w:szCs w:val="18"/>
          <w:color w:val="auto"/>
        </w:rPr>
      </w:pPr>
    </w:p>
    <w:p>
      <w:pPr>
        <w:ind w:left="1480" w:right="140" w:hanging="680"/>
        <w:spacing w:after="0" w:line="259" w:lineRule="auto"/>
        <w:tabs>
          <w:tab w:leader="none" w:pos="14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Insurance Services Office (ISO) Form CG 00 01 12 04 or a substitute form providing equivalent coverage, covering liability arising from premises, operations, personal injury, products/completed operations, and liability assumed under an insured contract (including the tort liability of another assumed in a business contract) with limits of at least:</w:t>
      </w:r>
    </w:p>
    <w:p>
      <w:pPr>
        <w:spacing w:after="0" w:line="92" w:lineRule="exact"/>
        <w:rPr>
          <w:rFonts w:ascii="Arial" w:cs="Arial" w:eastAsia="Arial" w:hAnsi="Arial"/>
          <w:sz w:val="18"/>
          <w:szCs w:val="18"/>
          <w:color w:val="auto"/>
        </w:rPr>
      </w:pPr>
    </w:p>
    <w:p>
      <w:pPr>
        <w:ind w:left="2280" w:hanging="791"/>
        <w:spacing w:after="0"/>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$2,000,000 General Aggregate limit</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$1,000,000 each occurrence limit for all bodily injury or property damage incurred in any one (1) occurrence</w:t>
      </w:r>
    </w:p>
    <w:p>
      <w:pPr>
        <w:spacing w:after="0" w:line="142" w:lineRule="exact"/>
        <w:rPr>
          <w:rFonts w:ascii="Arial" w:cs="Arial" w:eastAsia="Arial" w:hAnsi="Arial"/>
          <w:sz w:val="17"/>
          <w:szCs w:val="17"/>
          <w:color w:val="auto"/>
        </w:rPr>
      </w:pPr>
    </w:p>
    <w:p>
      <w:pPr>
        <w:ind w:left="2280" w:hanging="791"/>
        <w:spacing w:after="0"/>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$1,000,000 each occurrence limit for Personal Injury and Advertising Injury</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$2,000,000 Products/Completed Operations Aggregate limit</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$1,000,000 each occurrence limit for Products/Completed Operations</w:t>
      </w:r>
    </w:p>
    <w:p>
      <w:pPr>
        <w:spacing w:after="0" w:line="154"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40"/>
          </w:cols>
          <w:pgMar w:left="92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hanging="680"/>
        <w:spacing w:after="0"/>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Commercial General Liability insurance policy must:</w:t>
      </w:r>
    </w:p>
    <w:p>
      <w:pPr>
        <w:spacing w:after="0" w:line="130" w:lineRule="exact"/>
        <w:rPr>
          <w:rFonts w:ascii="Arial" w:cs="Arial" w:eastAsia="Arial" w:hAnsi="Arial"/>
          <w:sz w:val="18"/>
          <w:szCs w:val="18"/>
          <w:color w:val="auto"/>
        </w:rPr>
      </w:pPr>
    </w:p>
    <w:p>
      <w:pPr>
        <w:ind w:left="2280" w:right="80" w:hanging="791"/>
        <w:spacing w:after="0" w:line="276" w:lineRule="auto"/>
        <w:tabs>
          <w:tab w:leader="none" w:pos="228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include AT&amp;T, its Affiliates, and their directors, officers, and employees as Additional Insureds. Supplier shall provide a copy of the Additional Insured endorsement to AT&amp;T. The Additional Insured endorsement may either be specific to AT&amp;T or may be “blanket” or “automatic” addressing any person or entity as required by contract. A copy of the Additional Insured endorsement must be provided within sixty (60) days of execution of this Agreement and within sixty (60) days of each Commercial General Liability policy renewal;</w:t>
      </w:r>
    </w:p>
    <w:p>
      <w:pPr>
        <w:spacing w:after="0" w:line="77" w:lineRule="exact"/>
        <w:rPr>
          <w:rFonts w:ascii="Arial" w:cs="Arial" w:eastAsia="Arial" w:hAnsi="Arial"/>
          <w:sz w:val="17"/>
          <w:szCs w:val="17"/>
          <w:color w:val="auto"/>
        </w:rPr>
      </w:pPr>
    </w:p>
    <w:p>
      <w:pPr>
        <w:ind w:left="2280" w:hanging="791"/>
        <w:spacing w:after="0"/>
        <w:tabs>
          <w:tab w:leader="none" w:pos="228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include a waiver of subrogation in favor of AT&amp;T, its Affiliates, and their directors, officers and employees; and</w:t>
      </w:r>
    </w:p>
    <w:p>
      <w:pPr>
        <w:spacing w:after="0" w:line="142" w:lineRule="exact"/>
        <w:rPr>
          <w:rFonts w:ascii="Arial" w:cs="Arial" w:eastAsia="Arial" w:hAnsi="Arial"/>
          <w:sz w:val="17"/>
          <w:szCs w:val="17"/>
          <w:color w:val="auto"/>
        </w:rPr>
      </w:pPr>
    </w:p>
    <w:p>
      <w:pPr>
        <w:ind w:left="2280" w:hanging="791"/>
        <w:spacing w:after="0"/>
        <w:tabs>
          <w:tab w:leader="none" w:pos="228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be primary and non-contributory with respect to any insurance or self-insurance that is maintained by AT&amp;T.</w:t>
      </w:r>
    </w:p>
    <w:p>
      <w:pPr>
        <w:spacing w:after="0" w:line="142" w:lineRule="exact"/>
        <w:rPr>
          <w:rFonts w:ascii="Arial" w:cs="Arial" w:eastAsia="Arial" w:hAnsi="Arial"/>
          <w:sz w:val="17"/>
          <w:szCs w:val="17"/>
          <w:color w:val="auto"/>
        </w:rPr>
      </w:pPr>
    </w:p>
    <w:p>
      <w:pPr>
        <w:ind w:left="1480" w:right="40" w:hanging="680"/>
        <w:spacing w:after="0" w:line="277"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Business Automobile Liability insurance with limits of at least $1,000,000 each accident for bodily injury and property damage, extending to all owned, hired, and non-owned vehicles.</w:t>
      </w:r>
    </w:p>
    <w:p>
      <w:pPr>
        <w:spacing w:after="0" w:line="75" w:lineRule="exact"/>
        <w:rPr>
          <w:rFonts w:ascii="Arial" w:cs="Arial" w:eastAsia="Arial" w:hAnsi="Arial"/>
          <w:sz w:val="18"/>
          <w:szCs w:val="18"/>
          <w:color w:val="auto"/>
        </w:rPr>
      </w:pPr>
    </w:p>
    <w:p>
      <w:pPr>
        <w:ind w:left="1480" w:right="40" w:hanging="680"/>
        <w:spacing w:after="0" w:line="259"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Umbrella/Excess Liability insurance with limits of at least $1,000,000 each occurrence and with terms and conditions at least as broad as the underlying Commercial General Liability, Business Auto Liability, and Employers Liability policies. Umbrella/Excess Liability limits will be primary and non-contributory with respect to any insurance or self-insurance that is maintained by AT&amp;T.</w:t>
      </w:r>
    </w:p>
    <w:p>
      <w:pPr>
        <w:spacing w:after="0" w:line="92" w:lineRule="exact"/>
        <w:rPr>
          <w:rFonts w:ascii="Arial" w:cs="Arial" w:eastAsia="Arial" w:hAnsi="Arial"/>
          <w:sz w:val="18"/>
          <w:szCs w:val="18"/>
          <w:color w:val="auto"/>
        </w:rPr>
      </w:pPr>
    </w:p>
    <w:p>
      <w:pPr>
        <w:ind w:left="1480" w:right="400" w:hanging="680"/>
        <w:spacing w:after="0" w:line="279" w:lineRule="auto"/>
        <w:tabs>
          <w:tab w:leader="none" w:pos="14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Fidelity or Crime insurance covering employee dishonesty, including but not limited to dishonest acts of Supplier and its employees, agents, Subcontractors and anyone under Supplier’s supervision or control. Supplier shall be liable for money, securities or other property of AT&amp;T in the custody, care or control of the Supplier. Supplier shall include a client coverage endorsement written for limits of a least $1,000,000 and shall include AT&amp;T as Loss Payee.</w:t>
      </w:r>
    </w:p>
    <w:p>
      <w:pPr>
        <w:spacing w:after="0" w:line="76" w:lineRule="exact"/>
        <w:rPr>
          <w:rFonts w:ascii="Arial" w:cs="Arial" w:eastAsia="Arial" w:hAnsi="Arial"/>
          <w:sz w:val="17"/>
          <w:szCs w:val="17"/>
          <w:color w:val="auto"/>
        </w:rPr>
      </w:pPr>
    </w:p>
    <w:p>
      <w:pPr>
        <w:ind w:left="1480" w:right="260" w:hanging="680"/>
        <w:spacing w:after="0" w:line="277"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Professional Liability (Errors &amp; Omissions) insurance with limits of at least $1,000,000 each claim or wrongful act including data security breach.</w:t>
      </w:r>
    </w:p>
    <w:p>
      <w:pPr>
        <w:spacing w:after="0" w:line="75" w:lineRule="exact"/>
        <w:rPr>
          <w:rFonts w:ascii="Arial" w:cs="Arial" w:eastAsia="Arial" w:hAnsi="Arial"/>
          <w:sz w:val="18"/>
          <w:szCs w:val="18"/>
          <w:color w:val="auto"/>
        </w:rPr>
      </w:pPr>
    </w:p>
    <w:p>
      <w:pPr>
        <w:ind w:left="1480" w:right="60" w:hanging="680"/>
        <w:spacing w:after="0" w:line="264"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Property insurance with limits equal to the replacement cost of Supplier’s Business Personal Property at the location where Services are to be performed under this Agreement. The Property insurance policy will include a waiver of subrogation in favor of AT&amp;T, its Affiliates, and their directors, officers and employees.</w:t>
      </w:r>
    </w:p>
    <w:p>
      <w:pPr>
        <w:spacing w:after="0" w:line="86" w:lineRule="exact"/>
        <w:rPr>
          <w:rFonts w:ascii="Arial" w:cs="Arial" w:eastAsia="Arial" w:hAnsi="Arial"/>
          <w:sz w:val="18"/>
          <w:szCs w:val="18"/>
          <w:color w:val="auto"/>
        </w:rPr>
      </w:pPr>
    </w:p>
    <w:p>
      <w:pPr>
        <w:ind w:left="800" w:right="140" w:hanging="797"/>
        <w:spacing w:after="0" w:line="257" w:lineRule="auto"/>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the extent that Supplier’s Subcontractors are not covered by the insurance policies required under this Section, Supplier shall require each Subcontractor that may perform Services under this Agreement or enter upon the AT&amp;T Facilities or Supplier facilities to maintain coverages, requirements, and limits at least as broad as those listed in this Section from the time when the Subcontractor begins performance of Services, throughout the term of the Subcontractor’s performance of Services and, with respect to any coverage maintained on a “claims-made” policy, for two (2) years thereafter.</w:t>
      </w:r>
    </w:p>
    <w:p>
      <w:pPr>
        <w:spacing w:after="0" w:line="11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40"/>
          </w:cols>
          <w:pgMar w:left="920"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6"/>
          <w:szCs w:val="16"/>
          <w:b w:val="1"/>
          <w:bCs w:val="1"/>
          <w:color w:val="auto"/>
        </w:rPr>
        <w:t>Invoicing and Payment</w:t>
      </w:r>
    </w:p>
    <w:p>
      <w:pPr>
        <w:spacing w:after="0" w:line="135" w:lineRule="exact"/>
        <w:rPr>
          <w:sz w:val="20"/>
          <w:szCs w:val="20"/>
          <w:color w:val="auto"/>
        </w:rPr>
      </w:pPr>
    </w:p>
    <w:p>
      <w:pPr>
        <w:ind w:left="1480" w:right="420" w:hanging="797"/>
        <w:spacing w:after="0" w:line="277"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Supplier shall render an invoice for all Services rendered under an Order in accordance with the payment schedule as set forth in the Order.</w:t>
      </w:r>
    </w:p>
    <w:p>
      <w:pPr>
        <w:spacing w:after="0" w:line="75" w:lineRule="exact"/>
        <w:rPr>
          <w:rFonts w:ascii="Arial" w:cs="Arial" w:eastAsia="Arial" w:hAnsi="Arial"/>
          <w:sz w:val="18"/>
          <w:szCs w:val="18"/>
          <w:color w:val="auto"/>
        </w:rPr>
      </w:pPr>
    </w:p>
    <w:p>
      <w:pPr>
        <w:ind w:left="1480" w:hanging="797"/>
        <w:spacing w:after="0" w:line="288" w:lineRule="auto"/>
        <w:tabs>
          <w:tab w:leader="none" w:pos="14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invoice shall specify in detail, where applicable (1) quantities of each ordered item, (2) unit prices of each ordered item, (3) the estimated amount of tax per item, (4) any relevant item and commodity codes known to Supplier, (5) total amounts for each item, (6) total estimated amount of applicable sales or use taxes, (7) discounts, (8) shipping charges, and (9) total amount due. AT&amp;T shall pay Supplier in accordance with the prices set forth in this Agreement within [***] days of the date of receipt of the invoice. Payment for Material or Services not conforming to the Specifications (in the event of payments due upon Acceptance), and portions of any invoice in dispute, may be withheld by AT&amp;T until such problem has been resolved in accordance with the provisions of this Agreement. If AT&amp;T disputes any invoice rendered or amount paid, AT&amp;T shall promptly so notify Supplier. The Parties shall use their best efforts to resolve such dispute expeditiously, per the dispute resolution provisions in this Agreement. Any undisputed portion of invoices shall be resubmitted by Supplier and paid in accordance with this Agreement. In the event that a dispute is resolved in Supplier’s favor, AT&amp;T will pay Disputed Payment Interest (as defined below) on the withheld fees from the date such payment was initially due.</w:t>
      </w:r>
    </w:p>
    <w:p>
      <w:pPr>
        <w:spacing w:after="0" w:line="74" w:lineRule="exact"/>
        <w:rPr>
          <w:rFonts w:ascii="Arial" w:cs="Arial" w:eastAsia="Arial" w:hAnsi="Arial"/>
          <w:sz w:val="16"/>
          <w:szCs w:val="16"/>
          <w:color w:val="auto"/>
        </w:rPr>
      </w:pPr>
    </w:p>
    <w:p>
      <w:pPr>
        <w:ind w:left="1480" w:right="20" w:hanging="797"/>
        <w:spacing w:after="0" w:line="259"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Payment for Services performed may be either under a time and materials Order, or a fixed-bid Order. In time and materials Orders, AT&amp;T shall compensate Supplier on the basis of hours actually worked. In the case of fixed-bid Orders, AT&amp;T shall compensate Supplier on the basis of the agreed fixed price. Estimates for fixed bid Orders shall be calculated based upon [***] hours of work per month. [***].</w:t>
      </w:r>
    </w:p>
    <w:p>
      <w:pPr>
        <w:spacing w:after="0" w:line="92" w:lineRule="exact"/>
        <w:rPr>
          <w:rFonts w:ascii="Arial" w:cs="Arial" w:eastAsia="Arial" w:hAnsi="Arial"/>
          <w:sz w:val="18"/>
          <w:szCs w:val="18"/>
          <w:color w:val="auto"/>
        </w:rPr>
      </w:pPr>
    </w:p>
    <w:p>
      <w:pPr>
        <w:ind w:left="1480" w:right="340" w:hanging="797"/>
        <w:spacing w:after="0" w:line="277"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Supplier agrees to accept standard, commercial methods of payment and evidence of payment obligation including, but not limited to electronic fund transfers in connection with the purchase of the Material and Services.</w:t>
      </w:r>
    </w:p>
    <w:p>
      <w:pPr>
        <w:spacing w:after="0" w:line="75" w:lineRule="exact"/>
        <w:rPr>
          <w:rFonts w:ascii="Arial" w:cs="Arial" w:eastAsia="Arial" w:hAnsi="Arial"/>
          <w:sz w:val="18"/>
          <w:szCs w:val="18"/>
          <w:color w:val="auto"/>
        </w:rPr>
      </w:pPr>
    </w:p>
    <w:p>
      <w:pPr>
        <w:ind w:left="1480" w:right="320" w:hanging="797"/>
        <w:spacing w:after="0" w:line="308" w:lineRule="auto"/>
        <w:tabs>
          <w:tab w:leader="none" w:pos="14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Supplier may assess interest on past due disputed amounts at [***] Chase Manhattan Bank as quoted in the Wall Street Journal on the date of the applicable invoice, or at the maximum interest rate allowed by law (“Disputed Payment Interest”).</w:t>
      </w:r>
    </w:p>
    <w:p>
      <w:pPr>
        <w:spacing w:after="0" w:line="51" w:lineRule="exact"/>
        <w:rPr>
          <w:rFonts w:ascii="Arial" w:cs="Arial" w:eastAsia="Arial" w:hAnsi="Arial"/>
          <w:sz w:val="17"/>
          <w:szCs w:val="17"/>
          <w:color w:val="auto"/>
        </w:rPr>
      </w:pPr>
    </w:p>
    <w:p>
      <w:pPr>
        <w:ind w:left="1480" w:right="60" w:hanging="797"/>
        <w:spacing w:after="0" w:line="255"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 other remedies available to Supplier under this Agreement or under applicable law, payment in arrears of more than [***] shall bear interest from the date payment is due [***] Chase Manhattan Bank as quoted in the Wall Street Journal or at the maximum interest rate allowed by law, unless the amount in arrears is disputed in good faith and until such dispute is resolved. Additionally, and without affecting the foregoing, AT&amp;T’s failure to pay any undisputed payment under this Agreement within [***] after such payment becomes due shall be considered a material breach of this Agreement by AT&amp;T, subject to the provisions of Section 3.36b, “Termination for Cause”.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3.20</w:t>
      </w:r>
      <w:r>
        <w:rPr>
          <w:sz w:val="20"/>
          <w:szCs w:val="20"/>
          <w:color w:val="auto"/>
        </w:rPr>
        <w:tab/>
      </w:r>
      <w:r>
        <w:rPr>
          <w:rFonts w:ascii="Arial" w:cs="Arial" w:eastAsia="Arial" w:hAnsi="Arial"/>
          <w:sz w:val="16"/>
          <w:szCs w:val="16"/>
          <w:b w:val="1"/>
          <w:bCs w:val="1"/>
          <w:color w:val="auto"/>
        </w:rPr>
        <w:t>Labor Disputes</w:t>
      </w:r>
    </w:p>
    <w:p>
      <w:pPr>
        <w:spacing w:after="0" w:line="135" w:lineRule="exact"/>
        <w:rPr>
          <w:sz w:val="20"/>
          <w:szCs w:val="20"/>
          <w:color w:val="auto"/>
        </w:rPr>
      </w:pPr>
    </w:p>
    <w:p>
      <w:pPr>
        <w:ind w:left="1480" w:right="60" w:hanging="797"/>
        <w:spacing w:after="0" w:line="293" w:lineRule="auto"/>
        <w:tabs>
          <w:tab w:leader="none" w:pos="14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the event of a labor dispute between AT&amp;T and the union(s) representing AT&amp;T’s employees, AT&amp;T may exercise its right to modify the scope of Work under any Order with [***] days advance notice, including postponing, reducing, or terminating the Services to be provided under the Order and due to be performed after the commencement of a labor dispute, provided, however, that in the event of the termination of Services pursuant to this paragraph, such termination shall be deemed a termination for convenience and subject to the payment of any applicable early termination fees under such terminated Order. AT&amp;T acknowledges and agrees that the exercise of such right may result in a delay in the resumption of Services when requested by AT&amp;T.</w:t>
      </w:r>
    </w:p>
    <w:p>
      <w:pPr>
        <w:spacing w:after="0" w:line="70" w:lineRule="exact"/>
        <w:rPr>
          <w:rFonts w:ascii="Arial" w:cs="Arial" w:eastAsia="Arial" w:hAnsi="Arial"/>
          <w:sz w:val="16"/>
          <w:szCs w:val="16"/>
          <w:color w:val="auto"/>
        </w:rPr>
      </w:pPr>
    </w:p>
    <w:p>
      <w:pPr>
        <w:ind w:left="1480" w:right="380" w:hanging="797"/>
        <w:spacing w:after="0" w:line="277" w:lineRule="auto"/>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and obligations of the Parties under this Section are in addition to, and not a limitation of, their respective rights under the Section entitled “Amendments and Waivers”.</w:t>
      </w:r>
    </w:p>
    <w:p>
      <w:pPr>
        <w:spacing w:after="0" w:line="75" w:lineRule="exact"/>
        <w:rPr>
          <w:rFonts w:ascii="Arial" w:cs="Arial" w:eastAsia="Arial" w:hAnsi="Arial"/>
          <w:sz w:val="18"/>
          <w:szCs w:val="18"/>
          <w:color w:val="auto"/>
        </w:rPr>
      </w:pPr>
    </w:p>
    <w:p>
      <w:pPr>
        <w:ind w:left="1480" w:right="40" w:hanging="797"/>
        <w:spacing w:after="0" w:line="255" w:lineRule="auto"/>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Where AT&amp;T modifies the scope of Work to include a reduction, postponement or termination of the Services to be provided, until reinstatement of such Services, the terms of any Service Level Agreements and project delivery dates/milestones applicable to such Services shall be reasonably modified by the Parties to reflect such modification. In addition, no such modification shall relieve AT&amp;T of its obligation to pay Supplier for any Services actually performed by Supplier (whether before or after such modification) notwithstanding Supplier’s failure or inability to achieve any payment milestone set forth in the applicable Order as a result of such modification.</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b w:val="1"/>
          <w:bCs w:val="1"/>
          <w:color w:val="auto"/>
        </w:rPr>
        <w:t>Limitation of Damages</w:t>
      </w:r>
    </w:p>
    <w:p>
      <w:pPr>
        <w:spacing w:after="0" w:line="131" w:lineRule="exact"/>
        <w:rPr>
          <w:sz w:val="20"/>
          <w:szCs w:val="20"/>
          <w:color w:val="auto"/>
        </w:rPr>
      </w:pPr>
    </w:p>
    <w:p>
      <w:pPr>
        <w:ind w:left="1480" w:right="120" w:hanging="797"/>
        <w:spacing w:after="0" w:line="255"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Exclusion of Indirect and Consequential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THIS SECTION NEITHER PARTY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LIABLE TO THE OTHER PARTY FOR INDIRECT, CONSEQUENTIAL, INCIDENTAL, SPECIAL, EXEMPLARY OR PUNITIVE DAMAGES, INCLUDING LOST REVENUE, LOST DATA OR LOST PROFITS, ARISING OUT OF ANY BREACH OF THE OBLIGATIONS OF THIS AGREEMENT, REGARDLESS OF THE THEORY OF RECOVERY, EVEN IF SUCH PARTY HAS BEEN ADVISED OF THE POSSIBILITY OF SUCH DAMAGES. HOWEVER, THE FOLLOWING ELEMENTS OF LOSS OR DAMAGE, IF PROVED, SHALL BE DEEMED DIRECT OR GENERAL DAMAGES NOT EXCLUDED OR LIMITED BY THE PRECEDING SENTENCE:</w:t>
      </w:r>
    </w:p>
    <w:p>
      <w:pPr>
        <w:spacing w:after="0" w:line="98" w:lineRule="exact"/>
        <w:rPr>
          <w:rFonts w:ascii="Arial" w:cs="Arial" w:eastAsia="Arial" w:hAnsi="Arial"/>
          <w:sz w:val="18"/>
          <w:szCs w:val="18"/>
          <w:color w:val="auto"/>
        </w:rPr>
      </w:pPr>
    </w:p>
    <w:p>
      <w:pPr>
        <w:ind w:left="2160" w:right="320" w:hanging="680"/>
        <w:spacing w:after="0" w:line="277" w:lineRule="auto"/>
        <w:tabs>
          <w:tab w:leader="none" w:pos="2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LIABILITY, LOSS, OR DAMAGE FOR WHICH ONE PARTY IS OBLIGATED TO INDEMNIFY THE OTHER UNDER THIS AGREEMENT;</w:t>
      </w:r>
    </w:p>
    <w:p>
      <w:pPr>
        <w:spacing w:after="0" w:line="75" w:lineRule="exact"/>
        <w:rPr>
          <w:rFonts w:ascii="Arial" w:cs="Arial" w:eastAsia="Arial" w:hAnsi="Arial"/>
          <w:sz w:val="18"/>
          <w:szCs w:val="18"/>
          <w:color w:val="auto"/>
        </w:rPr>
      </w:pPr>
    </w:p>
    <w:p>
      <w:pPr>
        <w:ind w:left="2160" w:right="740" w:hanging="680"/>
        <w:spacing w:after="0" w:line="277" w:lineRule="auto"/>
        <w:tabs>
          <w:tab w:leader="none" w:pos="2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LOSS OR DAMAGE PROXIMATELY CAUSED BY A PARTY’S BREACH OF ITS OBLIGATIONS UNDER THE SECTION ENTITLED “INFORMATION”;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LIQUIDATED DAMAGES AND CREDITS PROVIDED UNDER ANY PROVISION OF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1480" w:right="60" w:hanging="797"/>
        <w:spacing w:after="0" w:line="258"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Direct and General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THIS SECTION NEITHER PARTY SHALL BE LIABLE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OTHER PARTY WITH RESPECT TO ANY ORDER OR THIS AGREEMENT FOR ANY DAMAGES IN EXCESS OF ONE MILLION DOLLARS WITH RESPECT TO ANY ORDER, OR FOR ANY DAMAGES IN EXCESS OF FIVE MILLION DOLLARS UNDER ALL ORDERS OR THIS AGREEMENT. HOWEVER, THE FOLLOWING ELEMENTS OF LOSS OR DAMAGE, IF PROVED, SHALL NOT BE EXCLUDED OR LIMITED BY THE PRECEDING SENTENCES:</w:t>
      </w:r>
    </w:p>
    <w:p>
      <w:pPr>
        <w:spacing w:after="0" w:line="93" w:lineRule="exact"/>
        <w:rPr>
          <w:rFonts w:ascii="Arial" w:cs="Arial" w:eastAsia="Arial" w:hAnsi="Arial"/>
          <w:sz w:val="18"/>
          <w:szCs w:val="18"/>
          <w:color w:val="auto"/>
        </w:rPr>
      </w:pPr>
    </w:p>
    <w:p>
      <w:pPr>
        <w:ind w:left="2160" w:right="220" w:hanging="680"/>
        <w:spacing w:after="0" w:line="273" w:lineRule="auto"/>
        <w:tabs>
          <w:tab w:leader="none" w:pos="21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LIABILITY, LOSS, OR DAMAGE FOR WHICH ONE PARTY IS OBLIGATED TO INDEMNIFY THE OTHER UNDER “INDEMNITY” (solely with respect to personal injury and property damage), “INFRINGEMENT OF THIRD PARTY INTELLECTUAL PROPERTY RIGHTS,” AND “INDEPENDENT CONTRACTOR”; PROVIDED, HOWEVER, THAT, WITH RESPECT TO LOSS, LIABILITY, OR DAMAGE WHICH MAY BE COVERED BY LIABILITY INSURANCE OF THE TYPES REQUIRED IN THE SECTION ENTITLED “INSURANCE,” EACH PARTY SHALL AND HEREBY DOES WAIVE ANY CLAIMS DAMAGES IN EXCESS OF THE LIMITS ON INSURANCE MENTIONED IN THAT SECTION;</w:t>
      </w:r>
    </w:p>
    <w:p>
      <w:pPr>
        <w:spacing w:after="0" w:line="83" w:lineRule="exact"/>
        <w:rPr>
          <w:rFonts w:ascii="Arial" w:cs="Arial" w:eastAsia="Arial" w:hAnsi="Arial"/>
          <w:sz w:val="17"/>
          <w:szCs w:val="17"/>
          <w:color w:val="auto"/>
        </w:rPr>
      </w:pPr>
    </w:p>
    <w:p>
      <w:pPr>
        <w:ind w:left="2160" w:right="740" w:hanging="680"/>
        <w:spacing w:after="0" w:line="277" w:lineRule="auto"/>
        <w:tabs>
          <w:tab w:leader="none" w:pos="2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LOSS OR DAMAGE PROXIMATELY CAUSED BY A PARTY’S BREACH OF ITS OBLIGATIONS UNDER THE SECTION ENTITLED “INFORMATION”;</w:t>
      </w:r>
    </w:p>
    <w:p>
      <w:pPr>
        <w:spacing w:after="0" w:line="75" w:lineRule="exact"/>
        <w:rPr>
          <w:rFonts w:ascii="Arial" w:cs="Arial" w:eastAsia="Arial" w:hAnsi="Arial"/>
          <w:sz w:val="18"/>
          <w:szCs w:val="18"/>
          <w:color w:val="auto"/>
        </w:rPr>
      </w:pPr>
    </w:p>
    <w:p>
      <w:pPr>
        <w:ind w:left="2160" w:right="60" w:hanging="680"/>
        <w:spacing w:after="0" w:line="272" w:lineRule="auto"/>
        <w:tabs>
          <w:tab w:leader="none" w:pos="21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SUPPLIER’S LIABILITY PURSUANT TO SECTION 3.43d.iv TO REFUND AMOUNTS PAID FOR WORK UNDER AN ORDER FOR CUSTOM SOFTWARE DEVELOPMENT, WHERE SUCH SOFTWARE FAILS ACCEPTANCE AND HAS NEVER BEEN PUT INTO PRODUCTION; IF SUCH FAILURE HAS RESULTED SOLELY FROM SUPPLIER’S FAILURE TO PERFORM ITS OBLIGATIONS UNDER THIS AGREEMENT, SHALL BE EQUAL TO A MAXIMUM OF THE SUM OF AMOUNTS PAID BY AT&amp;T FOR SUCH WORK, PLUS ANY LIQUIDATED DAMAGES THAT AT&amp;T HAS RECOVERED, EVEN IF THE LIQUIDATED DAMAGES THEMSELVES HAVE REACHED THE ONE MILLION DOLLAR LIMIT PROVIDED IN THE SECOND SENTENCE OF SECTION b ABOVE;</w:t>
      </w:r>
    </w:p>
    <w:p>
      <w:pPr>
        <w:spacing w:after="0" w:line="83" w:lineRule="exact"/>
        <w:rPr>
          <w:rFonts w:ascii="Arial" w:cs="Arial" w:eastAsia="Arial" w:hAnsi="Arial"/>
          <w:sz w:val="17"/>
          <w:szCs w:val="17"/>
          <w:color w:val="auto"/>
        </w:rPr>
      </w:pPr>
    </w:p>
    <w:p>
      <w:pPr>
        <w:ind w:left="2160" w:right="20" w:hanging="680"/>
        <w:spacing w:after="0" w:line="286" w:lineRule="auto"/>
        <w:tabs>
          <w:tab w:leader="none" w:pos="21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SUPPLIER’S LIABILITY FOR FAILURE TO MEET ITS WARRANTY OBLIGATIONS TO CORRECT CERTAIN ERRORS AND SUPPLIER’S LIABILITY FOR LIQUIDATED DAMAGES FOR BREACH OF A SERVICE LEVEL AGREEMENT BOTH OF WHICH ARE, HOWEVER, SEPARATELY LIMITED AS PROVIDED IN SECTION 3.43d; AND</w:t>
      </w:r>
    </w:p>
    <w:p>
      <w:pPr>
        <w:spacing w:after="0" w:line="70" w:lineRule="exact"/>
        <w:rPr>
          <w:rFonts w:ascii="Arial" w:cs="Arial" w:eastAsia="Arial" w:hAnsi="Arial"/>
          <w:sz w:val="17"/>
          <w:szCs w:val="17"/>
          <w:color w:val="auto"/>
        </w:rPr>
      </w:pPr>
    </w:p>
    <w:p>
      <w:pPr>
        <w:ind w:left="2160" w:right="20" w:hanging="680"/>
        <w:spacing w:after="0" w:line="277" w:lineRule="auto"/>
        <w:tabs>
          <w:tab w:leader="none" w:pos="2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AT&amp;T’S LIABILITY TO PAY FOR SERVICES RENDERED OR EXPENSES INCURRED UNDER THIS AGREEMENT OR ANY ORDER THERETO.</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b w:val="1"/>
          <w:bCs w:val="1"/>
          <w:color w:val="auto"/>
        </w:rPr>
        <w:t>Non-Exclusive Market</w:t>
      </w:r>
    </w:p>
    <w:p>
      <w:pPr>
        <w:spacing w:after="0" w:line="121" w:lineRule="exact"/>
        <w:rPr>
          <w:sz w:val="20"/>
          <w:szCs w:val="20"/>
          <w:color w:val="auto"/>
        </w:rPr>
      </w:pPr>
    </w:p>
    <w:p>
      <w:pPr>
        <w:ind w:left="700" w:right="580"/>
        <w:spacing w:after="0" w:line="277" w:lineRule="auto"/>
        <w:rPr>
          <w:sz w:val="20"/>
          <w:szCs w:val="20"/>
          <w:color w:val="auto"/>
        </w:rPr>
      </w:pPr>
      <w:r>
        <w:rPr>
          <w:rFonts w:ascii="Arial" w:cs="Arial" w:eastAsia="Arial" w:hAnsi="Arial"/>
          <w:sz w:val="18"/>
          <w:szCs w:val="18"/>
          <w:color w:val="auto"/>
        </w:rPr>
        <w:t>This Agreement does not grant Supplier any right or privilege to provide to AT&amp;T any Work of the type described in or purchased under this Agreement. Except for obligations arising under 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47" w:name="page148"/>
    <w:bookmarkEnd w:id="147"/>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40"/>
        <w:spacing w:after="0" w:line="342" w:lineRule="auto"/>
        <w:rPr>
          <w:sz w:val="20"/>
          <w:szCs w:val="20"/>
          <w:color w:val="auto"/>
        </w:rPr>
      </w:pPr>
      <w:r>
        <w:rPr>
          <w:rFonts w:ascii="Arial" w:cs="Arial" w:eastAsia="Arial" w:hAnsi="Arial"/>
          <w:sz w:val="16"/>
          <w:szCs w:val="16"/>
          <w:color w:val="auto"/>
        </w:rPr>
        <w:t>Order, this Agreement does not obligate AT&amp;T to purchase or license any such Work. AT&amp;T may contract with other manufacturers and vendors for the procurement or trial of Work comparable to that described in or purchased under this Agreement, and AT&amp;T may itself perform such Work.</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5"/>
          <w:szCs w:val="15"/>
          <w:b w:val="1"/>
          <w:bCs w:val="1"/>
          <w:color w:val="auto"/>
        </w:rPr>
        <w:t>Notices</w:t>
      </w:r>
    </w:p>
    <w:p>
      <w:pPr>
        <w:spacing w:after="0" w:line="135" w:lineRule="exact"/>
        <w:rPr>
          <w:sz w:val="20"/>
          <w:szCs w:val="20"/>
          <w:color w:val="auto"/>
        </w:rPr>
      </w:pPr>
    </w:p>
    <w:p>
      <w:pPr>
        <w:ind w:left="1480" w:hanging="797"/>
        <w:spacing w:after="0" w:line="293" w:lineRule="auto"/>
        <w:tabs>
          <w:tab w:leader="none" w:pos="14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Party giving or making any notice, consent, request, demand, or other communication (each, a “Notice”) pursuant to this Agreement must give the Notice in writing and use one of the following methods, each of which for purposes of this Agreement is a writing: in person; first class mail with postage prepaid; Express Mail, Registered Mail, or Certified Mail (in each case, return receipt requested and postage prepaid); internationally recognized overnight courier (with all fees prepaid); or email. If Notice is given by e-mail, it must be confirmed by a copy sent by any one of the other methods or by a return email by the Addressee confirming receipt. Each Party giving Notice shall address the Notice to the appropriate person (the “Addressee”) at the receiving Party at the address listed below:</w:t>
      </w:r>
    </w:p>
    <w:p>
      <w:pPr>
        <w:spacing w:after="0" w:line="56"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Amdocs, Inc.</w:t>
      </w:r>
    </w:p>
    <w:p>
      <w:pPr>
        <w:spacing w:after="0" w:line="23" w:lineRule="exact"/>
        <w:rPr>
          <w:rFonts w:ascii="Arial" w:cs="Arial" w:eastAsia="Arial" w:hAnsi="Arial"/>
          <w:sz w:val="16"/>
          <w:szCs w:val="16"/>
          <w:color w:val="auto"/>
        </w:rPr>
      </w:pPr>
    </w:p>
    <w:p>
      <w:pPr>
        <w:ind w:left="1500" w:right="7500"/>
        <w:spacing w:after="0" w:line="281" w:lineRule="auto"/>
        <w:rPr>
          <w:rFonts w:ascii="Arial" w:cs="Arial" w:eastAsia="Arial" w:hAnsi="Arial"/>
          <w:sz w:val="16"/>
          <w:szCs w:val="16"/>
          <w:color w:val="auto"/>
        </w:rPr>
      </w:pPr>
      <w:r>
        <w:rPr>
          <w:rFonts w:ascii="Arial" w:cs="Arial" w:eastAsia="Arial" w:hAnsi="Arial"/>
          <w:sz w:val="16"/>
          <w:szCs w:val="16"/>
          <w:color w:val="auto"/>
        </w:rPr>
        <w:t>1390 Timberlake Manor Parkway Chesterfield, MO 63017</w:t>
      </w:r>
    </w:p>
    <w:p>
      <w:pPr>
        <w:spacing w:after="0" w:line="1"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Attn: Legal Department</w:t>
      </w:r>
    </w:p>
    <w:p>
      <w:pPr>
        <w:spacing w:after="0" w:line="9"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Email Address: nacontractsadmin@amdocs.com</w:t>
      </w:r>
    </w:p>
    <w:p>
      <w:pPr>
        <w:spacing w:after="0" w:line="9"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Business Number: 314-212-7000</w:t>
      </w:r>
    </w:p>
    <w:p>
      <w:pPr>
        <w:spacing w:after="0" w:line="102"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AT&amp;T Services, Inc.</w:t>
      </w:r>
    </w:p>
    <w:p>
      <w:pPr>
        <w:spacing w:after="0" w:line="23" w:lineRule="exact"/>
        <w:rPr>
          <w:rFonts w:ascii="Arial" w:cs="Arial" w:eastAsia="Arial" w:hAnsi="Arial"/>
          <w:sz w:val="16"/>
          <w:szCs w:val="16"/>
          <w:color w:val="auto"/>
        </w:rPr>
      </w:pPr>
    </w:p>
    <w:p>
      <w:pPr>
        <w:ind w:left="1500" w:right="8800"/>
        <w:spacing w:after="0" w:line="281" w:lineRule="auto"/>
        <w:rPr>
          <w:rFonts w:ascii="Arial" w:cs="Arial" w:eastAsia="Arial" w:hAnsi="Arial"/>
          <w:sz w:val="16"/>
          <w:szCs w:val="16"/>
          <w:color w:val="auto"/>
        </w:rPr>
      </w:pPr>
      <w:r>
        <w:rPr>
          <w:rFonts w:ascii="Arial" w:cs="Arial" w:eastAsia="Arial" w:hAnsi="Arial"/>
          <w:sz w:val="16"/>
          <w:szCs w:val="16"/>
          <w:color w:val="auto"/>
        </w:rPr>
        <w:t>4119 Broadway Room 650A16</w:t>
      </w:r>
    </w:p>
    <w:p>
      <w:pPr>
        <w:spacing w:after="0" w:line="1" w:lineRule="exact"/>
        <w:rPr>
          <w:rFonts w:ascii="Arial" w:cs="Arial" w:eastAsia="Arial" w:hAnsi="Arial"/>
          <w:sz w:val="16"/>
          <w:szCs w:val="16"/>
          <w:color w:val="auto"/>
        </w:rPr>
      </w:pPr>
    </w:p>
    <w:p>
      <w:pPr>
        <w:ind w:left="1500" w:right="7520"/>
        <w:spacing w:after="0" w:line="255" w:lineRule="auto"/>
        <w:rPr>
          <w:rFonts w:ascii="Arial" w:cs="Arial" w:eastAsia="Arial" w:hAnsi="Arial"/>
          <w:sz w:val="16"/>
          <w:szCs w:val="16"/>
          <w:color w:val="auto"/>
        </w:rPr>
      </w:pPr>
      <w:r>
        <w:rPr>
          <w:rFonts w:ascii="Arial" w:cs="Arial" w:eastAsia="Arial" w:hAnsi="Arial"/>
          <w:sz w:val="18"/>
          <w:szCs w:val="18"/>
          <w:color w:val="auto"/>
        </w:rPr>
        <w:t>San Antonio, TX 78209 Attn: Notices Administrator Email Address: g06586@att.com</w:t>
      </w:r>
    </w:p>
    <w:p>
      <w:pPr>
        <w:spacing w:after="0" w:line="95" w:lineRule="exact"/>
        <w:rPr>
          <w:rFonts w:ascii="Arial" w:cs="Arial" w:eastAsia="Arial" w:hAnsi="Arial"/>
          <w:sz w:val="16"/>
          <w:szCs w:val="16"/>
          <w:color w:val="auto"/>
        </w:rPr>
      </w:pPr>
    </w:p>
    <w:p>
      <w:pPr>
        <w:ind w:left="1480" w:right="160" w:hanging="797"/>
        <w:spacing w:after="0" w:line="277"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Notice is effective only if the Party giving notice has complied with the foregoing requirements of this Section and the Addressee has received the Notice. A Notice is deemed to have been received as follows:</w:t>
      </w:r>
    </w:p>
    <w:p>
      <w:pPr>
        <w:spacing w:after="0" w:line="75" w:lineRule="exact"/>
        <w:rPr>
          <w:rFonts w:ascii="Arial" w:cs="Arial" w:eastAsia="Arial" w:hAnsi="Arial"/>
          <w:sz w:val="18"/>
          <w:szCs w:val="18"/>
          <w:color w:val="auto"/>
        </w:rPr>
      </w:pPr>
    </w:p>
    <w:p>
      <w:pPr>
        <w:ind w:left="2160" w:right="380" w:hanging="680"/>
        <w:spacing w:after="0" w:line="277" w:lineRule="auto"/>
        <w:tabs>
          <w:tab w:leader="none" w:pos="2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a Notice is furnished in person, or sent by Express Mail, Registered Mail, or Certified Mail, or internationally recognized overnight courier, upon receipt as indicated by the date on the signed receipt;</w:t>
      </w:r>
    </w:p>
    <w:p>
      <w:pPr>
        <w:spacing w:after="0" w:line="75" w:lineRule="exact"/>
        <w:rPr>
          <w:rFonts w:ascii="Arial" w:cs="Arial" w:eastAsia="Arial" w:hAnsi="Arial"/>
          <w:sz w:val="18"/>
          <w:szCs w:val="18"/>
          <w:color w:val="auto"/>
        </w:rPr>
      </w:pPr>
    </w:p>
    <w:p>
      <w:pPr>
        <w:ind w:left="2160" w:hanging="680"/>
        <w:spacing w:after="0" w:line="286" w:lineRule="auto"/>
        <w:tabs>
          <w:tab w:leader="none" w:pos="216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If a Notice is sent by e-mail, upon successful transmission to the recipient’s email account, if such Notice is sent in time to allow it to be accessible by the Addressee before the time allowed for giving such notice expires, and a confirmation copy is sent by one of the other methods or the Addressee confirms by return email that the email Notice has been received.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20" w:hanging="797"/>
        <w:spacing w:after="0" w:line="277"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addresses and telephone numbers to which Notices may be given to the Addressees of either Party may be changed by written Notice given by such Party to the other pursuant to this Section.</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Offshore Work Permitted Under Specific Conditions</w:t>
      </w:r>
    </w:p>
    <w:p>
      <w:pPr>
        <w:spacing w:after="0" w:line="135" w:lineRule="exact"/>
        <w:rPr>
          <w:sz w:val="20"/>
          <w:szCs w:val="20"/>
          <w:color w:val="auto"/>
        </w:rPr>
      </w:pPr>
    </w:p>
    <w:p>
      <w:pPr>
        <w:ind w:left="1480" w:right="60" w:hanging="797"/>
        <w:spacing w:after="0" w:line="288" w:lineRule="auto"/>
        <w:tabs>
          <w:tab w:leader="none" w:pos="1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Supplier shall not perform any Services under this Agreement or allow such performance by any Subcontractor at a location outside the United States (“Offshore Location”) unless AT&amp;T approves work to be performed by Supplier or a Subcontractor at such Offshore Location. As of the Effective Date of the Agreement, Appendix C as attached hereto contains AT&amp;T’s approval for the physical location where the work is to be performed, the Services to be performed at such location, and, the identity of any Subcontractor performing such work. Prior to Supplier making any additions or deletions to the physical locations or changes in Subcontractors performing work at an Offshore Location, the Parties shall amend Appendix C, or shall add to, or amend, the applicable Order. A change in the location where a Service is performed from one Offshore Location to another AT&amp;T-approved Offshore Location shall not require an amendment to Appendix C or the applicable Order. Remote access by Supplier employees or Subcontractors from an Offshore Location for the performance of Services shall be in accordance with Appendix D, Security and Offshore Requirements. The requirements of this Section shall be in addition to Sections “3.2, “Amendments and Waivers”, and 3.44, “Work Done By Others”.</w:t>
      </w:r>
    </w:p>
    <w:p>
      <w:pPr>
        <w:spacing w:after="0" w:line="74" w:lineRule="exact"/>
        <w:rPr>
          <w:rFonts w:ascii="Arial" w:cs="Arial" w:eastAsia="Arial" w:hAnsi="Arial"/>
          <w:sz w:val="16"/>
          <w:szCs w:val="16"/>
          <w:color w:val="auto"/>
        </w:rPr>
      </w:pPr>
    </w:p>
    <w:p>
      <w:pPr>
        <w:ind w:left="1480" w:right="160" w:hanging="797"/>
        <w:spacing w:after="0" w:line="259" w:lineRule="auto"/>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AT&amp;T shall have the right to withdraw its consent to the performance of work at an Offshore Location at any time in AT&amp;T’s sole discretion for any reason, in which event the Parties shall assess cost impacts, timing, methodology and amend the Agreement to reflect any changes reasonably required to permit Supplier to continue to perform such work at a location within the United States and the Parties shall amend the Agreement, Appendix C, and/or the applicable Order accordingly.</w:t>
      </w:r>
    </w:p>
    <w:p>
      <w:pPr>
        <w:spacing w:after="0" w:line="92" w:lineRule="exact"/>
        <w:rPr>
          <w:rFonts w:ascii="Arial" w:cs="Arial" w:eastAsia="Arial" w:hAnsi="Arial"/>
          <w:sz w:val="18"/>
          <w:szCs w:val="18"/>
          <w:color w:val="auto"/>
        </w:rPr>
      </w:pPr>
    </w:p>
    <w:p>
      <w:pPr>
        <w:ind w:left="1480" w:right="100" w:hanging="797"/>
        <w:spacing w:after="0" w:line="264" w:lineRule="auto"/>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Supplier’s compliance with this Section, and all Services performed in Offshore Locations with AT&amp;T’s consent, shall be subject to Section 3.31, “Records and Audits”. Supplier shall provide, and shall ensure that all Subcontractors provide, AT&amp;T with physical access to inspect all Offshore Locations.</w:t>
      </w:r>
    </w:p>
    <w:p>
      <w:pPr>
        <w:spacing w:after="0" w:line="86" w:lineRule="exact"/>
        <w:rPr>
          <w:rFonts w:ascii="Arial" w:cs="Arial" w:eastAsia="Arial" w:hAnsi="Arial"/>
          <w:sz w:val="18"/>
          <w:szCs w:val="18"/>
          <w:color w:val="auto"/>
        </w:rPr>
      </w:pPr>
    </w:p>
    <w:p>
      <w:pPr>
        <w:ind w:left="1480" w:right="280" w:hanging="797"/>
        <w:spacing w:after="0" w:line="264" w:lineRule="auto"/>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extent Supplier interconnects with, or otherwise has access to, the AT&amp;T network, Supplier shall access, or establish network connections that would allow access, to the AT&amp;T network from an Offshore Location in compliance with Appendix D, “Security and Offshore Requirements” to the Agreement.</w:t>
      </w:r>
    </w:p>
    <w:p>
      <w:pPr>
        <w:spacing w:after="0" w:line="86" w:lineRule="exact"/>
        <w:rPr>
          <w:rFonts w:ascii="Arial" w:cs="Arial" w:eastAsia="Arial" w:hAnsi="Arial"/>
          <w:sz w:val="18"/>
          <w:szCs w:val="18"/>
          <w:color w:val="auto"/>
        </w:rPr>
      </w:pPr>
    </w:p>
    <w:p>
      <w:pPr>
        <w:ind w:left="1480" w:right="40" w:hanging="797"/>
        <w:spacing w:after="0" w:line="276" w:lineRule="auto"/>
        <w:tabs>
          <w:tab w:leader="none" w:pos="14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Supplier or any Subcontractor, without intending to circumvent the requirements of this Section, provides any Services under this Agreement in an Offshore Location without AT&amp;T’s prior written consent and fails to cease providing such Services within [***] days after written notice from AT&amp;T, such inadvertent provisioning and failure to timely cure within said [***] days shall be a material breach of this Agreement and, in addition to any other legal rights or remedies available to AT&amp;T at law or in equity, AT&amp;T may immediately terminate the applicable Order under which such Services are being provided,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149" w:name="page150"/>
    <w:bookmarkEnd w:id="149"/>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jc w:val="both"/>
        <w:ind w:left="1480"/>
        <w:spacing w:after="0" w:line="312" w:lineRule="auto"/>
        <w:rPr>
          <w:sz w:val="20"/>
          <w:szCs w:val="20"/>
          <w:color w:val="auto"/>
        </w:rPr>
      </w:pPr>
      <w:r>
        <w:rPr>
          <w:rFonts w:ascii="Arial" w:cs="Arial" w:eastAsia="Arial" w:hAnsi="Arial"/>
          <w:sz w:val="16"/>
          <w:szCs w:val="16"/>
          <w:color w:val="auto"/>
        </w:rPr>
        <w:t>without cost, liability or penalty to AT&amp;T. Notwithstanding the foregoing, AT&amp;T agrees that Supplier’s or a Subcontractor’s provision of the Services in an Offshore Location without AT&amp;T’s prior written consent on a transient basis (e.g., a Supplier’s employee’s provision of Services from an airport while in travel status) shall be permitted and shall not be deemed to be a material breach of this Agreement.</w:t>
      </w:r>
    </w:p>
    <w:p>
      <w:pPr>
        <w:spacing w:after="0" w:line="52" w:lineRule="exact"/>
        <w:rPr>
          <w:sz w:val="20"/>
          <w:szCs w:val="20"/>
          <w:color w:val="auto"/>
        </w:rPr>
      </w:pPr>
    </w:p>
    <w:p>
      <w:pPr>
        <w:ind w:left="1480" w:right="140" w:hanging="797"/>
        <w:spacing w:after="0" w:line="302" w:lineRule="auto"/>
        <w:tabs>
          <w:tab w:leader="none" w:pos="1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When AT&amp;T has granted consent for Services to be performed in an Offshore Location, Supplier shall remain fully responsible for compliance with any foreign, federal, state or local law applicable to the Supplier’s provision of such Services regardless of whether the Service is being performed by Supplier or a Subcontractor. Nothing contained within this Agreement is intended to extend, nor does it extend, any rights or benefits to any Subcontractor, and no third party beneficiary right is intended or granted to any third party hereby.</w:t>
      </w:r>
    </w:p>
    <w:p>
      <w:pPr>
        <w:spacing w:after="0" w:line="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Order of Precedence</w:t>
      </w:r>
    </w:p>
    <w:p>
      <w:pPr>
        <w:spacing w:after="0" w:line="121"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color w:val="auto"/>
        </w:rPr>
        <w:t>The terms of this Agreement [***]. The Parties may not vary or supplement the terms of this Agreement, in connection with any Order, except by Special Terms and Conditions upon which both Parties have agreed. When Special Terms and Conditions are included in an Order and agreed upon, such take precedence over any inconsistent term of this Agreement, but only with reference to the transaction governed by that Order, and Special Terms and Conditions in an Order have no other force or effect. This Agreement shall govern in lieu of all other pre-printed or standardized provisions that may otherwise appear in any other paper or electronic record of either Party (such as standard terms on order or acknowledgment forms, advance shipping notices, invoices, time sheets, and packages, shrink wrap terms, and click wrap terms).</w:t>
      </w:r>
    </w:p>
    <w:p>
      <w:pPr>
        <w:spacing w:after="0" w:line="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7"/>
          <w:szCs w:val="17"/>
          <w:b w:val="1"/>
          <w:bCs w:val="1"/>
          <w:color w:val="auto"/>
        </w:rPr>
        <w:t>Orders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AT&amp;T may order Material and Services by submitting Orders in connection with this Agreement that are substantially in the form of Appendix B.</w:t>
      </w:r>
    </w:p>
    <w:p>
      <w:pPr>
        <w:spacing w:after="0" w:line="15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6"/>
          <w:szCs w:val="16"/>
          <w:b w:val="1"/>
          <w:bCs w:val="1"/>
          <w:color w:val="auto"/>
        </w:rPr>
        <w:t>Ownership of Paid-For Development, Use and Reservation of Rights</w:t>
      </w:r>
    </w:p>
    <w:p>
      <w:pPr>
        <w:spacing w:after="0" w:line="131" w:lineRule="exact"/>
        <w:rPr>
          <w:sz w:val="20"/>
          <w:szCs w:val="20"/>
          <w:color w:val="auto"/>
        </w:rPr>
      </w:pPr>
    </w:p>
    <w:p>
      <w:pPr>
        <w:ind w:left="1480" w:hanging="797"/>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Section:</w:t>
      </w:r>
    </w:p>
    <w:p>
      <w:pPr>
        <w:spacing w:after="0" w:line="130" w:lineRule="exact"/>
        <w:rPr>
          <w:rFonts w:ascii="Arial" w:cs="Arial" w:eastAsia="Arial" w:hAnsi="Arial"/>
          <w:sz w:val="18"/>
          <w:szCs w:val="18"/>
          <w:color w:val="auto"/>
        </w:rPr>
      </w:pPr>
    </w:p>
    <w:p>
      <w:pPr>
        <w:ind w:left="2160" w:right="80" w:hanging="680"/>
        <w:spacing w:after="0" w:line="258"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Amdocs Developed Work</w:t>
      </w:r>
      <w:r>
        <w:rPr>
          <w:rFonts w:ascii="Arial" w:cs="Arial" w:eastAsia="Arial" w:hAnsi="Arial"/>
          <w:sz w:val="18"/>
          <w:szCs w:val="18"/>
          <w:color w:val="auto"/>
        </w:rPr>
        <w:t>” means Items created, invented, or otherwise developed by Amdocs in the course of performance of Services under this Agreement or Order or other document referencing or subordinate to this Agreement and for which Development Fees are paid by AT&amp;T. Amdocs Developed Work does not include any Amdocs Pre-Existing Materials, Amdocs Independently Developed Materials or Amdocs Mere Reconfigurations which may be provided to AT&amp;T as part of a Deliverable.</w:t>
      </w:r>
    </w:p>
    <w:p>
      <w:pPr>
        <w:spacing w:after="0" w:line="89" w:lineRule="exact"/>
        <w:rPr>
          <w:rFonts w:ascii="Arial" w:cs="Arial" w:eastAsia="Arial" w:hAnsi="Arial"/>
          <w:sz w:val="18"/>
          <w:szCs w:val="18"/>
          <w:color w:val="auto"/>
        </w:rPr>
      </w:pPr>
    </w:p>
    <w:p>
      <w:pPr>
        <w:ind w:left="2160" w:right="60" w:hanging="680"/>
        <w:spacing w:after="0" w:line="261"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Amdocs Independently Developed Materials</w:t>
      </w:r>
      <w:r>
        <w:rPr>
          <w:rFonts w:ascii="Arial" w:cs="Arial" w:eastAsia="Arial" w:hAnsi="Arial"/>
          <w:sz w:val="18"/>
          <w:szCs w:val="18"/>
          <w:color w:val="auto"/>
        </w:rPr>
        <w:t>” means those Items that have been developed or created by Amdocs or on Amdocs’s behalf: (i) other than Amdocs Developed Work, (ii) without use of any AT&amp;T Provided Items, and (iii) either (a) in the course of the performance of the Services under an applicable Order or (b) independently of any Services provided under an Order provided that it meets (i) and (ii) above.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960" w:right="180" w:hanging="680"/>
        <w:spacing w:after="0" w:line="314" w:lineRule="auto"/>
        <w:tabs>
          <w:tab w:leader="none" w:pos="960"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“Amdocs Pre-Existing Materials” </w:t>
      </w:r>
      <w:r>
        <w:rPr>
          <w:rFonts w:ascii="Arial" w:cs="Arial" w:eastAsia="Arial" w:hAnsi="Arial"/>
          <w:sz w:val="16"/>
          <w:szCs w:val="16"/>
          <w:color w:val="auto"/>
        </w:rPr>
        <w:t>means those Items owned by Amdocs, other than Amdocs Independently Developed</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and Amdocs Mere Reconfigurations, to the extent and in the form that they both existed prior to the date Amdocs began any Amdocs Developed Work under this Agreement and were created without any use of any of AT&amp;T Provided Items.</w:t>
      </w:r>
    </w:p>
    <w:p>
      <w:pPr>
        <w:spacing w:after="0" w:line="47" w:lineRule="exact"/>
        <w:rPr>
          <w:rFonts w:ascii="Arial" w:cs="Arial" w:eastAsia="Arial" w:hAnsi="Arial"/>
          <w:sz w:val="16"/>
          <w:szCs w:val="16"/>
          <w:color w:val="auto"/>
        </w:rPr>
      </w:pPr>
    </w:p>
    <w:p>
      <w:pPr>
        <w:ind w:left="960" w:right="40" w:hanging="680"/>
        <w:spacing w:after="0" w:line="292" w:lineRule="auto"/>
        <w:tabs>
          <w:tab w:leader="none" w:pos="960"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“Amdocs Mere Reconfigurations” </w:t>
      </w:r>
      <w:r>
        <w:rPr>
          <w:rFonts w:ascii="Arial" w:cs="Arial" w:eastAsia="Arial" w:hAnsi="Arial"/>
          <w:sz w:val="16"/>
          <w:szCs w:val="16"/>
          <w:color w:val="auto"/>
        </w:rPr>
        <w:t>means only those specific reconfigurations of Amdocs’s Pre-Existing Materials or Amdocs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Independently Developed Materials performed by or on behalf of Supplier but only to the extent that such reconfiguration is an enhancement, modification, or update to Supplier’s Software which is strictly required to permit Supplier’s Software to function on AT&amp;T’s network or services platform and which does not constitute Amdocs Developed Work. For clarity, Amdocs Mere Reconfigurations includes enhancements, modifications, or updates to reuse Amdocs’s Pre-Existing Materials or Amdocs Independently Developed Materials, which are pre-existing features from Amdocs’s more current software versions, and backport (e.g., adapt) such features to AT&amp;T’s versions of the Supplier Software currently deployed by AT&amp;T.</w:t>
      </w:r>
    </w:p>
    <w:p>
      <w:pPr>
        <w:spacing w:after="0" w:line="67" w:lineRule="exact"/>
        <w:rPr>
          <w:rFonts w:ascii="Arial" w:cs="Arial" w:eastAsia="Arial" w:hAnsi="Arial"/>
          <w:sz w:val="16"/>
          <w:szCs w:val="16"/>
          <w:color w:val="auto"/>
        </w:rPr>
      </w:pPr>
    </w:p>
    <w:p>
      <w:pPr>
        <w:ind w:left="960" w:right="240" w:hanging="680"/>
        <w:spacing w:after="0" w:line="282"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“AT&amp;T Pre-Existing Materials” </w:t>
      </w:r>
      <w:r>
        <w:rPr>
          <w:rFonts w:ascii="Arial" w:cs="Arial" w:eastAsia="Arial" w:hAnsi="Arial"/>
          <w:sz w:val="18"/>
          <w:szCs w:val="18"/>
          <w:color w:val="auto"/>
        </w:rPr>
        <w:t>means those Items owned by AT&amp;T, to the extent and in the form that they existed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any Services began under this Agreement.</w:t>
      </w:r>
    </w:p>
    <w:p>
      <w:pPr>
        <w:spacing w:after="0" w:line="67" w:lineRule="exact"/>
        <w:rPr>
          <w:rFonts w:ascii="Arial" w:cs="Arial" w:eastAsia="Arial" w:hAnsi="Arial"/>
          <w:sz w:val="18"/>
          <w:szCs w:val="18"/>
          <w:color w:val="auto"/>
        </w:rPr>
      </w:pPr>
    </w:p>
    <w:p>
      <w:pPr>
        <w:ind w:left="960" w:right="140" w:hanging="680"/>
        <w:spacing w:after="0" w:line="266"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“AT&amp;T Provided Items” </w:t>
      </w:r>
      <w:r>
        <w:rPr>
          <w:rFonts w:ascii="Arial" w:cs="Arial" w:eastAsia="Arial" w:hAnsi="Arial"/>
          <w:sz w:val="18"/>
          <w:szCs w:val="18"/>
          <w:color w:val="auto"/>
        </w:rPr>
        <w:t>means AT&amp;T’s Items created by or on behalf of AT&amp;T and directly or indirectly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accessed by, or furnished to Amdocs (in any form, including, without limitation, verbally) by or on behalf of AT&amp;T or its third party providers in connection with this Agreement.</w:t>
      </w:r>
    </w:p>
    <w:p>
      <w:pPr>
        <w:spacing w:after="0" w:line="81" w:lineRule="exact"/>
        <w:rPr>
          <w:rFonts w:ascii="Arial" w:cs="Arial" w:eastAsia="Arial" w:hAnsi="Arial"/>
          <w:sz w:val="18"/>
          <w:szCs w:val="18"/>
          <w:color w:val="auto"/>
        </w:rPr>
      </w:pPr>
    </w:p>
    <w:p>
      <w:pPr>
        <w:ind w:left="960" w:right="60" w:hanging="680"/>
        <w:spacing w:after="0" w:line="273" w:lineRule="auto"/>
        <w:tabs>
          <w:tab w:leader="none" w:pos="96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“Development Fees” </w:t>
      </w:r>
      <w:r>
        <w:rPr>
          <w:rFonts w:ascii="Arial" w:cs="Arial" w:eastAsia="Arial" w:hAnsi="Arial"/>
          <w:sz w:val="17"/>
          <w:szCs w:val="17"/>
          <w:color w:val="auto"/>
        </w:rPr>
        <w:t>means the monies charged to AT&amp;T under this Agreement, any Order or any other document referencing</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for any development Services under this Agreement. Payments not deemed to be Development Fees under this definition shall include (i) license fees; (ii) maintenance and support fees; (iii) revenue sharing arrangements(iv) subscription fees which are recurring in nature to provide AT&amp;T or AT&amp;T’s customers’ ongoing access to or usage of the Services provided by Supplier’s platform; or (v) payment of the standard purchase price for devices or other physical products which AT&amp;T purchases from Supplier and takes title to under this Agreement, in each case as imposed generally by Amdocs on its customers in connection with the provision of services or products.</w:t>
      </w:r>
    </w:p>
    <w:p>
      <w:pPr>
        <w:spacing w:after="0" w:line="77" w:lineRule="exact"/>
        <w:rPr>
          <w:rFonts w:ascii="Arial" w:cs="Arial" w:eastAsia="Arial" w:hAnsi="Arial"/>
          <w:sz w:val="17"/>
          <w:szCs w:val="17"/>
          <w:color w:val="auto"/>
        </w:rPr>
      </w:pPr>
    </w:p>
    <w:p>
      <w:pPr>
        <w:ind w:left="960" w:right="80" w:hanging="680"/>
        <w:spacing w:after="0" w:line="281" w:lineRule="auto"/>
        <w:tabs>
          <w:tab w:leader="none" w:pos="96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“Items” </w:t>
      </w:r>
      <w:r>
        <w:rPr>
          <w:rFonts w:ascii="Arial" w:cs="Arial" w:eastAsia="Arial" w:hAnsi="Arial"/>
          <w:sz w:val="17"/>
          <w:szCs w:val="17"/>
          <w:color w:val="auto"/>
        </w:rPr>
        <w:t>means any or all inventions, discoveries, and ideas (whether patentable or not), and all works and materials,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but not limited to, products, devices, computer programs, reports, plans, models, prototypes, performance requirements, source codes, designs, files, specifications, texts, drawings, processes, data or other Information or Documentation in preliminary or final form, and all Intellectual Property Rights in or to any of the foregoing.</w:t>
      </w:r>
    </w:p>
    <w:p>
      <w:pPr>
        <w:spacing w:after="0" w:line="9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20"/>
          </w:cols>
          <w:pgMar w:left="1440" w:top="27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1480" w:right="200" w:hanging="680"/>
        <w:spacing w:after="0" w:line="258"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or</w:t>
      </w:r>
      <w:r>
        <w:rPr>
          <w:rFonts w:ascii="Arial" w:cs="Arial" w:eastAsia="Arial" w:hAnsi="Arial"/>
          <w:sz w:val="18"/>
          <w:szCs w:val="18"/>
          <w:b w:val="1"/>
          <w:bCs w:val="1"/>
          <w:color w:val="auto"/>
        </w:rPr>
        <w:t xml:space="preserve"> “IPR” </w:t>
      </w:r>
      <w:r>
        <w:rPr>
          <w:rFonts w:ascii="Arial" w:cs="Arial" w:eastAsia="Arial" w:hAnsi="Arial"/>
          <w:sz w:val="18"/>
          <w:szCs w:val="18"/>
          <w:color w:val="auto"/>
        </w:rPr>
        <w:t>means all patents (including all reissues, divisions, continuations, and extensions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patent applications, trade names, trademarks, service marks, logos, trade dress, copyrights, trade secrets, mask works, rights in technology, data base rights, know-how, rights in content (including performance and synchronization rights), or other intellectual property rights that are in each case protected under the Laws of any domestic or foreign governmental authority having jurisdiction.</w:t>
      </w:r>
    </w:p>
    <w:p>
      <w:pPr>
        <w:spacing w:after="0" w:line="89" w:lineRule="exact"/>
        <w:rPr>
          <w:rFonts w:ascii="Arial" w:cs="Arial" w:eastAsia="Arial" w:hAnsi="Arial"/>
          <w:sz w:val="18"/>
          <w:szCs w:val="18"/>
          <w:color w:val="auto"/>
        </w:rPr>
      </w:pPr>
    </w:p>
    <w:p>
      <w:pPr>
        <w:ind w:left="1480" w:right="140" w:hanging="680"/>
        <w:spacing w:after="0" w:line="313" w:lineRule="auto"/>
        <w:tabs>
          <w:tab w:leader="none" w:pos="148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“Software” </w:t>
      </w:r>
      <w:r>
        <w:rPr>
          <w:rFonts w:ascii="Arial" w:cs="Arial" w:eastAsia="Arial" w:hAnsi="Arial"/>
          <w:sz w:val="17"/>
          <w:szCs w:val="17"/>
          <w:color w:val="auto"/>
        </w:rPr>
        <w:t>means a set of instructions or code that Amdocs and AT&amp;T will provide under this Agreement intended to cause a</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 to produce certain results and the associated Documentation for such set of instructions or code.</w:t>
      </w:r>
    </w:p>
    <w:p>
      <w:pPr>
        <w:spacing w:after="0" w:line="43" w:lineRule="exact"/>
        <w:rPr>
          <w:rFonts w:ascii="Arial" w:cs="Arial" w:eastAsia="Arial" w:hAnsi="Arial"/>
          <w:sz w:val="17"/>
          <w:szCs w:val="17"/>
          <w:color w:val="auto"/>
        </w:rPr>
      </w:pPr>
    </w:p>
    <w:p>
      <w:pPr>
        <w:ind w:left="1480" w:right="680" w:hanging="680"/>
        <w:spacing w:after="0" w:line="282"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“Third Party Material” </w:t>
      </w:r>
      <w:r>
        <w:rPr>
          <w:rFonts w:ascii="Arial" w:cs="Arial" w:eastAsia="Arial" w:hAnsi="Arial"/>
          <w:sz w:val="18"/>
          <w:szCs w:val="18"/>
          <w:color w:val="auto"/>
        </w:rPr>
        <w:t>means any software (i) not developed by or on behalf of AT&amp;T, Amdocs, their agents 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under an applicable Order and (ii) not owned by Amdocs or AT&amp;T or an Affiliate.</w:t>
      </w:r>
    </w:p>
    <w:p>
      <w:pPr>
        <w:spacing w:after="0" w:line="67" w:lineRule="exact"/>
        <w:rPr>
          <w:rFonts w:ascii="Arial" w:cs="Arial" w:eastAsia="Arial" w:hAnsi="Arial"/>
          <w:sz w:val="18"/>
          <w:szCs w:val="18"/>
          <w:color w:val="auto"/>
        </w:rPr>
      </w:pPr>
    </w:p>
    <w:p>
      <w:pPr>
        <w:ind w:left="800" w:right="7580" w:hanging="808"/>
        <w:spacing w:after="0" w:line="431" w:lineRule="auto"/>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b w:val="1"/>
          <w:bCs w:val="1"/>
          <w:color w:val="auto"/>
        </w:rPr>
        <w:t xml:space="preserve">Special Terms and Conditions: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w:t>
      </w:r>
    </w:p>
    <w:p>
      <w:pPr>
        <w:ind w:left="1480" w:hanging="680"/>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Developed Works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80" w:right="180" w:hanging="791"/>
        <w:spacing w:after="0" w:line="258" w:lineRule="auto"/>
        <w:tabs>
          <w:tab w:leader="none" w:pos="2280" w:val="left"/>
        </w:tabs>
        <w:numPr>
          <w:ilvl w:val="2"/>
          <w:numId w:val="118"/>
        </w:numPr>
        <w:rPr>
          <w:rFonts w:ascii="Arial" w:cs="Arial" w:eastAsia="Arial" w:hAnsi="Arial"/>
          <w:sz w:val="18"/>
          <w:szCs w:val="18"/>
          <w:color w:val="auto"/>
        </w:rPr>
      </w:pPr>
      <w:r>
        <w:rPr>
          <w:rFonts w:ascii="Arial" w:cs="Arial" w:eastAsia="Arial" w:hAnsi="Arial"/>
          <w:sz w:val="18"/>
          <w:szCs w:val="18"/>
          <w:b w:val="1"/>
          <w:bCs w:val="1"/>
          <w:color w:val="auto"/>
        </w:rPr>
        <w:t>Ownership</w:t>
      </w:r>
      <w:r>
        <w:rPr>
          <w:rFonts w:ascii="Arial" w:cs="Arial" w:eastAsia="Arial" w:hAnsi="Arial"/>
          <w:sz w:val="18"/>
          <w:szCs w:val="18"/>
          <w:color w:val="auto"/>
        </w:rPr>
        <w:t>. Except for any Amdocs Pre-Existing Materials, Amdocs Independently Developed Materials, and</w:t>
      </w:r>
      <w:r>
        <w:rPr>
          <w:rFonts w:ascii="Arial" w:cs="Arial" w:eastAsia="Arial" w:hAnsi="Arial"/>
          <w:sz w:val="18"/>
          <w:szCs w:val="18"/>
          <w:b w:val="1"/>
          <w:bCs w:val="1"/>
          <w:color w:val="auto"/>
        </w:rPr>
        <w:t xml:space="preserve"> </w:t>
      </w:r>
      <w:r>
        <w:rPr>
          <w:rFonts w:ascii="Arial" w:cs="Arial" w:eastAsia="Arial" w:hAnsi="Arial"/>
          <w:sz w:val="18"/>
          <w:szCs w:val="18"/>
          <w:color w:val="auto"/>
        </w:rPr>
        <w:t>Amdocs Mere Reconfigurations that may be embedded therein (but subject to subparagraph b. below), AT&amp;T shall be the exclusive owner of all right, title, and interest in and to all Amdocs Developed Work (“</w:t>
      </w:r>
      <w:r>
        <w:rPr>
          <w:rFonts w:ascii="Arial" w:cs="Arial" w:eastAsia="Arial" w:hAnsi="Arial"/>
          <w:sz w:val="18"/>
          <w:szCs w:val="18"/>
          <w:b w:val="1"/>
          <w:bCs w:val="1"/>
          <w:color w:val="auto"/>
        </w:rPr>
        <w:t>Paid-For</w:t>
      </w:r>
      <w:r>
        <w:rPr>
          <w:rFonts w:ascii="Arial" w:cs="Arial" w:eastAsia="Arial" w:hAnsi="Arial"/>
          <w:sz w:val="18"/>
          <w:szCs w:val="18"/>
          <w:color w:val="auto"/>
        </w:rPr>
        <w:t xml:space="preserve"> </w:t>
      </w:r>
      <w:r>
        <w:rPr>
          <w:rFonts w:ascii="Arial" w:cs="Arial" w:eastAsia="Arial" w:hAnsi="Arial"/>
          <w:sz w:val="18"/>
          <w:szCs w:val="18"/>
          <w:b w:val="1"/>
          <w:bCs w:val="1"/>
          <w:color w:val="auto"/>
        </w:rPr>
        <w:t>Development</w:t>
      </w:r>
      <w:r>
        <w:rPr>
          <w:rFonts w:ascii="Arial" w:cs="Arial" w:eastAsia="Arial" w:hAnsi="Arial"/>
          <w:sz w:val="18"/>
          <w:szCs w:val="18"/>
          <w:color w:val="auto"/>
        </w:rPr>
        <w:t>”). Amdocs shall assign or have assigned to AT&amp;T and hereby assigns to AT&amp;T all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in and to such Paid-For Development.</w:t>
      </w:r>
    </w:p>
    <w:p>
      <w:pPr>
        <w:spacing w:after="0" w:line="89" w:lineRule="exact"/>
        <w:rPr>
          <w:rFonts w:ascii="Arial" w:cs="Arial" w:eastAsia="Arial" w:hAnsi="Arial"/>
          <w:sz w:val="18"/>
          <w:szCs w:val="18"/>
          <w:color w:val="auto"/>
        </w:rPr>
      </w:pPr>
    </w:p>
    <w:p>
      <w:pPr>
        <w:ind w:left="2280" w:right="20" w:hanging="791"/>
        <w:spacing w:after="0" w:line="288" w:lineRule="auto"/>
        <w:tabs>
          <w:tab w:leader="none" w:pos="2280" w:val="left"/>
        </w:tabs>
        <w:numPr>
          <w:ilvl w:val="2"/>
          <w:numId w:val="118"/>
        </w:numPr>
        <w:rPr>
          <w:rFonts w:ascii="Arial" w:cs="Arial" w:eastAsia="Arial" w:hAnsi="Arial"/>
          <w:sz w:val="16"/>
          <w:szCs w:val="16"/>
          <w:color w:val="auto"/>
        </w:rPr>
      </w:pPr>
      <w:r>
        <w:rPr>
          <w:rFonts w:ascii="Arial" w:cs="Arial" w:eastAsia="Arial" w:hAnsi="Arial"/>
          <w:sz w:val="16"/>
          <w:szCs w:val="16"/>
          <w:b w:val="1"/>
          <w:bCs w:val="1"/>
          <w:color w:val="auto"/>
        </w:rPr>
        <w:t>License Grant to Amdocs Pre-Existing and Amdocs Independently Developed Materials</w:t>
      </w:r>
      <w:r>
        <w:rPr>
          <w:rFonts w:ascii="Arial" w:cs="Arial" w:eastAsia="Arial" w:hAnsi="Arial"/>
          <w:sz w:val="16"/>
          <w:szCs w:val="16"/>
          <w:color w:val="auto"/>
        </w:rPr>
        <w:t>. If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Amdocs embeds any Amdocs Pre-Existing Materials and/or Amdocs Independently Developed Materials in the Paid-For Development, subject to the payment of Development Fees as set forth in this Agreement or in any applicable Order, Amdocs hereby grants and promises to grant and have granted to AT&amp;T and its Affiliates a royalty-free, nonexclusive, sublicensable, assignable, transferable, irrevocable, perpetual, world-wide license in and to the Amdocs Pre-Existing Materials or Amdocs Independently Developed Materials and any applicable Intellectual Property Rights of Amdocs to use, copy, modify, distribute, display, perform, import, make, sell, offer to sell, and exploit (and have others do any of the foregoing on or for AT&amp;T’s or any of its Affiliates’ behalf or benefit) the Amdocs Pre-Existing Materials or Amdocs Independently Developed Materials, but only as embedded in the Paid-For Development by Amdocs. Any Amdocs Pre-Existing Materials and/or Amdocs Independently Developed Materials not embedded in Paid-For-Development shall be subject to the applicable license agreement.</w:t>
      </w:r>
    </w:p>
    <w:p>
      <w:pPr>
        <w:spacing w:after="0" w:line="9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40"/>
          </w:cols>
          <w:pgMar w:left="920" w:top="27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2960" w:right="60" w:hanging="791"/>
        <w:spacing w:after="0" w:line="255" w:lineRule="auto"/>
        <w:tabs>
          <w:tab w:leader="none" w:pos="2960"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Further Acts and Obligations</w:t>
      </w:r>
      <w:r>
        <w:rPr>
          <w:rFonts w:ascii="Arial" w:cs="Arial" w:eastAsia="Arial" w:hAnsi="Arial"/>
          <w:sz w:val="18"/>
          <w:szCs w:val="18"/>
          <w:color w:val="auto"/>
        </w:rPr>
        <w:t>. Amdocs will take or secure such action (including, but not limited to,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acknowledgment, delivery and assistance in preparation of documents or the giving of testimony) as may be reasonably requested by AT&amp;T to evidence, transfer, perfect, vest or confirm AT&amp;T’s right, title and interest in any Paid-For Development. Amdocs shall, in all events and without the need of AT&amp;T’s request, secure all Intellectual Property Rights in any Paid-For Development (and any licenses specified above in any Excluded Materials) from each employee, agent, Subcontractor or sub-supplier of Amdocs who has or will have any rights in the Paid-For Development or Excluded Materials.</w:t>
      </w:r>
    </w:p>
    <w:p>
      <w:pPr>
        <w:spacing w:after="0" w:line="94" w:lineRule="exact"/>
        <w:rPr>
          <w:rFonts w:ascii="Arial" w:cs="Arial" w:eastAsia="Arial" w:hAnsi="Arial"/>
          <w:sz w:val="18"/>
          <w:szCs w:val="18"/>
          <w:color w:val="auto"/>
        </w:rPr>
      </w:pPr>
    </w:p>
    <w:p>
      <w:pPr>
        <w:ind w:left="2960" w:right="120" w:hanging="791"/>
        <w:spacing w:after="0" w:line="254" w:lineRule="auto"/>
        <w:tabs>
          <w:tab w:leader="none" w:pos="2960"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Reservation of Rights and Limited License</w:t>
      </w:r>
      <w:r>
        <w:rPr>
          <w:rFonts w:ascii="Arial" w:cs="Arial" w:eastAsia="Arial" w:hAnsi="Arial"/>
          <w:sz w:val="18"/>
          <w:szCs w:val="18"/>
          <w:color w:val="auto"/>
        </w:rPr>
        <w:t>. Except as explicitly granted in this Agreement, AT&amp;T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transferring or granting to Amdocs or its Affiliates any right, title, or interest in or to (or granting to Amdocs or its Affiliates any license or other permissions in or to) any Intellectual Property Rights in or to any AT&amp;T Pre-Existing Materials, AT&amp;T Items, AT&amp;T Provided Items, or Paid-For Development. Except as explicitly granted in this Agreement, Amdocs is not transferring or granting to AT&amp;T or its Affiliates any right, title, or interest in or to (or granting to AT&amp;T or its Affiliates any license or other permissions in or to) any Intellectual Property Rights in or to any Amdocs Pre-Existing Materials, Amdocs Independently Developed Materials, or Amdocs Mere Reconfigurations. AT&amp;T Pre-Existing Materials, AT&amp;T Provided Items, and Paid-For Development shall constitute AT&amp;T Information under this Agreement.</w:t>
      </w:r>
    </w:p>
    <w:p>
      <w:pPr>
        <w:spacing w:after="0" w:line="94" w:lineRule="exact"/>
        <w:rPr>
          <w:rFonts w:ascii="Arial" w:cs="Arial" w:eastAsia="Arial" w:hAnsi="Arial"/>
          <w:sz w:val="18"/>
          <w:szCs w:val="18"/>
          <w:color w:val="auto"/>
        </w:rPr>
      </w:pPr>
    </w:p>
    <w:p>
      <w:pPr>
        <w:ind w:left="2160" w:hanging="680"/>
        <w:spacing w:after="0"/>
        <w:tabs>
          <w:tab w:leader="none" w:pos="21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Ownership of Pre-Existing and Independently Developed Materials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960" w:right="60" w:hanging="791"/>
        <w:spacing w:after="0" w:line="312" w:lineRule="auto"/>
        <w:tabs>
          <w:tab w:leader="none" w:pos="29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Subject to the licenses herein, Amdocs shall retain ownership and all right, title and interest therein and thereto of all Amdocs Pre-Existing Materials, Amdocs Independently Developed Materials, and Amdocs Mere Reconfigurations. AT&amp;T acknowledges that Amdocs may pursue the development of Amdocs Independently Developed Materials.</w:t>
      </w:r>
    </w:p>
    <w:p>
      <w:pPr>
        <w:spacing w:after="0" w:line="52" w:lineRule="exact"/>
        <w:rPr>
          <w:rFonts w:ascii="Arial" w:cs="Arial" w:eastAsia="Arial" w:hAnsi="Arial"/>
          <w:sz w:val="16"/>
          <w:szCs w:val="16"/>
          <w:color w:val="auto"/>
        </w:rPr>
      </w:pPr>
    </w:p>
    <w:p>
      <w:pPr>
        <w:ind w:left="2960" w:right="540" w:hanging="791"/>
        <w:spacing w:after="0" w:line="277" w:lineRule="auto"/>
        <w:tabs>
          <w:tab w:leader="none" w:pos="29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AT&amp;T shall retain ownership and all right, title and interest in and to all AT&amp;T Pre-Existing Materials, AT&amp;T Provided Items and Paid-For Development.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5"/>
          <w:szCs w:val="15"/>
          <w:b w:val="1"/>
          <w:bCs w:val="1"/>
          <w:color w:val="auto"/>
        </w:rPr>
        <w:t>Prices</w:t>
      </w:r>
    </w:p>
    <w:p>
      <w:pPr>
        <w:spacing w:after="0" w:line="135" w:lineRule="exact"/>
        <w:rPr>
          <w:sz w:val="20"/>
          <w:szCs w:val="20"/>
          <w:color w:val="auto"/>
        </w:rPr>
      </w:pPr>
    </w:p>
    <w:p>
      <w:pPr>
        <w:ind w:left="1480" w:right="60" w:hanging="797"/>
        <w:spacing w:after="0" w:line="273" w:lineRule="auto"/>
        <w:tabs>
          <w:tab w:leader="none" w:pos="14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Supplier shall furnish Work at the prices set forth in Appendix A, or pursuant to firm prices quoted by Supplier for such Work. Commencing January 2018, Supplier may elect to increase the prices in Appendix A annually. Supplier agrees to review such proposed rate increases with AT&amp;T Global Supply Chain and AT&amp;T Technology Development management. Such increases may not exceed the [***], as published in the month preceding the month in which the price increase is proposed. [***]. The prices for all Work in Appendix A are subject to increase only in accordance with this Agreement, changes to which must be in writing, reviewed by AT&amp;T management and signed by both Parties as an Amendment to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jc w:val="both"/>
        <w:ind w:left="1480" w:right="40" w:hanging="797"/>
        <w:spacing w:after="0" w:line="264"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Supplier shall strive to proactively reduce its costs and corresponding prices for long term Work as charged to AT&amp;T each calendar year, through the use of improved processes, supply chain economies and other cost reduction methods. Supplier requests AT&amp;T’s cooperation with Supplier’s efforts to reduce Supplier’s costs for long term Work.</w:t>
      </w:r>
    </w:p>
    <w:p>
      <w:pPr>
        <w:spacing w:after="0" w:line="86" w:lineRule="exact"/>
        <w:rPr>
          <w:rFonts w:ascii="Arial" w:cs="Arial" w:eastAsia="Arial" w:hAnsi="Arial"/>
          <w:sz w:val="18"/>
          <w:szCs w:val="18"/>
          <w:color w:val="auto"/>
        </w:rPr>
      </w:pPr>
    </w:p>
    <w:p>
      <w:pPr>
        <w:ind w:left="1480" w:right="560" w:hanging="797"/>
        <w:spacing w:after="0" w:line="277"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event that Supplier provides Work to AT&amp;T through another entity with which AT&amp;T has an agreement, such Work shall be provided at [***] the rates specified in this Agreement.</w:t>
      </w:r>
    </w:p>
    <w:p>
      <w:pPr>
        <w:spacing w:after="0" w:line="75" w:lineRule="exact"/>
        <w:rPr>
          <w:rFonts w:ascii="Arial" w:cs="Arial" w:eastAsia="Arial" w:hAnsi="Arial"/>
          <w:sz w:val="18"/>
          <w:szCs w:val="18"/>
          <w:color w:val="auto"/>
        </w:rPr>
      </w:pPr>
    </w:p>
    <w:p>
      <w:pPr>
        <w:ind w:left="1480" w:hanging="797"/>
        <w:spacing w:after="0" w:line="257"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Supplier confirms that the financial terms and conditions applicable to the Services provided under this Agreement are, as of the Effective Date of this Agreement, and, during the term of this Agreement, shall [***] For clarity, the Parties acknowledge that the signatory is authorized by and that the written attestation represents approval from the then-current Chief Executive Officer (CEO), currently Eli Gelman, Chief Financial Officer (CFO), currently Tamar Rapaport-Dagim, or Chief Business Officer (CBO), currently Shuky Sheffer, of Amdocs Management Ltd.</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6"/>
          <w:szCs w:val="16"/>
          <w:b w:val="1"/>
          <w:bCs w:val="1"/>
          <w:color w:val="auto"/>
        </w:rPr>
        <w:t>Publicity</w:t>
      </w:r>
    </w:p>
    <w:p>
      <w:pPr>
        <w:spacing w:after="0" w:line="135" w:lineRule="exact"/>
        <w:rPr>
          <w:sz w:val="20"/>
          <w:szCs w:val="20"/>
          <w:color w:val="auto"/>
        </w:rPr>
      </w:pPr>
    </w:p>
    <w:p>
      <w:pPr>
        <w:ind w:left="1480" w:right="220" w:hanging="797"/>
        <w:spacing w:after="0" w:line="291" w:lineRule="auto"/>
        <w:tabs>
          <w:tab w:leader="none" w:pos="14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Supplier shall not use AT&amp;T’s or its Affiliates’ names or any language, pictures, trademarks, service marks or symbols which could, in AT&amp;T’s judgment, imply AT&amp;T’s or its Affiliates’ identity or endorsement by AT&amp;T, its Affiliates or any of its employees in any</w:t>
      </w:r>
    </w:p>
    <w:p>
      <w:pPr>
        <w:jc w:val="both"/>
        <w:ind w:left="1480" w:right="160"/>
        <w:spacing w:after="0" w:line="255" w:lineRule="auto"/>
        <w:rPr>
          <w:rFonts w:ascii="Arial" w:cs="Arial" w:eastAsia="Arial" w:hAnsi="Arial"/>
          <w:sz w:val="16"/>
          <w:szCs w:val="16"/>
          <w:color w:val="auto"/>
        </w:rPr>
      </w:pPr>
      <w:r>
        <w:rPr>
          <w:rFonts w:ascii="Arial" w:cs="Arial" w:eastAsia="Arial" w:hAnsi="Arial"/>
          <w:sz w:val="18"/>
          <w:szCs w:val="18"/>
          <w:color w:val="auto"/>
        </w:rPr>
        <w:t>(i) written, electronic, or oral advertising or presentation or (ii) brochure, newsletter, book, electronic database, or other written material of whatever nature. Supplier may submit a publicity request to AT&amp;T for written approval, which AT&amp;T may accept or reject at its sole discretion.</w:t>
      </w:r>
    </w:p>
    <w:p>
      <w:pPr>
        <w:spacing w:after="0" w:line="95" w:lineRule="exact"/>
        <w:rPr>
          <w:rFonts w:ascii="Arial" w:cs="Arial" w:eastAsia="Arial" w:hAnsi="Arial"/>
          <w:sz w:val="16"/>
          <w:szCs w:val="16"/>
          <w:color w:val="auto"/>
        </w:rPr>
      </w:pPr>
    </w:p>
    <w:p>
      <w:pPr>
        <w:ind w:left="1480" w:right="60" w:hanging="797"/>
        <w:spacing w:after="0" w:line="312" w:lineRule="auto"/>
        <w:tabs>
          <w:tab w:leader="none" w:pos="14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AT&amp;T acknowledges that Supplier is a publicly traded corporation and is therefore subject to certain reporting rules that may require that Supplier publish certain matters which relate to AT&amp;T and that Supplier may make such factual publications or disclosures without marketing hyperbole or “puffery” as may be required by Law or the rules of any securities exchange on which it is traded.</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3.30</w:t>
      </w:r>
      <w:r>
        <w:rPr>
          <w:sz w:val="20"/>
          <w:szCs w:val="20"/>
          <w:color w:val="auto"/>
        </w:rPr>
        <w:tab/>
      </w:r>
      <w:r>
        <w:rPr>
          <w:rFonts w:ascii="Arial" w:cs="Arial" w:eastAsia="Arial" w:hAnsi="Arial"/>
          <w:sz w:val="16"/>
          <w:szCs w:val="16"/>
          <w:b w:val="1"/>
          <w:bCs w:val="1"/>
          <w:color w:val="auto"/>
        </w:rPr>
        <w:t>Quality Assurance</w:t>
      </w:r>
    </w:p>
    <w:p>
      <w:pPr>
        <w:spacing w:after="0" w:line="131" w:lineRule="exact"/>
        <w:rPr>
          <w:sz w:val="20"/>
          <w:szCs w:val="20"/>
          <w:color w:val="auto"/>
        </w:rPr>
      </w:pPr>
    </w:p>
    <w:p>
      <w:pPr>
        <w:ind w:left="1480" w:hanging="797"/>
        <w:spacing w:after="0"/>
        <w:tabs>
          <w:tab w:leader="none" w:pos="14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Quality</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For the term of this Agreement, Supplier and Supplier’s Subcontractor organization(s) will have a quality program in place.</w:t>
      </w:r>
    </w:p>
    <w:p>
      <w:pPr>
        <w:spacing w:after="0" w:line="138" w:lineRule="exact"/>
        <w:rPr>
          <w:rFonts w:ascii="Arial" w:cs="Arial" w:eastAsia="Arial" w:hAnsi="Arial"/>
          <w:sz w:val="17"/>
          <w:szCs w:val="17"/>
          <w:color w:val="auto"/>
        </w:rPr>
      </w:pPr>
    </w:p>
    <w:p>
      <w:pPr>
        <w:jc w:val="both"/>
        <w:ind w:left="2160" w:right="580" w:hanging="680"/>
        <w:spacing w:after="0" w:line="314" w:lineRule="auto"/>
        <w:tabs>
          <w:tab w:leader="none" w:pos="2160" w:val="left"/>
        </w:tabs>
        <w:numPr>
          <w:ilvl w:val="1"/>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CMM Level-3 Assessment. </w:t>
      </w:r>
      <w:r>
        <w:rPr>
          <w:rFonts w:ascii="Arial" w:cs="Arial" w:eastAsia="Arial" w:hAnsi="Arial"/>
          <w:sz w:val="16"/>
          <w:szCs w:val="16"/>
          <w:color w:val="auto"/>
        </w:rPr>
        <w:t>Supplier Custom Software development organization(s) that are supporting AT&amp;T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will obtain and maintain a CMM Level-3 Assessment, as prescribed by the Software Engineering Institute. Supplier’s OnGoing Support resources shall follow the AT&amp;T quality assurance program and process.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1480" w:hanging="797"/>
        <w:spacing w:after="0"/>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Testing</w:t>
      </w:r>
    </w:p>
    <w:p>
      <w:pPr>
        <w:spacing w:after="0" w:line="134" w:lineRule="exact"/>
        <w:rPr>
          <w:rFonts w:ascii="Arial" w:cs="Arial" w:eastAsia="Arial" w:hAnsi="Arial"/>
          <w:sz w:val="18"/>
          <w:szCs w:val="18"/>
          <w:color w:val="auto"/>
        </w:rPr>
      </w:pPr>
    </w:p>
    <w:p>
      <w:pPr>
        <w:ind w:left="2160" w:right="1060" w:hanging="680"/>
        <w:spacing w:after="0" w:line="277" w:lineRule="auto"/>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Supplier shall perform or cause to be performed testing sufficient to ensure Work performs in accordance with the Specifications.</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testing indicates Work does not conform to the Specifications, then Supplier shall promptly notify AT&amp;T, in writing, of such non-conformance before shipment or provision of Work.</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AT&amp;T will advise Supplier whether Supplier should Deliver the non-conforming Work.</w:t>
      </w:r>
    </w:p>
    <w:p>
      <w:pPr>
        <w:spacing w:after="0" w:line="130" w:lineRule="exact"/>
        <w:rPr>
          <w:rFonts w:ascii="Arial" w:cs="Arial" w:eastAsia="Arial" w:hAnsi="Arial"/>
          <w:sz w:val="18"/>
          <w:szCs w:val="18"/>
          <w:color w:val="auto"/>
        </w:rPr>
      </w:pPr>
    </w:p>
    <w:p>
      <w:pPr>
        <w:ind w:left="2160" w:right="20" w:hanging="680"/>
        <w:spacing w:after="0" w:line="264" w:lineRule="auto"/>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event AT&amp;T instructs Supplier to Deliver non-conforming Work, Supplier shall not be relieved of any of its obligations hereunder, including warranty obligations. AT&amp;T’s receipt of any such nonconforming Work shall not constitute a waiver of any of AT&amp;T’s rights, warranties, or remedies under this Agreement or elsewhere.</w:t>
      </w:r>
    </w:p>
    <w:p>
      <w:pPr>
        <w:spacing w:after="0" w:line="82" w:lineRule="exact"/>
        <w:rPr>
          <w:rFonts w:ascii="Arial" w:cs="Arial" w:eastAsia="Arial" w:hAnsi="Arial"/>
          <w:sz w:val="18"/>
          <w:szCs w:val="18"/>
          <w:color w:val="auto"/>
        </w:rPr>
      </w:pPr>
    </w:p>
    <w:p>
      <w:pPr>
        <w:ind w:left="1480" w:hanging="797"/>
        <w:spacing w:after="0"/>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Supplier Performance Management Program and Satisfaction Survey</w:t>
      </w:r>
    </w:p>
    <w:p>
      <w:pPr>
        <w:spacing w:after="0" w:line="134" w:lineRule="exact"/>
        <w:rPr>
          <w:rFonts w:ascii="Arial" w:cs="Arial" w:eastAsia="Arial" w:hAnsi="Arial"/>
          <w:sz w:val="18"/>
          <w:szCs w:val="18"/>
          <w:color w:val="auto"/>
        </w:rPr>
      </w:pPr>
    </w:p>
    <w:p>
      <w:pPr>
        <w:ind w:left="2160" w:right="300" w:hanging="680"/>
        <w:spacing w:after="0" w:line="277" w:lineRule="auto"/>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Upon AT&amp;T’s request, Supplier shall participate in an AT&amp;T supplier performance management program and/or satisfaction survey (“Survey”).</w:t>
      </w:r>
    </w:p>
    <w:p>
      <w:pPr>
        <w:spacing w:after="0" w:line="75" w:lineRule="exact"/>
        <w:rPr>
          <w:rFonts w:ascii="Arial" w:cs="Arial" w:eastAsia="Arial" w:hAnsi="Arial"/>
          <w:sz w:val="18"/>
          <w:szCs w:val="18"/>
          <w:color w:val="auto"/>
        </w:rPr>
      </w:pPr>
    </w:p>
    <w:p>
      <w:pPr>
        <w:jc w:val="both"/>
        <w:ind w:left="2160" w:right="520" w:hanging="680"/>
        <w:spacing w:after="0" w:line="264" w:lineRule="auto"/>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Supplier shall meet or exceed the quality performance requirements in the Survey categories applicable to Supplier. If the Survey reveals areas needing improvement. Supplier shall provide AT&amp;T a plan addressing such areas within [***] after Supplier’s receipt of the Survey results.</w:t>
      </w:r>
    </w:p>
    <w:p>
      <w:pPr>
        <w:spacing w:after="0" w:line="82" w:lineRule="exact"/>
        <w:rPr>
          <w:rFonts w:ascii="Arial" w:cs="Arial" w:eastAsia="Arial" w:hAnsi="Arial"/>
          <w:sz w:val="18"/>
          <w:szCs w:val="18"/>
          <w:color w:val="auto"/>
        </w:rPr>
      </w:pPr>
    </w:p>
    <w:p>
      <w:pPr>
        <w:ind w:left="1500" w:right="7340" w:hanging="817"/>
        <w:spacing w:after="0" w:line="434" w:lineRule="auto"/>
        <w:tabs>
          <w:tab w:leader="none" w:pos="1489"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Supplier Performance Scorecards </w:t>
      </w:r>
      <w:r>
        <w:rPr>
          <w:rFonts w:ascii="Arial" w:cs="Arial" w:eastAsia="Arial" w:hAnsi="Arial"/>
          <w:sz w:val="16"/>
          <w:szCs w:val="16"/>
          <w:color w:val="auto"/>
        </w:rPr>
        <w:t>At AT&amp;T’s request Supplier shall:</w:t>
      </w:r>
    </w:p>
    <w:p>
      <w:pPr>
        <w:ind w:left="2160" w:hanging="680"/>
        <w:spacing w:after="0"/>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collect data relating to Supplier’s performance on a schedule established by AT&amp;T;</w:t>
      </w:r>
    </w:p>
    <w:p>
      <w:pPr>
        <w:spacing w:after="0" w:line="130" w:lineRule="exact"/>
        <w:rPr>
          <w:rFonts w:ascii="Arial" w:cs="Arial" w:eastAsia="Arial" w:hAnsi="Arial"/>
          <w:sz w:val="18"/>
          <w:szCs w:val="18"/>
          <w:color w:val="auto"/>
        </w:rPr>
      </w:pPr>
    </w:p>
    <w:p>
      <w:pPr>
        <w:ind w:left="2160" w:right="360" w:hanging="680"/>
        <w:spacing w:after="0" w:line="277" w:lineRule="auto"/>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enter the data in AT&amp;T’s supplier portal (website) available at: </w:t>
      </w:r>
      <w:r>
        <w:rPr>
          <w:rFonts w:ascii="Arial" w:cs="Arial" w:eastAsia="Arial" w:hAnsi="Arial"/>
          <w:sz w:val="18"/>
          <w:szCs w:val="18"/>
          <w:u w:val="single" w:color="auto"/>
          <w:color w:val="auto"/>
        </w:rPr>
        <w:t>http://www.attsuppliers.com/</w:t>
      </w:r>
      <w:r>
        <w:rPr>
          <w:rFonts w:ascii="Arial" w:cs="Arial" w:eastAsia="Arial" w:hAnsi="Arial"/>
          <w:sz w:val="18"/>
          <w:szCs w:val="18"/>
          <w:color w:val="auto"/>
        </w:rPr>
        <w:t xml:space="preserve"> (subject to change) in a format designated by AT&amp;T; and</w:t>
      </w:r>
    </w:p>
    <w:p>
      <w:pPr>
        <w:spacing w:after="0" w:line="75" w:lineRule="exact"/>
        <w:rPr>
          <w:rFonts w:ascii="Arial" w:cs="Arial" w:eastAsia="Arial" w:hAnsi="Arial"/>
          <w:sz w:val="18"/>
          <w:szCs w:val="18"/>
          <w:color w:val="auto"/>
        </w:rPr>
      </w:pPr>
    </w:p>
    <w:p>
      <w:pPr>
        <w:ind w:left="2160" w:right="600" w:hanging="680"/>
        <w:spacing w:after="0" w:line="277" w:lineRule="auto"/>
        <w:tabs>
          <w:tab w:leader="none" w:pos="2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cooperate fully with AT&amp;T’s supplier performance management team to coordinate Supplier’s activities as related to the scorecards, which may include participation in feedback sessions, audits and issue resolution..</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Records and Audits</w:t>
      </w:r>
    </w:p>
    <w:p>
      <w:pPr>
        <w:spacing w:after="0" w:line="135" w:lineRule="exact"/>
        <w:rPr>
          <w:sz w:val="20"/>
          <w:szCs w:val="20"/>
          <w:color w:val="auto"/>
        </w:rPr>
      </w:pPr>
    </w:p>
    <w:p>
      <w:pPr>
        <w:ind w:left="1480" w:right="80" w:hanging="797"/>
        <w:spacing w:after="0" w:line="264" w:lineRule="auto"/>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Supplier shall maintain complete and accurate records relating to the Work and the performance of this Agreement. AT&amp;T through its external, independent auditors and governmental authorities shall have the right, upon reasonable notice, to review such records (“AT&amp;T Audits”), to verify the following: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hanging="680"/>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accuracy and integrity of Supplier’s invoices and AT&amp;T’s payment obligations hereunder;</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that the Work charged for was actually performed;</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that the Services have been and are being provided in accordance with this Agreement;</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integrity of Supplier’s systems that process, store, support, maintain, and transmit AT&amp;T data;</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performance of Supplier’s Subcontractors with respect to any portion of the Services; and</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that Supplier and its Subcontractors are complying with Laws in accordance with its obligations under this Agreement.</w:t>
      </w:r>
    </w:p>
    <w:p>
      <w:pPr>
        <w:spacing w:after="0" w:line="142" w:lineRule="exact"/>
        <w:rPr>
          <w:rFonts w:ascii="Arial" w:cs="Arial" w:eastAsia="Arial" w:hAnsi="Arial"/>
          <w:sz w:val="17"/>
          <w:szCs w:val="17"/>
          <w:color w:val="auto"/>
        </w:rPr>
      </w:pPr>
    </w:p>
    <w:p>
      <w:pPr>
        <w:ind w:left="800" w:right="320" w:hanging="797"/>
        <w:spacing w:after="0" w:line="264" w:lineRule="auto"/>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Upon reasonable request, Supplier shall provide and shall require that its Subcontractors provide to AT&amp;T, its external auditors, and governmental authorities, access, at all reasonable times and in a manner designed to not unreasonably interrupt the ordinary business operations of Supplier or its Subcontractors, to:</w:t>
      </w:r>
    </w:p>
    <w:p>
      <w:pPr>
        <w:spacing w:after="0" w:line="86" w:lineRule="exact"/>
        <w:rPr>
          <w:rFonts w:ascii="Arial" w:cs="Arial" w:eastAsia="Arial" w:hAnsi="Arial"/>
          <w:sz w:val="18"/>
          <w:szCs w:val="18"/>
          <w:color w:val="auto"/>
        </w:rPr>
      </w:pPr>
    </w:p>
    <w:p>
      <w:pPr>
        <w:ind w:left="1480" w:hanging="680"/>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facility at which the Services or any portion thereof are being performed;</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systems and assets used to provide the Services or any portion thereof;</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Supplier employees and Subcontractor employees providing the Services or any portion thereof; and</w:t>
      </w:r>
    </w:p>
    <w:p>
      <w:pPr>
        <w:spacing w:after="0" w:line="130" w:lineRule="exact"/>
        <w:rPr>
          <w:rFonts w:ascii="Arial" w:cs="Arial" w:eastAsia="Arial" w:hAnsi="Arial"/>
          <w:sz w:val="18"/>
          <w:szCs w:val="18"/>
          <w:color w:val="auto"/>
        </w:rPr>
      </w:pPr>
    </w:p>
    <w:p>
      <w:pPr>
        <w:ind w:left="1480" w:right="40" w:hanging="680"/>
        <w:spacing w:after="0" w:line="277" w:lineRule="auto"/>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relevant Supplier and Subcontractor records, including financial records relating to the invoices and payment obligations and supporting documentation, pertaining to the Services.</w:t>
      </w:r>
    </w:p>
    <w:p>
      <w:pPr>
        <w:spacing w:after="0" w:line="62" w:lineRule="exact"/>
        <w:rPr>
          <w:sz w:val="20"/>
          <w:szCs w:val="20"/>
          <w:color w:val="auto"/>
        </w:rPr>
      </w:pPr>
    </w:p>
    <w:p>
      <w:pPr>
        <w:ind w:left="820" w:right="80"/>
        <w:spacing w:after="0" w:line="264" w:lineRule="auto"/>
        <w:rPr>
          <w:sz w:val="20"/>
          <w:szCs w:val="20"/>
          <w:color w:val="auto"/>
        </w:rPr>
      </w:pPr>
      <w:r>
        <w:rPr>
          <w:rFonts w:ascii="Arial" w:cs="Arial" w:eastAsia="Arial" w:hAnsi="Arial"/>
          <w:sz w:val="18"/>
          <w:szCs w:val="18"/>
          <w:color w:val="auto"/>
        </w:rPr>
        <w:t>AT&amp;T’s access to the records and other supporting documentation shall include the right to inspect and photocopy Supplier’s documentation and the documentation of its Subcontractors, and the right to inspect copies thereof outside of their physical location with appropriate safeguards, if such inspection is deemed reasonably necessary by AT&amp;T.</w:t>
      </w:r>
    </w:p>
    <w:p>
      <w:pPr>
        <w:spacing w:after="0" w:line="87" w:lineRule="exact"/>
        <w:rPr>
          <w:sz w:val="20"/>
          <w:szCs w:val="20"/>
          <w:color w:val="auto"/>
        </w:rPr>
      </w:pPr>
    </w:p>
    <w:p>
      <w:pPr>
        <w:ind w:left="800" w:hanging="797"/>
        <w:spacing w:after="0" w:line="257" w:lineRule="auto"/>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AT&amp;T Audits may be conducted once a year (or more frequently if requested by governmental authorities who regulate AT&amp;T’s business, if required by applicable Law or if auditors require follow-up access to complete audit inquiries or if an audit uncovers any problems or deficiencies), upon at least twenty (20) business days advance notice (unless otherwise mandated by Law). Supplier will cooperate, and will ensure that its Subcontractors cooperate, in the AT&amp;T Audits, and will make the information reasonably required to conduct the AT&amp;T Audits available on a timely basis.</w:t>
      </w:r>
    </w:p>
    <w:p>
      <w:pPr>
        <w:spacing w:after="0" w:line="11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40"/>
          </w:cols>
          <w:pgMar w:left="920" w:top="27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20" w:hanging="797"/>
        <w:spacing w:after="0" w:line="271" w:lineRule="auto"/>
        <w:tabs>
          <w:tab w:leader="none" w:pos="8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If any such audit reveals an overcharge by Supplier, and Supplier does not successfully dispute the amount questioned by such audit, Supplier shall [***] at the at the then-current “Prime Rate” set forth in the “Money Rates” table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Prime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Rate</w:t>
      </w:r>
      <w:r>
        <w:rPr>
          <w:rFonts w:ascii="Arial" w:cs="Arial" w:eastAsia="Arial" w:hAnsi="Arial"/>
          <w:sz w:val="17"/>
          <w:szCs w:val="17"/>
          <w:color w:val="auto"/>
        </w:rPr>
        <w:t>”). If any such AT&amp;T Audit reveals an overcharge to AT&amp;T during any 12-month period [***] paid by AT&amp;T hereunder during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period, then Supplier will reimburse AT&amp;T for the reasonable cost of such AT&amp;T Audit. In the event such an audit results in a determination that Supplier has undercharged AT&amp;T, then AT&amp;T shall promptly pay to Supplier the amount of such undercharges. If, as a result of an AT&amp;T Audit, AT&amp;T determines that Supplier has committed a material breach of this Agreement, AT&amp;T will notify Supplier promptly and Supplier will promptly remedy the breach. In the event Supplier disputes the Audit finding, such dispute will be subject to escalation and dispute resolution in accordance with Section 4.5.</w:t>
      </w:r>
    </w:p>
    <w:p>
      <w:pPr>
        <w:spacing w:after="0" w:line="84" w:lineRule="exact"/>
        <w:rPr>
          <w:rFonts w:ascii="Arial" w:cs="Arial" w:eastAsia="Arial" w:hAnsi="Arial"/>
          <w:sz w:val="17"/>
          <w:szCs w:val="17"/>
          <w:color w:val="auto"/>
        </w:rPr>
      </w:pPr>
    </w:p>
    <w:p>
      <w:pPr>
        <w:ind w:left="800" w:right="60" w:hanging="797"/>
        <w:spacing w:after="0" w:line="257" w:lineRule="auto"/>
        <w:tabs>
          <w:tab w:leader="none" w:pos="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Supplier will maintain and retain the records set forth in Subsection (a) for a period of three (3) years from their creation (unless a discovery or legal hold request is made with respect to such records, in which case Supplier shall retain such records until AT&amp;T notifies Supplier that such discovery or legal hold request has expired). Upon notification by AT&amp;T of a discovery or legal hold request, Supplier shall fully cooperate with such request and immediately preserve any Supplier records covered by such request and promptly provide such Supplier records requested by AT&amp;T related to the inquiry.</w:t>
      </w:r>
    </w:p>
    <w:p>
      <w:pPr>
        <w:spacing w:after="0" w:line="93" w:lineRule="exact"/>
        <w:rPr>
          <w:rFonts w:ascii="Arial" w:cs="Arial" w:eastAsia="Arial" w:hAnsi="Arial"/>
          <w:sz w:val="18"/>
          <w:szCs w:val="18"/>
          <w:color w:val="auto"/>
        </w:rPr>
      </w:pPr>
    </w:p>
    <w:p>
      <w:pPr>
        <w:ind w:left="800" w:right="180" w:hanging="797"/>
        <w:spacing w:after="0" w:line="257" w:lineRule="auto"/>
        <w:tabs>
          <w:tab w:leader="none" w:pos="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provided in Subsection (d), all reasonable out-of-pocket costs and expenses incurred by AT&amp;T in connection with an AT&amp;T Audit shall be paid by AT&amp;T. Supplier shall be solely responsible for all costs and expenses incurred by Supplier in connection with its obligations under this Section. In the event that either Party requires that an audit be performed by an independent auditor, unless otherwise specified herein, the Party requesting such independent auditor will be responsible for the costs and expenses associated with the independent auditor.</w:t>
      </w:r>
    </w:p>
    <w:p>
      <w:pPr>
        <w:spacing w:after="0" w:line="93" w:lineRule="exact"/>
        <w:rPr>
          <w:rFonts w:ascii="Arial" w:cs="Arial" w:eastAsia="Arial" w:hAnsi="Arial"/>
          <w:sz w:val="18"/>
          <w:szCs w:val="18"/>
          <w:color w:val="auto"/>
        </w:rPr>
      </w:pPr>
    </w:p>
    <w:p>
      <w:pPr>
        <w:ind w:left="800" w:hanging="797"/>
        <w:spacing w:after="0"/>
        <w:tabs>
          <w:tab w:leader="none" w:pos="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AT&amp;T requests for audits or inspections of Supplier Subcontractors, the following applies:</w:t>
      </w:r>
    </w:p>
    <w:p>
      <w:pPr>
        <w:spacing w:after="0" w:line="130" w:lineRule="exact"/>
        <w:rPr>
          <w:rFonts w:ascii="Arial" w:cs="Arial" w:eastAsia="Arial" w:hAnsi="Arial"/>
          <w:sz w:val="18"/>
          <w:szCs w:val="18"/>
          <w:color w:val="auto"/>
        </w:rPr>
      </w:pPr>
    </w:p>
    <w:p>
      <w:pPr>
        <w:ind w:left="1480" w:right="300" w:hanging="680"/>
        <w:spacing w:after="0" w:line="264" w:lineRule="auto"/>
        <w:tabs>
          <w:tab w:leader="none" w:pos="14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Supplier’s agreement with its applicable Subcontractor permits an AT&amp;T Audit, AT&amp;T shall be permitted to conduct such audit directly or through a third party representative. Supplier shall work with AT&amp;T in facilitating the Subcontractor’s cooperation for an expeditious and thorough audit or inspection.</w:t>
      </w:r>
    </w:p>
    <w:p>
      <w:pPr>
        <w:spacing w:after="0" w:line="86" w:lineRule="exact"/>
        <w:rPr>
          <w:rFonts w:ascii="Arial" w:cs="Arial" w:eastAsia="Arial" w:hAnsi="Arial"/>
          <w:sz w:val="18"/>
          <w:szCs w:val="18"/>
          <w:color w:val="auto"/>
        </w:rPr>
      </w:pPr>
    </w:p>
    <w:p>
      <w:pPr>
        <w:ind w:left="1480" w:right="20" w:hanging="680"/>
        <w:spacing w:after="0" w:line="254" w:lineRule="auto"/>
        <w:tabs>
          <w:tab w:leader="none" w:pos="14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Supplier’s contract with its applicable Subcontractor precludes AT&amp;T from directly conducting an audit or inspection, Supplier shall use reasonable best efforts to enable AT&amp;T to perform an audit of the Subcontractor with Supplier coordinating the audit process. Failing those efforts, Supplier shall, upon AT&amp;T’s request, conduct the audit or inspection on behalf of AT&amp;T, subject to terms agreed to by Supplier and AT&amp;T for the Subcontractor audit, such as areas to be audited, applicable fees, and the timeframe for reporting audit results to AT&amp;T. If AT&amp;T’s request for a Supplier audit or inspection arises from, in AT&amp;T’s good faith opinion, materially or consistently deficient Service provided by the Subcontractor under AT&amp;T’s account, and the audit in both Parties’ opinions confirms such deficiencies, Supplier shall not charge AT&amp;T a fee for the Supplier’s audit of its Subcontractor.</w:t>
      </w:r>
    </w:p>
    <w:p>
      <w:pPr>
        <w:spacing w:after="0" w:line="121"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40"/>
          </w:cols>
          <w:pgMar w:left="920" w:top="27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hanging="797"/>
        <w:spacing w:after="0"/>
        <w:tabs>
          <w:tab w:leader="none" w:pos="1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General Procedures.</w:t>
      </w:r>
    </w:p>
    <w:p>
      <w:pPr>
        <w:spacing w:after="0" w:line="130" w:lineRule="exact"/>
        <w:rPr>
          <w:rFonts w:ascii="Arial" w:cs="Arial" w:eastAsia="Arial" w:hAnsi="Arial"/>
          <w:sz w:val="18"/>
          <w:szCs w:val="18"/>
          <w:color w:val="auto"/>
        </w:rPr>
      </w:pPr>
    </w:p>
    <w:p>
      <w:pPr>
        <w:ind w:left="2160" w:right="80" w:hanging="680"/>
        <w:spacing w:after="0" w:line="259" w:lineRule="auto"/>
        <w:tabs>
          <w:tab w:leader="none" w:pos="21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Notwithstanding the intended breadth of AT&amp;T’s audit rights, AT&amp;T shall not be given access to (i) the proprietary information of other Supplier customers, (ii) Supplier locations that are not related to AT&amp;T or the Services or areas of Supplier locations which are used for other Supplier customers, or (iii) Supplier’s internal costs. AT&amp;T Audits are subject to Section 3.16, “Information”.</w:t>
      </w:r>
    </w:p>
    <w:p>
      <w:pPr>
        <w:spacing w:after="0" w:line="92" w:lineRule="exact"/>
        <w:rPr>
          <w:rFonts w:ascii="Arial" w:cs="Arial" w:eastAsia="Arial" w:hAnsi="Arial"/>
          <w:sz w:val="18"/>
          <w:szCs w:val="18"/>
          <w:color w:val="auto"/>
        </w:rPr>
      </w:pPr>
    </w:p>
    <w:p>
      <w:pPr>
        <w:ind w:left="2160" w:right="420" w:hanging="680"/>
        <w:spacing w:after="0" w:line="277" w:lineRule="auto"/>
        <w:tabs>
          <w:tab w:leader="none" w:pos="21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performing audits, AT&amp;T shall avoid unnecessary disruption of Supplier’s operations and unnecessary interference with Supplier’s ability to perform the Services.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External auditors examining Supplier’s records shall not be any Supplier competitors.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external auditors shall sign the NDA attached as Appendix I, Exhibit 1 prior to commencing the audit.</w:t>
      </w:r>
    </w:p>
    <w:p>
      <w:pPr>
        <w:spacing w:after="0" w:line="130" w:lineRule="exact"/>
        <w:rPr>
          <w:rFonts w:ascii="Arial" w:cs="Arial" w:eastAsia="Arial" w:hAnsi="Arial"/>
          <w:sz w:val="18"/>
          <w:szCs w:val="18"/>
          <w:color w:val="auto"/>
        </w:rPr>
      </w:pPr>
    </w:p>
    <w:p>
      <w:pPr>
        <w:jc w:val="both"/>
        <w:ind w:left="2160" w:right="180" w:hanging="680"/>
        <w:spacing w:after="0" w:line="264" w:lineRule="auto"/>
        <w:tabs>
          <w:tab w:leader="none" w:pos="21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Information provided by Supplier as part of an audit, and any reports derived from such information, shall be provided only to the AT&amp;T personnel who are directly involved in such audit and AT&amp;T management, and shall be used for AT&amp;T internal use only.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b w:val="1"/>
          <w:bCs w:val="1"/>
          <w:color w:val="auto"/>
        </w:rPr>
        <w:t>Severability</w:t>
      </w:r>
    </w:p>
    <w:p>
      <w:pPr>
        <w:spacing w:after="0" w:line="121"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If any provision of this Agreement or any Order is determined to be invalid, illegal, or unenforceable, the Parties agree that the remaining provisions of this Agreement or such Order shall remain in full force if both the economic and legal substance of the transactions contemplated by this Agreement or such Order are not affected in any manner that is materially adverse to either Party by severing the provision determined to be invalid, illegal, or unenforceable.</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Supplier Citizenship and Sustainability</w:t>
      </w:r>
    </w:p>
    <w:p>
      <w:pPr>
        <w:spacing w:after="0" w:line="121"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 xml:space="preserve">Supplier shall conduct business with an abiding respect for corporate citizenship, sustainability, and human rights (“Citizenship and Sustainability”). As such, to the extent Supplier has an existing Citizenship and Sustainability program, such program shall be no less stringent than AT&amp;T’s Principles of Conduct for Suppliers available at: </w:t>
      </w:r>
      <w:r>
        <w:rPr>
          <w:rFonts w:ascii="Arial" w:cs="Arial" w:eastAsia="Arial" w:hAnsi="Arial"/>
          <w:sz w:val="16"/>
          <w:szCs w:val="16"/>
          <w:u w:val="single" w:color="auto"/>
          <w:color w:val="auto"/>
        </w:rPr>
        <w:t>http://www.attsuppliers.com/misc/SupplierSustainabilityPrinciples.pdf</w:t>
      </w:r>
      <w:r>
        <w:rPr>
          <w:rFonts w:ascii="Arial" w:cs="Arial" w:eastAsia="Arial" w:hAnsi="Arial"/>
          <w:sz w:val="16"/>
          <w:szCs w:val="16"/>
          <w:color w:val="auto"/>
        </w:rPr>
        <w:t xml:space="preserve"> and the AT&amp;T Human Rights in Communication Policy available at: </w:t>
      </w:r>
      <w:r>
        <w:rPr>
          <w:rFonts w:ascii="Arial" w:cs="Arial" w:eastAsia="Arial" w:hAnsi="Arial"/>
          <w:sz w:val="16"/>
          <w:szCs w:val="16"/>
          <w:u w:val="single" w:color="auto"/>
          <w:color w:val="auto"/>
        </w:rPr>
        <w:t>http://www.att.com/Common/about_us/downloads/Human_Rights_Communications_Policy.pdf</w:t>
      </w:r>
      <w:r>
        <w:rPr>
          <w:rFonts w:ascii="Arial" w:cs="Arial" w:eastAsia="Arial" w:hAnsi="Arial"/>
          <w:sz w:val="16"/>
          <w:szCs w:val="16"/>
          <w:color w:val="auto"/>
        </w:rPr>
        <w:t xml:space="preserve"> (“AT&amp;T Citizenship and Sustainability Policies”). In the event that Supplier does not have a Citizenship and Sustainability program, or such program does not address all areas addressed in the AT&amp;T Citizenship and Sustainability Policies, or there are modifications to the then-current AT&amp;T Citizenship and Sustainability Policies, Supplier shall conduct its business operations in a manner consistent with the AT&amp;T Citizenship and Sustainability Policies.</w:t>
      </w:r>
    </w:p>
    <w:p>
      <w:pPr>
        <w:spacing w:after="0" w:line="275" w:lineRule="exact"/>
        <w:rPr>
          <w:sz w:val="20"/>
          <w:szCs w:val="20"/>
          <w:color w:val="auto"/>
        </w:rPr>
      </w:pPr>
    </w:p>
    <w:p>
      <w:pPr>
        <w:jc w:val="both"/>
        <w:ind w:left="700" w:right="300"/>
        <w:spacing w:after="0" w:line="264" w:lineRule="auto"/>
        <w:rPr>
          <w:sz w:val="20"/>
          <w:szCs w:val="20"/>
          <w:color w:val="auto"/>
        </w:rPr>
      </w:pPr>
      <w:r>
        <w:rPr>
          <w:rFonts w:ascii="Arial" w:cs="Arial" w:eastAsia="Arial" w:hAnsi="Arial"/>
          <w:sz w:val="18"/>
          <w:szCs w:val="18"/>
          <w:color w:val="auto"/>
        </w:rPr>
        <w:t>Upon AT&amp;T’s request, Supplier shall provide to AT&amp;T such information, reports, or survey responses as AT&amp;T deems necessary to periodically monitor Supplier’s business operations in the context of Citizenship and Sustainability. Supplier shall respond to such requests within reasonable timelines as set forth by AT&amp;T.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b w:val="1"/>
          <w:bCs w:val="1"/>
          <w:color w:val="auto"/>
        </w:rPr>
        <w:t>Survival of Obligations</w:t>
      </w:r>
    </w:p>
    <w:p>
      <w:pPr>
        <w:spacing w:after="0" w:line="121"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Obligations and rights under this Agreement or an Order that by their nature would reasonably continue beyond the termination or expiration of this Agreement or an Order (including those in the Sections entitled “Compliance with Laws,” “Information,” [“Indemnity,” “Infringement”] “Insurance,” “Ownership of Paid-For Development, Use and Reservation of Rights,” “Publicity,” “AT&amp;T Supplier Information Security Requirements (SISR)” and “Warranty”) will survive the termination or expiration of this Agreement or such Order.</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5"/>
          <w:szCs w:val="15"/>
          <w:b w:val="1"/>
          <w:bCs w:val="1"/>
          <w:color w:val="auto"/>
        </w:rPr>
        <w:t>Taxes</w:t>
      </w:r>
    </w:p>
    <w:p>
      <w:pPr>
        <w:spacing w:after="0" w:line="135" w:lineRule="exact"/>
        <w:rPr>
          <w:sz w:val="20"/>
          <w:szCs w:val="20"/>
          <w:color w:val="auto"/>
        </w:rPr>
      </w:pPr>
    </w:p>
    <w:p>
      <w:pPr>
        <w:ind w:left="1480" w:right="240" w:hanging="797"/>
        <w:spacing w:after="0" w:line="273" w:lineRule="auto"/>
        <w:tabs>
          <w:tab w:leader="none" w:pos="14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Supplier shall invoice AT&amp;T the amount of any federal excise, state, and local transaction taxes imposed upon the sale of Material and provision of Services under this Agreement. All such taxes must be stated as separate items on a timely invoice listing the taxing jurisdiction imposing the tax. Non-taxable charges must be separately stated. AT&amp;T shall pay all such applicable taxes to Supplier that are stated on the Material or Services invoice submitted by Supplier. Supplier shall remit taxes to the appropriate taxing authorities. Supplier shall honor tax exemption certificates, and other appropriate documents, which AT&amp;T may submit, pursuant to relevant tax provisions of the taxing jurisdiction providing the exemption.</w:t>
      </w:r>
    </w:p>
    <w:p>
      <w:pPr>
        <w:spacing w:after="0" w:line="83" w:lineRule="exact"/>
        <w:rPr>
          <w:rFonts w:ascii="Arial" w:cs="Arial" w:eastAsia="Arial" w:hAnsi="Arial"/>
          <w:sz w:val="17"/>
          <w:szCs w:val="17"/>
          <w:color w:val="auto"/>
        </w:rPr>
      </w:pPr>
    </w:p>
    <w:p>
      <w:pPr>
        <w:ind w:left="1480" w:right="140" w:hanging="797"/>
        <w:spacing w:after="0" w:line="286" w:lineRule="auto"/>
        <w:tabs>
          <w:tab w:leader="none" w:pos="14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Except as stated in Subsection c of this Section, Supplier agrees to pay, and to hold AT&amp;T harmless from and against, any penalty, interest, additional tax, or other charge that may be levied or assessed as a result of the delay or failure of Supplier, to pay any tax or file any return or information required by law, rule or regulation or by this Agreement to be paid or filed by Supplier.</w:t>
      </w:r>
    </w:p>
    <w:p>
      <w:pPr>
        <w:spacing w:after="0" w:line="70" w:lineRule="exact"/>
        <w:rPr>
          <w:rFonts w:ascii="Arial" w:cs="Arial" w:eastAsia="Arial" w:hAnsi="Arial"/>
          <w:sz w:val="17"/>
          <w:szCs w:val="17"/>
          <w:color w:val="auto"/>
        </w:rPr>
      </w:pPr>
    </w:p>
    <w:p>
      <w:pPr>
        <w:ind w:left="1480" w:right="80" w:hanging="797"/>
        <w:spacing w:after="0" w:line="270" w:lineRule="auto"/>
        <w:tabs>
          <w:tab w:leader="none" w:pos="14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Upon AT&amp;T’s request, the Parties shall consult with respect to the basis and rates upon which Supplier shall pay any taxes or fees for which AT&amp;T is obligated to reimburse Supplier under this Agreement. If AT&amp;T determines that in its opinion any such taxes or fees are not payable, or should be paid on a basis less than the full price or at rates less than the full tax rate, AT&amp;T shall notify Supplier in writing of such determinations, Supplier shall make payment in accordance with such determinations, and AT&amp;T shall be responsible for such determinations. If collection is sought by the taxing authority for a greater amount of taxes than that so determined by AT&amp;T, Supplier shall promptly notify AT&amp;T. If AT&amp;T desires to contest such collection, AT&amp;T shall promptly notify Supplier. Supplier shall cooperate with AT&amp;T where AT&amp;T contests such determination or Supplier and AT&amp;T may agree, where such agreement will not be unreasonably withheld, conditioned or delayed, but in both cases, AT&amp;T shall be responsible and shall reimburse Supplier for any tax, interest, or penalty in excess of AT&amp;T’s determination.</w:t>
      </w:r>
    </w:p>
    <w:p>
      <w:pPr>
        <w:spacing w:after="0" w:line="87" w:lineRule="exact"/>
        <w:rPr>
          <w:rFonts w:ascii="Arial" w:cs="Arial" w:eastAsia="Arial" w:hAnsi="Arial"/>
          <w:sz w:val="17"/>
          <w:szCs w:val="17"/>
          <w:color w:val="auto"/>
        </w:rPr>
      </w:pPr>
    </w:p>
    <w:p>
      <w:pPr>
        <w:jc w:val="both"/>
        <w:ind w:left="1480" w:right="140" w:hanging="797"/>
        <w:spacing w:after="0" w:line="342" w:lineRule="auto"/>
        <w:tabs>
          <w:tab w:leader="none" w:pos="14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AT&amp;T determines that in its opinion it has paid Supplier for any taxes in excess of the amount that AT&amp;T is obligated to pay Supplier under this Agreement, AT&amp;T and Supplier shall consult in good faith to determine the appropriate method(s) of recovery of such excess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59" w:name="page160"/>
    <w:bookmarkEnd w:id="159"/>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payments, which method(s) may include, but is not limited to, (i) Supplier immediately refunding to AT&amp;T such excess payments,</w:t>
      </w:r>
    </w:p>
    <w:p>
      <w:pPr>
        <w:spacing w:after="0" w:line="35" w:lineRule="exact"/>
        <w:rPr>
          <w:sz w:val="20"/>
          <w:szCs w:val="20"/>
          <w:color w:val="auto"/>
        </w:rPr>
      </w:pPr>
    </w:p>
    <w:p>
      <w:pPr>
        <w:ind w:left="800" w:right="20"/>
        <w:spacing w:after="0" w:line="302" w:lineRule="auto"/>
        <w:tabs>
          <w:tab w:leader="none" w:pos="106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Supplier crediting any excess payments against tax amounts or other payments due from AT&amp;T if and to the extent Supplier can make corresponding adjustments to its payments to the relevant tax authority, and (iii) Supplier timely filing claims for refund and any other documents required to recover any excess payments and Supplier promptly remitting to AT&amp;T all such refunds and interest received.</w:t>
      </w:r>
    </w:p>
    <w:p>
      <w:pPr>
        <w:spacing w:after="0" w:line="60" w:lineRule="exact"/>
        <w:rPr>
          <w:rFonts w:ascii="Arial" w:cs="Arial" w:eastAsia="Arial" w:hAnsi="Arial"/>
          <w:sz w:val="16"/>
          <w:szCs w:val="16"/>
          <w:color w:val="auto"/>
        </w:rPr>
      </w:pPr>
    </w:p>
    <w:p>
      <w:pPr>
        <w:ind w:left="800" w:right="20" w:hanging="797"/>
        <w:spacing w:after="0" w:line="276" w:lineRule="auto"/>
        <w:tabs>
          <w:tab w:leader="none" w:pos="8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any taxing authority advises Supplier that it intends to audit Supplier with respect to any taxes for which AT&amp;T is obligated to reimburse Supplier under this Agreement, Supplier shall (i) promptly so notify AT&amp;T, (ii) afford AT&amp;T an opportunity to participate with Supplier in such audit with respect to such taxes and (iii) keep AT&amp;T fully informed as to the progress of such audit. Each Party shall bear its own expenses with respect to any such audit, and the responsibility for any additional tax, interest or penalty resulting from such audit is to be determined in accordance with the applicable provisions of this Taxes Section. [***].</w:t>
      </w:r>
    </w:p>
    <w:p>
      <w:pPr>
        <w:spacing w:after="0" w:line="77" w:lineRule="exact"/>
        <w:rPr>
          <w:rFonts w:ascii="Arial" w:cs="Arial" w:eastAsia="Arial" w:hAnsi="Arial"/>
          <w:sz w:val="17"/>
          <w:szCs w:val="17"/>
          <w:color w:val="auto"/>
        </w:rPr>
      </w:pPr>
    </w:p>
    <w:p>
      <w:pPr>
        <w:ind w:left="800" w:right="120" w:hanging="797"/>
        <w:spacing w:after="0" w:line="273" w:lineRule="auto"/>
        <w:tabs>
          <w:tab w:leader="none" w:pos="8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addition to its rights under Subsections c., d., and e. above with respect to any tax, or tax controversy, covered by this Taxes Section, AT&amp;T is entitled to contest, or AT&amp;T and Supplier may agree that Supplier contest, where such agreement may not be unreasonably withheld, conditioned or delayed, pursuant to applicable law and tariffs, and at its own expense, any tax previously invoiced that it is ultimately obligated to pay. Supplier shall cooperate with AT&amp;T and consider any request to contest. AT&amp;T is entitled to the benefit of any refund or recovery of amounts that it has previously paid resulting from such a contest. Supplier shall cooperate in any such contest, but AT&amp;T shall pay all costs and expenses incurred in obtaining a refund or credit for AT&amp;T.</w:t>
      </w:r>
    </w:p>
    <w:p>
      <w:pPr>
        <w:spacing w:after="0" w:line="83" w:lineRule="exact"/>
        <w:rPr>
          <w:rFonts w:ascii="Arial" w:cs="Arial" w:eastAsia="Arial" w:hAnsi="Arial"/>
          <w:sz w:val="17"/>
          <w:szCs w:val="17"/>
          <w:color w:val="auto"/>
        </w:rPr>
      </w:pPr>
    </w:p>
    <w:p>
      <w:pPr>
        <w:ind w:left="800" w:right="240" w:hanging="797"/>
        <w:spacing w:after="0" w:line="264" w:lineRule="auto"/>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either Party is audited by a taxing authority or other governmental entity in connection with taxes under this Taxes Section, the other Party shall reasonably cooperate with the Party being audited in order to respond to any audit inquiries in an appropriate and timely manner, so that the audit and any resulting controversy may be resolved expeditiously.</w:t>
      </w:r>
    </w:p>
    <w:p>
      <w:pPr>
        <w:spacing w:after="0" w:line="86" w:lineRule="exact"/>
        <w:rPr>
          <w:rFonts w:ascii="Arial" w:cs="Arial" w:eastAsia="Arial" w:hAnsi="Arial"/>
          <w:sz w:val="18"/>
          <w:szCs w:val="18"/>
          <w:color w:val="auto"/>
        </w:rPr>
      </w:pPr>
    </w:p>
    <w:p>
      <w:pPr>
        <w:ind w:left="800" w:right="300" w:hanging="797"/>
        <w:spacing w:after="0" w:line="291" w:lineRule="auto"/>
        <w:tabs>
          <w:tab w:leader="none" w:pos="8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AT&amp;T and Supplier shall reasonably cooperate with each other with respect to any tax planning to minimize taxes. The degree of cooperation contemplated by this Section is to enable any resulting tax planning to be implemented and includes, but is not limited to:</w:t>
      </w:r>
    </w:p>
    <w:p>
      <w:pPr>
        <w:ind w:left="800" w:right="180"/>
        <w:spacing w:after="0" w:line="255" w:lineRule="auto"/>
        <w:tabs>
          <w:tab w:leader="none" w:pos="101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Supplier’s installing and loading all of the Software licensed by AT&amp;T, and retaining possession and ownership of all tangible personal property, (ii) Supplier’s installing, loading and/or transferring the Software at a location selected by AT&amp;T, and (iii) Supplier’s Delivery of all of the Software in electronic form.</w:t>
      </w:r>
    </w:p>
    <w:p>
      <w:pPr>
        <w:spacing w:after="0" w:line="95" w:lineRule="exact"/>
        <w:rPr>
          <w:rFonts w:ascii="Arial" w:cs="Arial" w:eastAsia="Arial" w:hAnsi="Arial"/>
          <w:sz w:val="18"/>
          <w:szCs w:val="18"/>
          <w:color w:val="auto"/>
        </w:rPr>
      </w:pPr>
    </w:p>
    <w:p>
      <w:pPr>
        <w:ind w:left="800" w:right="20" w:hanging="797"/>
        <w:spacing w:after="0" w:line="276" w:lineRule="auto"/>
        <w:tabs>
          <w:tab w:leader="none" w:pos="8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Supplier and any of its affiliates, as appropriate, receiving payments hereunder shall provide AT&amp;T with a valid United States Internal Revenue Service (“IRS”) Form W-8BEN, W-8BEN-E, W-8ECI, W-8EXP, W-8IMY, or W-9 (or any successor form prescribed by the IRS). AT&amp;T may reduce any payment otherwise due Supplier in connection with the sale of Material and provision of Services under this Agreement by the amount of any tax imposed on Supplier that AT&amp;T is required to pay directly to a taxing or other governmental authority (“Withholding Tax”). Alternatively, if applicable law permits, AT&amp;T agrees that it will</w:t>
      </w:r>
    </w:p>
    <w:p>
      <w:pPr>
        <w:spacing w:after="0" w:line="101"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40"/>
          </w:cols>
          <w:pgMar w:left="920" w:top="274" w:right="239" w:bottom="1440" w:gutter="0" w:footer="0" w:header="0"/>
        </w:sectPr>
      </w:pPr>
    </w:p>
    <w:bookmarkStart w:id="160" w:name="page161"/>
    <w:bookmarkEnd w:id="160"/>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80" w:right="20"/>
        <w:spacing w:after="0" w:line="312" w:lineRule="auto"/>
        <w:rPr>
          <w:sz w:val="20"/>
          <w:szCs w:val="20"/>
          <w:color w:val="auto"/>
        </w:rPr>
      </w:pPr>
      <w:r>
        <w:rPr>
          <w:rFonts w:ascii="Arial" w:cs="Arial" w:eastAsia="Arial" w:hAnsi="Arial"/>
          <w:sz w:val="16"/>
          <w:szCs w:val="16"/>
          <w:color w:val="auto"/>
        </w:rPr>
        <w:t>honor a valid exemption certificate or other mandated document evidencing Supplier’s exemption from payment of, or liability for, any Withholding Tax as authorized or required by statute, regulation, administrative pronouncement, or other law of the jurisdiction providing said exemption. AT&amp;T shall provide Supplier with documentation evidencing withholding within a reasonable period of time.</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6"/>
          <w:szCs w:val="16"/>
          <w:b w:val="1"/>
          <w:bCs w:val="1"/>
          <w:color w:val="auto"/>
        </w:rPr>
        <w:t>Termination</w:t>
      </w:r>
    </w:p>
    <w:p>
      <w:pPr>
        <w:spacing w:after="0" w:line="131" w:lineRule="exact"/>
        <w:rPr>
          <w:sz w:val="20"/>
          <w:szCs w:val="20"/>
          <w:color w:val="auto"/>
        </w:rPr>
      </w:pPr>
    </w:p>
    <w:p>
      <w:pPr>
        <w:ind w:left="1480" w:right="120" w:hanging="797"/>
        <w:spacing w:after="0" w:line="261" w:lineRule="auto"/>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Termination for Convenience</w:t>
      </w:r>
      <w:r>
        <w:rPr>
          <w:rFonts w:ascii="Arial" w:cs="Arial" w:eastAsia="Arial" w:hAnsi="Arial"/>
          <w:sz w:val="18"/>
          <w:szCs w:val="18"/>
          <w:color w:val="auto"/>
        </w:rPr>
        <w:t>—Either Party may terminate this Agreement for convenience upon [***] days prior written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setting forth the effective date of such termination.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85" w:lineRule="exact"/>
        <w:rPr>
          <w:rFonts w:ascii="Arial" w:cs="Arial" w:eastAsia="Arial" w:hAnsi="Arial"/>
          <w:sz w:val="18"/>
          <w:szCs w:val="18"/>
          <w:color w:val="auto"/>
        </w:rPr>
      </w:pPr>
    </w:p>
    <w:p>
      <w:pPr>
        <w:ind w:left="1480" w:hanging="797"/>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Termination for Cause.</w:t>
      </w:r>
    </w:p>
    <w:p>
      <w:pPr>
        <w:spacing w:after="0" w:line="130" w:lineRule="exact"/>
        <w:rPr>
          <w:rFonts w:ascii="Arial" w:cs="Arial" w:eastAsia="Arial" w:hAnsi="Arial"/>
          <w:sz w:val="18"/>
          <w:szCs w:val="18"/>
          <w:color w:val="auto"/>
        </w:rPr>
      </w:pPr>
    </w:p>
    <w:p>
      <w:pPr>
        <w:ind w:left="2160" w:right="20" w:hanging="680"/>
        <w:spacing w:after="0" w:line="292" w:lineRule="auto"/>
        <w:tabs>
          <w:tab w:leader="none" w:pos="2160" w:val="left"/>
        </w:tabs>
        <w:numPr>
          <w:ilvl w:val="1"/>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Termination for Cause of the Agreement - </w:t>
      </w:r>
      <w:r>
        <w:rPr>
          <w:rFonts w:ascii="Arial" w:cs="Arial" w:eastAsia="Arial" w:hAnsi="Arial"/>
          <w:sz w:val="16"/>
          <w:szCs w:val="16"/>
          <w:color w:val="auto"/>
        </w:rPr>
        <w:t>If either Party breaches any material provision of this Agreement or breaches any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provision of an Order or group of Orders the breach of which is material to this Agreement, and (i) if the breach is one that by its nature could be cured, and such breach is not cured within [***] days after the breaching Party receives written notice, or (ii) if the breach is one that by its nature cannot be cured, or (iii) if the breach is a violation of Laws which has a material and adverse effect on the non- breaching Party or the performance of the Agreement, then, in addition to all other rights and remedies at law or in equity or otherwise, the non-breaching Party shall have the right upon written notice to terminate this Agreement without any obligation or liability subject to the provisions of Section 3.36b.iii. below.</w:t>
      </w:r>
    </w:p>
    <w:p>
      <w:pPr>
        <w:spacing w:after="0" w:line="67" w:lineRule="exact"/>
        <w:rPr>
          <w:rFonts w:ascii="Arial" w:cs="Arial" w:eastAsia="Arial" w:hAnsi="Arial"/>
          <w:sz w:val="16"/>
          <w:szCs w:val="16"/>
          <w:color w:val="auto"/>
        </w:rPr>
      </w:pPr>
    </w:p>
    <w:p>
      <w:pPr>
        <w:ind w:left="2160" w:right="100" w:hanging="680"/>
        <w:spacing w:after="0" w:line="274" w:lineRule="auto"/>
        <w:tabs>
          <w:tab w:leader="none" w:pos="2160" w:val="left"/>
        </w:tabs>
        <w:numPr>
          <w:ilvl w:val="1"/>
          <w:numId w:val="135"/>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Cause of an Order - </w:t>
      </w:r>
      <w:r>
        <w:rPr>
          <w:rFonts w:ascii="Arial" w:cs="Arial" w:eastAsia="Arial" w:hAnsi="Arial"/>
          <w:sz w:val="17"/>
          <w:szCs w:val="17"/>
          <w:color w:val="auto"/>
        </w:rPr>
        <w:t>If either Party breaches any material provision of an Order, and (i) if the breach is one</w:t>
      </w:r>
      <w:r>
        <w:rPr>
          <w:rFonts w:ascii="Arial" w:cs="Arial" w:eastAsia="Arial" w:hAnsi="Arial"/>
          <w:sz w:val="17"/>
          <w:szCs w:val="17"/>
          <w:b w:val="1"/>
          <w:bCs w:val="1"/>
          <w:color w:val="auto"/>
        </w:rPr>
        <w:t xml:space="preserve"> </w:t>
      </w:r>
      <w:r>
        <w:rPr>
          <w:rFonts w:ascii="Arial" w:cs="Arial" w:eastAsia="Arial" w:hAnsi="Arial"/>
          <w:sz w:val="17"/>
          <w:szCs w:val="17"/>
          <w:color w:val="auto"/>
        </w:rPr>
        <w:t>that by its nature could be cured, and such breach is not cured within [***] days after the breaching Party receives written notice, or (ii) if the breach is one that by its nature cannot be cured, or (iii) if the breach is a violation of Laws which has a material and adverse effect on the non- breaching Party or the performance of the Order, then, in addition to all other rights and remedies at law or in equity or otherwise, the non-breaching Party shall have the right upon written notice to terminate such Order without any obligation or liability subject to the provisions of Section 3.36b.iii. below.</w:t>
      </w:r>
    </w:p>
    <w:p>
      <w:pPr>
        <w:spacing w:after="0" w:line="79" w:lineRule="exact"/>
        <w:rPr>
          <w:rFonts w:ascii="Arial" w:cs="Arial" w:eastAsia="Arial" w:hAnsi="Arial"/>
          <w:sz w:val="17"/>
          <w:szCs w:val="17"/>
          <w:color w:val="auto"/>
        </w:rPr>
      </w:pPr>
    </w:p>
    <w:p>
      <w:pPr>
        <w:ind w:left="2160" w:right="60" w:hanging="680"/>
        <w:spacing w:after="0" w:line="256" w:lineRule="auto"/>
        <w:tabs>
          <w:tab w:leader="none" w:pos="2160"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Pre-Termination Procedures </w:t>
      </w:r>
      <w:r>
        <w:rPr>
          <w:rFonts w:ascii="Arial" w:cs="Arial" w:eastAsia="Arial" w:hAnsi="Arial"/>
          <w:sz w:val="18"/>
          <w:szCs w:val="18"/>
          <w:color w:val="auto"/>
        </w:rPr>
        <w:t>– Except for a termination for violation of Laws, prior to providing written notice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3.36b.i. or Section 3.36b.ii. above, executives of both Parties shall meet to discuss and address the issues relevant to the proposed termination as follows: (1) in the event the Order or series of Orders proposed to be terminated [***], the Division President of the Amdocs AT&amp;T Division shall meet with the AT&amp;T Vice President, Global Supply Chain, with the option to include the CIO or Senior Vice President of the AT&amp;T business unit receiving Services under such Order(s); (2) in the event the Order or series of Orders proposed to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61" w:name="page162"/>
    <w:bookmarkEnd w:id="161"/>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80" w:right="20"/>
        <w:spacing w:after="0" w:line="283" w:lineRule="auto"/>
        <w:rPr>
          <w:sz w:val="20"/>
          <w:szCs w:val="20"/>
          <w:color w:val="auto"/>
        </w:rPr>
      </w:pPr>
      <w:r>
        <w:rPr>
          <w:rFonts w:ascii="Arial" w:cs="Arial" w:eastAsia="Arial" w:hAnsi="Arial"/>
          <w:sz w:val="16"/>
          <w:szCs w:val="16"/>
          <w:color w:val="auto"/>
        </w:rPr>
        <w:t>terminated [***], the Amdocs Customer Business Group President shall meet with the AT&amp;T Senior Vice President, Global Supply Chain with the option to include the AT&amp;T President, Technology Development; (3) in the event the Order or series of Orders proposed to be terminated [***] or the Agreement is subject to termination, the Amdocs Chief Executive Officer shall meet with the AT&amp;T Chief Strategy Officer and President – Technology and Operations. In the event the Order or series of Orders proposed to be terminated [***] or the Agreement is subject to termination, the Party alleging a material breach (the “Moving Party”) shall, except for a termination for violation of Laws, prior to providing notice of termination, initiate an arbitration by providing the other Party written notice of its intent to arbitrate. The arbitration shall conducted under the rules of the American Arbitration Association and be heard by a single arbitrator who shall by training, education, or experience have knowledge of the general subject matter of this Agreement. The arbitrator shall determine whether the breach(es) alleged by the Moving Party justify termination for cause of the Agreement or the applicable Order(s). The arbitrator shall not have the power to vary from the provisions of this Agreement. The arbitrator shall promptly commence the arbitration proceeding with the intent to conclude the proceedings and issue a written decision stating in reasonable detail the basis for the decision, which must be supported by law and substantial evidence, as promptly as the circumstances demand and permit, but generally no later than</w:t>
      </w:r>
    </w:p>
    <w:p>
      <w:pPr>
        <w:spacing w:after="0" w:line="3" w:lineRule="exact"/>
        <w:rPr>
          <w:sz w:val="20"/>
          <w:szCs w:val="20"/>
          <w:color w:val="auto"/>
        </w:rPr>
      </w:pPr>
    </w:p>
    <w:p>
      <w:pPr>
        <w:ind w:left="1480" w:right="120" w:firstLine="9"/>
        <w:spacing w:after="0" w:line="255" w:lineRule="auto"/>
        <w:tabs>
          <w:tab w:leader="none" w:pos="1915" w:val="left"/>
        </w:tabs>
        <w:numPr>
          <w:ilvl w:val="2"/>
          <w:numId w:val="136"/>
        </w:numPr>
        <w:rPr>
          <w:rFonts w:ascii="Arial" w:cs="Arial" w:eastAsia="Arial" w:hAnsi="Arial"/>
          <w:sz w:val="18"/>
          <w:szCs w:val="18"/>
          <w:color w:val="auto"/>
        </w:rPr>
      </w:pPr>
      <w:r>
        <w:rPr>
          <w:rFonts w:ascii="Arial" w:cs="Arial" w:eastAsia="Arial" w:hAnsi="Arial"/>
          <w:sz w:val="18"/>
          <w:szCs w:val="18"/>
          <w:color w:val="auto"/>
        </w:rPr>
        <w:t>days after the arbitrator’s appointment. The arbitration may be conducted concurrently with any cure period or executive escalation, provided, however, that in the event the non-breaching Party cures the breach identified in the Moving Party’s notice, the arbitration proceeding shall not continue.</w:t>
      </w:r>
    </w:p>
    <w:p>
      <w:pPr>
        <w:spacing w:after="0" w:line="95" w:lineRule="exact"/>
        <w:rPr>
          <w:rFonts w:ascii="Arial" w:cs="Arial" w:eastAsia="Arial" w:hAnsi="Arial"/>
          <w:sz w:val="18"/>
          <w:szCs w:val="18"/>
          <w:color w:val="auto"/>
        </w:rPr>
      </w:pPr>
    </w:p>
    <w:p>
      <w:pPr>
        <w:ind w:left="1480" w:right="80" w:hanging="680"/>
        <w:spacing w:after="0" w:line="259" w:lineRule="auto"/>
        <w:tabs>
          <w:tab w:leader="none" w:pos="14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Failure of the non-breaching Party to immediately terminate this Agreement and/or any Order (x) following a breach which continues longer than such cure period, provided such breach has not been cured prior to the non-breaching Party’s providing notice of termination, or (y) following a breach that cannot be cured or that constitutes a violation of Laws shall not constitute a waiver of the non-breaching Party’s rights to terminate. [***].</w:t>
      </w:r>
    </w:p>
    <w:p>
      <w:pPr>
        <w:spacing w:after="0" w:line="88" w:lineRule="exact"/>
        <w:rPr>
          <w:rFonts w:ascii="Arial" w:cs="Arial" w:eastAsia="Arial" w:hAnsi="Arial"/>
          <w:sz w:val="18"/>
          <w:szCs w:val="18"/>
          <w:color w:val="auto"/>
        </w:rPr>
      </w:pPr>
    </w:p>
    <w:p>
      <w:pPr>
        <w:ind w:left="800" w:hanging="797"/>
        <w:spacing w:after="0" w:line="270" w:lineRule="auto"/>
        <w:tabs>
          <w:tab w:leader="none" w:pos="80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 xml:space="preserve">Partial Termination – </w:t>
      </w:r>
      <w:r>
        <w:rPr>
          <w:rFonts w:ascii="Arial" w:cs="Arial" w:eastAsia="Arial" w:hAnsi="Arial"/>
          <w:sz w:val="17"/>
          <w:szCs w:val="17"/>
          <w:color w:val="auto"/>
        </w:rPr>
        <w:t>Where a provision of this Agreement permits AT&amp;T to terminate an Order for cause or convenience, such</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may, at AT&amp;T’s option, be either complete or partial. In the case of a partial termination for cause, the terms of Section 3.36b. shall apply. In the case of a partial termination for convenience, AT&amp;T may accept a portion of the Software or Services covered by an Order, but AT&amp;T shall in any event compensate Supplier for the Software or Services performed through the date of such partial termination for convenience of the Order. In either event (partial termination for cause or partial termination for convenience), AT&amp;T shall pay Amdocs for any portion of such Software or Services at the unit prices set forth in such Order (plus equitable portions of the termination charges provided in this Agreement in the event of partial termination for convenience of an Order for Software Development or OnGoing Support), and the Parties shall utilize change management procedures as set forth in Section 3.8 to issue an amendment to reflect such partial termination; provided, however, that, [***] any Order [***] under the Order) [***] of the Order, in which [***] the Parties shall [***] the [***] in accordance with the [***].</w:t>
      </w:r>
    </w:p>
    <w:p>
      <w:pPr>
        <w:spacing w:after="0" w:line="110"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40"/>
          </w:cols>
          <w:pgMar w:left="920" w:top="274" w:right="239" w:bottom="1440" w:gutter="0" w:footer="0" w:header="0"/>
        </w:sectPr>
      </w:pPr>
    </w:p>
    <w:bookmarkStart w:id="162" w:name="page163"/>
    <w:bookmarkEnd w:id="162"/>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800" w:right="600"/>
        <w:spacing w:after="0" w:line="308" w:lineRule="auto"/>
        <w:rPr>
          <w:sz w:val="20"/>
          <w:szCs w:val="20"/>
          <w:color w:val="auto"/>
        </w:rPr>
      </w:pPr>
      <w:r>
        <w:rPr>
          <w:rFonts w:ascii="Arial" w:cs="Arial" w:eastAsia="Arial" w:hAnsi="Arial"/>
          <w:sz w:val="17"/>
          <w:szCs w:val="17"/>
          <w:color w:val="auto"/>
        </w:rPr>
        <w:t>Upon receipt of AT&amp;T’s payment in relation to a partial termination for cause or convenience, Supplier shall deliver to AT&amp;T the applicable Work relating to the Software or Services which has been prepared pursuant to such terminated Order.</w:t>
      </w:r>
    </w:p>
    <w:p>
      <w:pPr>
        <w:spacing w:after="0" w:line="48" w:lineRule="exact"/>
        <w:rPr>
          <w:sz w:val="20"/>
          <w:szCs w:val="20"/>
          <w:color w:val="auto"/>
        </w:rPr>
      </w:pPr>
    </w:p>
    <w:p>
      <w:pPr>
        <w:ind w:left="800" w:right="220" w:hanging="797"/>
        <w:spacing w:after="0" w:line="282"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Related Orders. </w:t>
      </w:r>
      <w:r>
        <w:rPr>
          <w:rFonts w:ascii="Arial" w:cs="Arial" w:eastAsia="Arial" w:hAnsi="Arial"/>
          <w:sz w:val="18"/>
          <w:szCs w:val="18"/>
          <w:color w:val="auto"/>
        </w:rPr>
        <w:t>The right to terminate an Order for cause shall also include the right to terminate any other Order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in accordance with this Agreement [***] the termination of the initially terminated Order.</w:t>
      </w:r>
    </w:p>
    <w:p>
      <w:pPr>
        <w:spacing w:after="0" w:line="67" w:lineRule="exact"/>
        <w:rPr>
          <w:rFonts w:ascii="Arial" w:cs="Arial" w:eastAsia="Arial" w:hAnsi="Arial"/>
          <w:sz w:val="18"/>
          <w:szCs w:val="18"/>
          <w:color w:val="auto"/>
        </w:rPr>
      </w:pPr>
    </w:p>
    <w:p>
      <w:pPr>
        <w:ind w:left="800" w:right="20" w:hanging="797"/>
        <w:spacing w:after="0" w:line="272" w:lineRule="auto"/>
        <w:tabs>
          <w:tab w:leader="none" w:pos="80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Termination For Convenience of an Order</w:t>
      </w:r>
      <w:r>
        <w:rPr>
          <w:rFonts w:ascii="Arial" w:cs="Arial" w:eastAsia="Arial" w:hAnsi="Arial"/>
          <w:sz w:val="17"/>
          <w:szCs w:val="17"/>
          <w:color w:val="auto"/>
        </w:rPr>
        <w:t>. AT&amp;T may at any time Terminate for Convenience any Order for Custom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prior to the Delivery Date of the Software covered by such Order, by giving Amdocs written notice. AT&amp;T may, at its option and without any Liability to Amdocs, Terminate for Convenience any OnGoing Support or Services Order by written notice to Amdocs. Upon receipt of any such termination notice, Supplier shall, if so requested by AT&amp;T, immediately cease performing work and incurring costs in connection with such Order. [***] in accordance with the applicable Order for work under such Order performed [***], all in accordance with the provisions of the applicable Order and in accordance with Appendix A, “Prices”. [***] in the applicable Order, [***]. Upon receipt of AT&amp;T’s payment, Supplier shall deliver to AT&amp;T all Material, whether completed or in progress, which has been prepared prior to the effective date of termination of such Order.</w:t>
      </w:r>
    </w:p>
    <w:p>
      <w:pPr>
        <w:spacing w:after="0" w:line="81" w:lineRule="exact"/>
        <w:rPr>
          <w:rFonts w:ascii="Arial" w:cs="Arial" w:eastAsia="Arial" w:hAnsi="Arial"/>
          <w:sz w:val="17"/>
          <w:szCs w:val="17"/>
          <w:color w:val="auto"/>
        </w:rPr>
      </w:pPr>
    </w:p>
    <w:p>
      <w:pPr>
        <w:ind w:left="800" w:right="20" w:hanging="797"/>
        <w:spacing w:after="0" w:line="279" w:lineRule="auto"/>
        <w:tabs>
          <w:tab w:leader="none" w:pos="8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exercising its termination rights under Subsection 3.36e. above, AT&amp;T will make commercially reasonable efforts to provide Supplier with at least [***] days prior notice for terminations of Orders for Custom Software development Services and [***] days prior notice for terminations of Orders for OnGoing Support or Services; provided, however, that if AT&amp;T determines in good faith that an Order requires [***] termination due to budget restrictions, AT&amp;T shall be permitted to exercise such rights [***] upon notice.</w:t>
      </w:r>
    </w:p>
    <w:p>
      <w:pPr>
        <w:spacing w:after="0" w:line="72" w:lineRule="exact"/>
        <w:rPr>
          <w:rFonts w:ascii="Arial" w:cs="Arial" w:eastAsia="Arial" w:hAnsi="Arial"/>
          <w:sz w:val="17"/>
          <w:szCs w:val="17"/>
          <w:color w:val="auto"/>
        </w:rPr>
      </w:pPr>
    </w:p>
    <w:p>
      <w:pPr>
        <w:ind w:left="800" w:hanging="797"/>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Termination for Insolvency</w:t>
      </w:r>
    </w:p>
    <w:p>
      <w:pPr>
        <w:spacing w:after="0" w:line="130" w:lineRule="exact"/>
        <w:rPr>
          <w:rFonts w:ascii="Arial" w:cs="Arial" w:eastAsia="Arial" w:hAnsi="Arial"/>
          <w:sz w:val="18"/>
          <w:szCs w:val="18"/>
          <w:color w:val="auto"/>
        </w:rPr>
      </w:pPr>
    </w:p>
    <w:p>
      <w:pPr>
        <w:ind w:left="1480" w:right="60" w:hanging="680"/>
        <w:spacing w:after="0" w:line="295" w:lineRule="auto"/>
        <w:tabs>
          <w:tab w:leader="none" w:pos="1480" w:val="left"/>
        </w:tabs>
        <w:numPr>
          <w:ilvl w:val="1"/>
          <w:numId w:val="138"/>
        </w:numPr>
        <w:rPr>
          <w:rFonts w:ascii="Arial" w:cs="Arial" w:eastAsia="Arial" w:hAnsi="Arial"/>
          <w:sz w:val="16"/>
          <w:szCs w:val="16"/>
          <w:color w:val="auto"/>
        </w:rPr>
      </w:pPr>
      <w:r>
        <w:rPr>
          <w:rFonts w:ascii="Arial" w:cs="Arial" w:eastAsia="Arial" w:hAnsi="Arial"/>
          <w:sz w:val="16"/>
          <w:szCs w:val="16"/>
          <w:b w:val="1"/>
          <w:bCs w:val="1"/>
          <w:color w:val="auto"/>
        </w:rPr>
        <w:t>Right to Terminate</w:t>
      </w:r>
      <w:r>
        <w:rPr>
          <w:rFonts w:ascii="Arial" w:cs="Arial" w:eastAsia="Arial" w:hAnsi="Arial"/>
          <w:sz w:val="16"/>
          <w:szCs w:val="16"/>
          <w:color w:val="auto"/>
        </w:rPr>
        <w:t>. In the event that either Party (a) files for bankruptcy, (b) becomes or is declared insolvent, or is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of any proceedings related to its liquidation, insolvency or the appointment of a receiver or similar officer for it, (c) makes an assignment for the benefit of all or substantially all of its creditors or (d) enters into an agreement for the composition, extension, or readjustment of substantially all of its obligations, then the other Party may terminate this Agreement as of a date specified in a termination notice; provided, however, that [***]. If either Party elects to terminate this Agreement due to the insolvency of the other Party, such termination will be deemed to be a termination for cause hereunder.</w:t>
      </w:r>
    </w:p>
    <w:p>
      <w:pPr>
        <w:spacing w:after="0" w:line="61" w:lineRule="exact"/>
        <w:rPr>
          <w:rFonts w:ascii="Arial" w:cs="Arial" w:eastAsia="Arial" w:hAnsi="Arial"/>
          <w:sz w:val="16"/>
          <w:szCs w:val="16"/>
          <w:color w:val="auto"/>
        </w:rPr>
      </w:pPr>
    </w:p>
    <w:p>
      <w:pPr>
        <w:ind w:left="1480" w:right="60" w:hanging="680"/>
        <w:spacing w:after="0" w:line="287" w:lineRule="auto"/>
        <w:tabs>
          <w:tab w:leader="none" w:pos="1480" w:val="left"/>
        </w:tabs>
        <w:numPr>
          <w:ilvl w:val="1"/>
          <w:numId w:val="138"/>
        </w:numPr>
        <w:rPr>
          <w:rFonts w:ascii="Arial" w:cs="Arial" w:eastAsia="Arial" w:hAnsi="Arial"/>
          <w:sz w:val="16"/>
          <w:szCs w:val="16"/>
          <w:color w:val="auto"/>
        </w:rPr>
      </w:pPr>
      <w:r>
        <w:rPr>
          <w:rFonts w:ascii="Arial" w:cs="Arial" w:eastAsia="Arial" w:hAnsi="Arial"/>
          <w:sz w:val="16"/>
          <w:szCs w:val="16"/>
          <w:b w:val="1"/>
          <w:bCs w:val="1"/>
          <w:color w:val="auto"/>
        </w:rPr>
        <w:t>Section 365(n)</w:t>
      </w:r>
      <w:r>
        <w:rPr>
          <w:rFonts w:ascii="Arial" w:cs="Arial" w:eastAsia="Arial" w:hAnsi="Arial"/>
          <w:sz w:val="16"/>
          <w:szCs w:val="16"/>
          <w:color w:val="auto"/>
        </w:rPr>
        <w:t>. Notwithstanding any other provision of this Agreement to the contrary, in the event that Supplier becomes a</w:t>
      </w:r>
      <w:r>
        <w:rPr>
          <w:rFonts w:ascii="Arial" w:cs="Arial" w:eastAsia="Arial" w:hAnsi="Arial"/>
          <w:sz w:val="16"/>
          <w:szCs w:val="16"/>
          <w:b w:val="1"/>
          <w:bCs w:val="1"/>
          <w:color w:val="auto"/>
        </w:rPr>
        <w:t xml:space="preserve"> </w:t>
      </w:r>
      <w:r>
        <w:rPr>
          <w:rFonts w:ascii="Arial" w:cs="Arial" w:eastAsia="Arial" w:hAnsi="Arial"/>
          <w:sz w:val="16"/>
          <w:szCs w:val="16"/>
          <w:color w:val="auto"/>
        </w:rPr>
        <w:t>debtor under the Bankruptcy Code and rejects this Agreement pursuant to Section 365 of the Bankruptcy Code (a “</w:t>
      </w:r>
      <w:r>
        <w:rPr>
          <w:rFonts w:ascii="Arial" w:cs="Arial" w:eastAsia="Arial" w:hAnsi="Arial"/>
          <w:sz w:val="16"/>
          <w:szCs w:val="16"/>
          <w:b w:val="1"/>
          <w:bCs w:val="1"/>
          <w:u w:val="single" w:color="auto"/>
          <w:color w:val="auto"/>
        </w:rPr>
        <w:t>Bankruptcy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Rejection</w:t>
      </w:r>
      <w:r>
        <w:rPr>
          <w:rFonts w:ascii="Arial" w:cs="Arial" w:eastAsia="Arial" w:hAnsi="Arial"/>
          <w:sz w:val="16"/>
          <w:szCs w:val="16"/>
          <w:color w:val="auto"/>
        </w:rPr>
        <w:t>”), (i) any and all of the licensee and sublicensee rights of AT&amp;T arising under or otherwise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deemed fully retained by and vested in AT&amp;T as protected intellectual property rights under Section 365(n)</w:t>
      </w:r>
    </w:p>
    <w:p>
      <w:pPr>
        <w:spacing w:after="0" w:line="2"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(1)(B) of the</w:t>
      </w:r>
    </w:p>
    <w:p>
      <w:pPr>
        <w:spacing w:after="0" w:line="13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40"/>
          </w:cols>
          <w:pgMar w:left="920" w:top="274" w:right="239" w:bottom="1440" w:gutter="0" w:footer="0" w:header="0"/>
        </w:sectPr>
      </w:pPr>
    </w:p>
    <w:bookmarkStart w:id="163" w:name="page164"/>
    <w:bookmarkEnd w:id="163"/>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Bankruptcy Code and further shall be deemed to exist immediately before the commencement of the bankruptcy case in which</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Supplier is the debtor; (ii) AT&amp;T shall have all of the rights afforded to non-debtor licensees and sublicensees under</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Section 365(n) of the Bankruptcy Code; and (iii) to the extent any rights of AT&amp;T under this Agreement which arise after the</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termination or expiration of this Agreement are determined by a bankruptcy court to not be “intellectual property rights” for</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purposes of Section 365(n), all of such rights shall remain vested in and fully retained by AT&amp;T after any Bankruptcy Rejection</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as though this Agreement were terminated or expired. AT&amp;T shall under no circumstances be required to terminate this</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Agreement after a Bankruptcy Rejection in order to enjoy or acquire any of its rights under this Agreement.</w:t>
      </w:r>
    </w:p>
    <w:p>
      <w:pPr>
        <w:spacing w:after="0" w:line="112" w:lineRule="exact"/>
        <w:rPr>
          <w:sz w:val="20"/>
          <w:szCs w:val="20"/>
          <w:color w:val="auto"/>
        </w:rPr>
      </w:pPr>
    </w:p>
    <w:p>
      <w:pPr>
        <w:ind w:left="1480" w:right="60" w:hanging="680"/>
        <w:spacing w:after="0" w:line="269" w:lineRule="auto"/>
        <w:tabs>
          <w:tab w:leader="none" w:pos="1480"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AT&amp;T Rights Upon Supplier’s Bankruptcy</w:t>
      </w:r>
      <w:r>
        <w:rPr>
          <w:rFonts w:ascii="Arial" w:cs="Arial" w:eastAsia="Arial" w:hAnsi="Arial"/>
          <w:sz w:val="17"/>
          <w:szCs w:val="17"/>
          <w:color w:val="auto"/>
        </w:rPr>
        <w:t>. In the event of Supplier’s bankruptcy or of the filing of any petition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bankruptcy laws affecting the rights of Supplier which is not stayed or dismissed within thirty (30) days of filing, in addition to the other rights and remedies set forth herein, to the maximum extent permitted by Law, AT&amp;T will have the immediate right to retain and take possession for safekeeping all AT&amp;T Information, AT&amp;T licensed Third Party Software, AT&amp;T owned Equipment, AT&amp;T owned Material, AT&amp;T owned Custom Software, and all other Software, Equipment, Systems or Material to which AT&amp;T is or would be entitled during the term of this Agreement or upon the expiration or termination of this Agreement. Supplier shall cooperate fully with AT&amp;T and assist AT&amp;T in identifying and taking possession of the items listed in the preceding sentence. AT&amp;T will have the right to hold such AT&amp;T Information, Software, Equipment, Systems and Material until such time as the trustee or receiver in bankruptcy or other appropriate court officer can provide adequate assurances and evidence to AT&amp;T that they will be protected from sale, release, inspection, publication or inclusion in any publicly accessible record, document, material or filing. Supplier and AT&amp;T agree that without this material provision, AT&amp;T would not have entered into this Agreement or provided any right to the possession or use of AT&amp;T Information or AT&amp;T Software covered by this Agreement.</w:t>
      </w:r>
    </w:p>
    <w:p>
      <w:pPr>
        <w:spacing w:after="0" w:line="82" w:lineRule="exact"/>
        <w:rPr>
          <w:rFonts w:ascii="Arial" w:cs="Arial" w:eastAsia="Arial" w:hAnsi="Arial"/>
          <w:sz w:val="17"/>
          <w:szCs w:val="17"/>
          <w:color w:val="auto"/>
        </w:rPr>
      </w:pPr>
    </w:p>
    <w:p>
      <w:pPr>
        <w:ind w:left="1480" w:right="180" w:hanging="680"/>
        <w:spacing w:after="0" w:line="266" w:lineRule="auto"/>
        <w:tabs>
          <w:tab w:leader="none" w:pos="1480"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Rights To Assume In Bankruptcy</w:t>
      </w:r>
      <w:r>
        <w:rPr>
          <w:rFonts w:ascii="Arial" w:cs="Arial" w:eastAsia="Arial" w:hAnsi="Arial"/>
          <w:sz w:val="18"/>
          <w:szCs w:val="18"/>
          <w:color w:val="auto"/>
        </w:rPr>
        <w:t>. In the event of commencement of bankruptcy proceedings by or against AT&amp;T, AT&amp;T or</w:t>
      </w:r>
      <w:r>
        <w:rPr>
          <w:rFonts w:ascii="Arial" w:cs="Arial" w:eastAsia="Arial" w:hAnsi="Arial"/>
          <w:sz w:val="18"/>
          <w:szCs w:val="18"/>
          <w:b w:val="1"/>
          <w:bCs w:val="1"/>
          <w:color w:val="auto"/>
        </w:rPr>
        <w:t xml:space="preserve"> </w:t>
      </w:r>
      <w:r>
        <w:rPr>
          <w:rFonts w:ascii="Arial" w:cs="Arial" w:eastAsia="Arial" w:hAnsi="Arial"/>
          <w:sz w:val="18"/>
          <w:szCs w:val="18"/>
          <w:color w:val="auto"/>
        </w:rPr>
        <w:t>its trustee in bankruptcy shall be entitled to assume this Agreement and shall be entitled to retain all of AT&amp;T’s license rights hereunder.</w:t>
      </w:r>
    </w:p>
    <w:p>
      <w:pPr>
        <w:spacing w:after="0" w:line="81" w:lineRule="exact"/>
        <w:rPr>
          <w:rFonts w:ascii="Arial" w:cs="Arial" w:eastAsia="Arial" w:hAnsi="Arial"/>
          <w:sz w:val="18"/>
          <w:szCs w:val="18"/>
          <w:color w:val="auto"/>
        </w:rPr>
      </w:pPr>
    </w:p>
    <w:p>
      <w:pPr>
        <w:ind w:left="800" w:hanging="797"/>
        <w:spacing w:after="0"/>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Termination Upon Supplier’s Change in Control</w:t>
      </w:r>
    </w:p>
    <w:p>
      <w:pPr>
        <w:spacing w:after="0" w:line="12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This Section shall apply to all agreements between any AT&amp;T Entity and any Supplier Entity:</w:t>
      </w:r>
    </w:p>
    <w:p>
      <w:pPr>
        <w:spacing w:after="0" w:line="130" w:lineRule="exact"/>
        <w:rPr>
          <w:rFonts w:ascii="Arial" w:cs="Arial" w:eastAsia="Arial" w:hAnsi="Arial"/>
          <w:sz w:val="18"/>
          <w:szCs w:val="18"/>
          <w:color w:val="auto"/>
        </w:rPr>
      </w:pPr>
    </w:p>
    <w:p>
      <w:pPr>
        <w:ind w:left="1480" w:right="120" w:hanging="680"/>
        <w:spacing w:after="0" w:line="257" w:lineRule="auto"/>
        <w:tabs>
          <w:tab w:leader="none" w:pos="14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the event of a change in Control of Supplier (or that portion of Supplier providing Services under this Agreement) or the Entity that Controls Supplier (if any), where such Control is acquired, directly or indirectly, in a single transaction or series of related transactions, or all or substantially all of the assets of Supplier are acquired by any Entity, or Supplier is merged with or into another Entity to form a new Entity, AT&amp;T may at its option terminate this Agreement by giving Supplier at least [***] days prior notice and</w:t>
      </w:r>
    </w:p>
    <w:p>
      <w:pPr>
        <w:spacing w:after="0" w:line="11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40"/>
          </w:cols>
          <w:pgMar w:left="920" w:top="274" w:right="239" w:bottom="1440" w:gutter="0" w:footer="0" w:header="0"/>
        </w:sectPr>
      </w:pPr>
    </w:p>
    <w:bookmarkStart w:id="164" w:name="page165"/>
    <w:bookmarkEnd w:id="164"/>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80" w:right="40"/>
        <w:spacing w:after="0" w:line="268" w:lineRule="auto"/>
        <w:rPr>
          <w:sz w:val="20"/>
          <w:szCs w:val="20"/>
          <w:color w:val="auto"/>
        </w:rPr>
      </w:pPr>
      <w:r>
        <w:rPr>
          <w:rFonts w:ascii="Arial" w:cs="Arial" w:eastAsia="Arial" w:hAnsi="Arial"/>
          <w:sz w:val="17"/>
          <w:szCs w:val="17"/>
          <w:color w:val="auto"/>
        </w:rPr>
        <w:t>designating a date upon which such termination shall be effective; provided, however, that AT&amp;T shall not have this right if Amdocs Limited, (a Guernsey corporation as of the Effective Date) retains Control of Supplier after such transaction, acquisition, merger; provided, further, however, if such change in Control of Supplier involves an AT&amp;T competitor, AT&amp;T may terminate this Agreement by giving Supplier at least [***] days prior notice, and the AT&amp;T competitor shall be prohibited from any contact with AT&amp;T Data, AT&amp;T Information and any and all other information about the AT&amp;T account, including discussions with Supplier personnel regarding specifics relating to the Services. Supplier shall not be entitled to any termination charges in connection with a termination pursuant to this Section 3.36h. For purposes of this Section, “</w:t>
      </w:r>
      <w:r>
        <w:rPr>
          <w:rFonts w:ascii="Arial" w:cs="Arial" w:eastAsia="Arial" w:hAnsi="Arial"/>
          <w:sz w:val="17"/>
          <w:szCs w:val="17"/>
          <w:u w:val="single" w:color="auto"/>
          <w:color w:val="auto"/>
        </w:rPr>
        <w:t>Control</w:t>
      </w:r>
      <w:r>
        <w:rPr>
          <w:rFonts w:ascii="Arial" w:cs="Arial" w:eastAsia="Arial" w:hAnsi="Arial"/>
          <w:sz w:val="17"/>
          <w:szCs w:val="17"/>
          <w:color w:val="auto"/>
        </w:rPr>
        <w:t>” and its derivatives mean: (a) the legal, beneficial or equitable ownership, directly or indirectly, of (i) [***] (ii) equity interests having the right to [***] or, in the event of dissolution, [***]; (b) the right to appoint, directly or indirectly, a majority of the board of directors; (c) the right to control, directly or indirectly, the management or direction of the Entity by contract or corporate governance document; or (d) in the case of a partnership, the holding by an Entity (or one of its Affiliates) of the position of sole general partner; and “</w:t>
      </w:r>
      <w:r>
        <w:rPr>
          <w:rFonts w:ascii="Arial" w:cs="Arial" w:eastAsia="Arial" w:hAnsi="Arial"/>
          <w:sz w:val="17"/>
          <w:szCs w:val="17"/>
          <w:u w:val="single" w:color="auto"/>
          <w:color w:val="auto"/>
        </w:rPr>
        <w:t>Entity</w:t>
      </w:r>
      <w:r>
        <w:rPr>
          <w:rFonts w:ascii="Arial" w:cs="Arial" w:eastAsia="Arial" w:hAnsi="Arial"/>
          <w:sz w:val="17"/>
          <w:szCs w:val="17"/>
          <w:color w:val="auto"/>
        </w:rPr>
        <w:t>” means a corporation, partnership, joint venture, trust, limited liability company, association or other organization or entity.</w:t>
      </w:r>
    </w:p>
    <w:p>
      <w:pPr>
        <w:spacing w:after="0" w:line="93" w:lineRule="exact"/>
        <w:rPr>
          <w:sz w:val="20"/>
          <w:szCs w:val="20"/>
          <w:color w:val="auto"/>
        </w:rPr>
      </w:pPr>
    </w:p>
    <w:p>
      <w:pPr>
        <w:ind w:left="1480" w:right="180" w:hanging="680"/>
        <w:spacing w:after="0" w:line="312" w:lineRule="auto"/>
        <w:tabs>
          <w:tab w:leader="none" w:pos="14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Subject to any legal obligation of confidentiality or applicable securities laws, Supplier will provide AT&amp;T with notice at the earliest permissible time of Supplier’s intention to make such a change of Control and facilitate AT&amp;T’s receipt of sufficient information about the Entity acquiring Control for AT&amp;T to choose to exercise its termination rights described in this Section.</w:t>
      </w:r>
    </w:p>
    <w:p>
      <w:pPr>
        <w:spacing w:after="0" w:line="52" w:lineRule="exact"/>
        <w:rPr>
          <w:rFonts w:ascii="Arial" w:cs="Arial" w:eastAsia="Arial" w:hAnsi="Arial"/>
          <w:sz w:val="16"/>
          <w:szCs w:val="16"/>
          <w:color w:val="auto"/>
        </w:rPr>
      </w:pPr>
    </w:p>
    <w:p>
      <w:pPr>
        <w:ind w:left="1480" w:right="40" w:hanging="680"/>
        <w:spacing w:after="0" w:line="277" w:lineRule="auto"/>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permitted assignee or successor in interest under this Section shall agree in writing to be bound by the terms and conditions of this Agreement.</w:t>
      </w:r>
    </w:p>
    <w:p>
      <w:pPr>
        <w:spacing w:after="0" w:line="75" w:lineRule="exact"/>
        <w:rPr>
          <w:rFonts w:ascii="Arial" w:cs="Arial" w:eastAsia="Arial" w:hAnsi="Arial"/>
          <w:sz w:val="18"/>
          <w:szCs w:val="18"/>
          <w:color w:val="auto"/>
        </w:rPr>
      </w:pPr>
    </w:p>
    <w:p>
      <w:pPr>
        <w:ind w:left="1480" w:right="260" w:hanging="680"/>
        <w:spacing w:after="0" w:line="342" w:lineRule="auto"/>
        <w:tabs>
          <w:tab w:leader="none" w:pos="14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Regardless of AT&amp;T’s consent or refusal to consent to an assignment under this Section, Supplier, or its successor in interest, shall continue to perform under the terms of the Agreement until such time as the Agreement terminates or expires.</w:t>
      </w:r>
    </w:p>
    <w:p>
      <w:pPr>
        <w:spacing w:after="0" w:line="25" w:lineRule="exact"/>
        <w:rPr>
          <w:rFonts w:ascii="Arial" w:cs="Arial" w:eastAsia="Arial" w:hAnsi="Arial"/>
          <w:sz w:val="16"/>
          <w:szCs w:val="16"/>
          <w:color w:val="auto"/>
        </w:rPr>
      </w:pPr>
    </w:p>
    <w:p>
      <w:pPr>
        <w:ind w:left="800" w:hanging="797"/>
        <w:spacing w:after="0"/>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Termination Charges</w:t>
      </w:r>
    </w:p>
    <w:p>
      <w:pPr>
        <w:spacing w:after="0" w:line="134" w:lineRule="exact"/>
        <w:rPr>
          <w:rFonts w:ascii="Arial" w:cs="Arial" w:eastAsia="Arial" w:hAnsi="Arial"/>
          <w:sz w:val="18"/>
          <w:szCs w:val="18"/>
          <w:color w:val="auto"/>
        </w:rPr>
      </w:pPr>
    </w:p>
    <w:p>
      <w:pPr>
        <w:ind w:left="1480" w:right="60" w:hanging="680"/>
        <w:spacing w:after="0" w:line="277"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Except as provided below or in the applicable Order, in the event AT&amp;T terminates any Order for convenience, AT&amp;T shall pay Supplier, [***].</w:t>
      </w:r>
    </w:p>
    <w:p>
      <w:pPr>
        <w:spacing w:after="0" w:line="75" w:lineRule="exact"/>
        <w:rPr>
          <w:rFonts w:ascii="Arial" w:cs="Arial" w:eastAsia="Arial" w:hAnsi="Arial"/>
          <w:sz w:val="18"/>
          <w:szCs w:val="18"/>
          <w:color w:val="auto"/>
        </w:rPr>
      </w:pPr>
    </w:p>
    <w:p>
      <w:pPr>
        <w:ind w:left="1480" w:right="100" w:hanging="680"/>
        <w:spacing w:after="0" w:line="308" w:lineRule="auto"/>
        <w:tabs>
          <w:tab w:leader="none" w:pos="14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AT&amp;T is not liable to Supplier for any detriment resulting from termination of an Order for Material not specially developed or purchased for AT&amp;T when termination of such Order occurs more than [***] days before the Delivery Date.</w:t>
      </w:r>
    </w:p>
    <w:p>
      <w:pPr>
        <w:spacing w:after="0" w:line="51" w:lineRule="exact"/>
        <w:rPr>
          <w:rFonts w:ascii="Arial" w:cs="Arial" w:eastAsia="Arial" w:hAnsi="Arial"/>
          <w:sz w:val="17"/>
          <w:szCs w:val="17"/>
          <w:color w:val="auto"/>
        </w:rPr>
      </w:pPr>
    </w:p>
    <w:p>
      <w:pPr>
        <w:ind w:left="1480" w:right="20" w:hanging="680"/>
        <w:spacing w:after="0" w:line="277"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AT&amp;T is not liable for any termination charges in any case when termination results from the agreement of the Parties, except as otherwise agreed by the Parties.</w:t>
      </w:r>
    </w:p>
    <w:p>
      <w:pPr>
        <w:spacing w:after="0" w:line="9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40"/>
          </w:cols>
          <w:pgMar w:left="920" w:top="274"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1480" w:hanging="797"/>
        <w:spacing w:after="0"/>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Obligations upon Expiration or Termination</w:t>
      </w:r>
    </w:p>
    <w:p>
      <w:pPr>
        <w:spacing w:after="0" w:line="134" w:lineRule="exact"/>
        <w:rPr>
          <w:rFonts w:ascii="Arial" w:cs="Arial" w:eastAsia="Arial" w:hAnsi="Arial"/>
          <w:sz w:val="18"/>
          <w:szCs w:val="18"/>
          <w:color w:val="auto"/>
        </w:rPr>
      </w:pPr>
    </w:p>
    <w:p>
      <w:pPr>
        <w:ind w:left="2160" w:right="120" w:hanging="680"/>
        <w:spacing w:after="0" w:line="255" w:lineRule="auto"/>
        <w:tabs>
          <w:tab w:leader="none" w:pos="21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Upon expiration or termination of this Agreement or any Order, Supplier shall, upon the request of AT&amp;T: (i) return all papers, materials and property of AT&amp;T held by Supplier and (ii) provide reasonable assistance as may be necessary for the orderly, non-disrupted continuation of AT&amp;T’s business. Supplier also agrees to assist AT&amp;T in coordinating the transfer of the provision of the Services to a successor supplier, which shall include continuing to provide the required level of Services to the extent Supplier is able to maintain its level of personnel necessary to provide the required level of Services, until the date of expiration or termination and providing the successor supplier with all pertinent information about the Services, subject to Section 3.16, “Information”.</w:t>
      </w:r>
    </w:p>
    <w:p>
      <w:pPr>
        <w:spacing w:after="0" w:line="94" w:lineRule="exact"/>
        <w:rPr>
          <w:rFonts w:ascii="Arial" w:cs="Arial" w:eastAsia="Arial" w:hAnsi="Arial"/>
          <w:sz w:val="18"/>
          <w:szCs w:val="18"/>
          <w:color w:val="auto"/>
        </w:rPr>
      </w:pPr>
    </w:p>
    <w:p>
      <w:pPr>
        <w:ind w:left="2160" w:right="160" w:hanging="680"/>
        <w:spacing w:after="0" w:line="312" w:lineRule="auto"/>
        <w:tabs>
          <w:tab w:leader="none" w:pos="21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Upon expiration or termination of this Agreement or any Order, AT&amp;T shall, upon the request of Supplier, return all papers, materials and property of Supplier held by AT&amp;T. Additionally, in the event of termination of an Order due to AT&amp;T’s breach, AT&amp;T shall return to Supplier all Materials provided to AT&amp;T by Supplier under such Order that are not owned by AT&amp;T.</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6"/>
          <w:szCs w:val="16"/>
          <w:b w:val="1"/>
          <w:bCs w:val="1"/>
          <w:color w:val="auto"/>
        </w:rPr>
        <w:t>Third Party Administrative Services</w:t>
      </w:r>
    </w:p>
    <w:p>
      <w:pPr>
        <w:spacing w:after="0" w:line="135" w:lineRule="exact"/>
        <w:rPr>
          <w:sz w:val="20"/>
          <w:szCs w:val="20"/>
          <w:color w:val="auto"/>
        </w:rPr>
      </w:pPr>
    </w:p>
    <w:p>
      <w:pPr>
        <w:ind w:left="1480" w:right="700" w:hanging="797"/>
        <w:spacing w:after="0" w:line="277" w:lineRule="auto"/>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Supplier acknowledges that a third party administrator will perform certain administrative functions for AT&amp;T in relation to this Agreement. Such administrative functions may include:</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Collecting and verifying certificates of insurance;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Providing financial analysis;</w:t>
      </w:r>
    </w:p>
    <w:p>
      <w:pPr>
        <w:spacing w:after="0" w:line="130" w:lineRule="exact"/>
        <w:rPr>
          <w:rFonts w:ascii="Arial" w:cs="Arial" w:eastAsia="Arial" w:hAnsi="Arial"/>
          <w:sz w:val="18"/>
          <w:szCs w:val="18"/>
          <w:color w:val="auto"/>
        </w:rPr>
      </w:pPr>
    </w:p>
    <w:p>
      <w:pPr>
        <w:ind w:left="2160" w:right="420" w:hanging="680"/>
        <w:spacing w:after="0" w:line="277" w:lineRule="auto"/>
        <w:tabs>
          <w:tab w:leader="none" w:pos="2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Verifying certifications under the Section entitled “Utilization of Minority, Women, and Disabled Veteran Owned Business Enterprises”;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Collecting and verifying Supplier profile information.</w:t>
      </w:r>
    </w:p>
    <w:p>
      <w:pPr>
        <w:spacing w:after="0" w:line="130" w:lineRule="exact"/>
        <w:rPr>
          <w:rFonts w:ascii="Arial" w:cs="Arial" w:eastAsia="Arial" w:hAnsi="Arial"/>
          <w:sz w:val="18"/>
          <w:szCs w:val="18"/>
          <w:color w:val="auto"/>
        </w:rPr>
      </w:pPr>
    </w:p>
    <w:p>
      <w:pPr>
        <w:ind w:left="1480" w:right="140" w:hanging="797"/>
        <w:spacing w:after="0" w:line="255" w:lineRule="auto"/>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Supplier shall cooperate with such third party administrator in its performance of such administrative functions and shall provide such data as from time to time the third party administrator may reasonably request. Further, notwithstanding any other provision of this Agreement, Supplier agrees that AT&amp;T may provide any information regarding Supplier to such third party administrator. AT&amp;T shall contractually require the third party administrator to maintain confidentiality of Supplier’s information with rights to use it solely for purposes of the administrative functions it performs for AT&amp;T. Supplier agrees to pay the third party administrator an annual fee for the performance of these administrative functions, which annual fee shall not exceed three hundred dollars ($300.00), and a one-time set-up fee of thirty dollars ($30.00).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3.38</w:t>
      </w:r>
      <w:r>
        <w:rPr>
          <w:sz w:val="20"/>
          <w:szCs w:val="20"/>
          <w:color w:val="auto"/>
        </w:rPr>
        <w:tab/>
      </w:r>
      <w:r>
        <w:rPr>
          <w:rFonts w:ascii="Arial" w:cs="Arial" w:eastAsia="Arial" w:hAnsi="Arial"/>
          <w:sz w:val="17"/>
          <w:szCs w:val="17"/>
          <w:b w:val="1"/>
          <w:bCs w:val="1"/>
          <w:color w:val="auto"/>
        </w:rPr>
        <w:t>Ownership of AT&amp;T Data and AT&amp;T Derived Data</w:t>
      </w:r>
    </w:p>
    <w:p>
      <w:pPr>
        <w:spacing w:after="0" w:line="135" w:lineRule="exact"/>
        <w:rPr>
          <w:sz w:val="20"/>
          <w:szCs w:val="20"/>
          <w:color w:val="auto"/>
        </w:rPr>
      </w:pPr>
    </w:p>
    <w:p>
      <w:pPr>
        <w:ind w:left="1480" w:right="20" w:hanging="797"/>
        <w:spacing w:after="0" w:line="268" w:lineRule="auto"/>
        <w:tabs>
          <w:tab w:leader="none" w:pos="14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AT&amp;T Data is the property of AT&amp;T. To the extent needed to perfect AT&amp;T’s ownership in AT&amp;T Data, Supplier hereby assigns all right, title and interest in AT&amp;T Data to AT&amp;T. No transfer of title in AT&amp;T Data is implied or shall occur under this Agreement. AT&amp;T grants to Supplier and its approved Subcontractors a license to access, use, and copy the AT&amp;T Data, with no right to grant sublicenses, solely for the performance of Supplier’s obligations during the Term of this Agreement and solely in compliance with AT&amp;T’s privacy policies, including obligations relating to Customer Information as set forth in the Agreement. Supplier shall promptly return AT&amp;T Data, at no cost to AT&amp;T, and in the format and on the media prescribed by AT&amp;T (i) at any time at AT&amp;T’s request, regardless of the expiration or termination of this Agreement, (ii) at the expiration or termination of this Agreement, or (iii) with respect to particular AT&amp;T Data, whenever such data is no longer needed by Supplier to perform its obligations under this Agreement. AT&amp;T Data shall not be (a) utilized by Supplier for any purpose other than as required to fulfill its obligations under this Agreement, (b) sold, assigned, leased, commercially exploited or otherwise provided to or accessed by third parties, whether by or on behalf of Supplier, (c) withheld from AT&amp;T by Supplier, or (d) used by Supplier to assert any lien or other right against or to it. Supplier shall promptly notify AT&amp;T if Supplier believes that any use of AT&amp;T Data by Supplier contemplated under this Agreement or to be undertaken as part of the performance of this Agreement is inconsistent with the preceding sentence.</w:t>
      </w:r>
    </w:p>
    <w:p>
      <w:pPr>
        <w:spacing w:after="0" w:line="93" w:lineRule="exact"/>
        <w:rPr>
          <w:rFonts w:ascii="Arial" w:cs="Arial" w:eastAsia="Arial" w:hAnsi="Arial"/>
          <w:sz w:val="17"/>
          <w:szCs w:val="17"/>
          <w:color w:val="auto"/>
        </w:rPr>
      </w:pPr>
    </w:p>
    <w:p>
      <w:pPr>
        <w:ind w:left="1480" w:right="40" w:hanging="797"/>
        <w:spacing w:after="0" w:line="287" w:lineRule="auto"/>
        <w:tabs>
          <w:tab w:leader="none" w:pos="14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AT&amp;T shall own all right, title and interest to the AT&amp;T Derived Data. To the extent needed to perfect AT&amp;T’s ownership in AT&amp;T Derived Data, Supplier hereby assigns all right, title and interest in AT&amp;T Derived Data to AT&amp;T. AT&amp;T grants to Supplier and its approved Subcontractors a license to access, use, and copy the AT&amp;T Derived Data, with no right to grant sublicenses (except to an approved Supplier Subcontractor), solely for the performance of Supplier’s obligations during the Term of this Agreement and solely in compliance with AT&amp;T’s privacy policies, including obligations relating to Customer Information. Supplier shall deliver AT&amp;T Derived Data in the format, on the media and in the timing prescribed by AT&amp;T. Such delivery shall be at no cost to AT&amp;T unless the format, media, or timing prescribed by AT&amp;T for delivery would cause Supplier to incur substantial additional costs, in which case Supplier shall so notify AT&amp;T and the Parties shall negotiate in good faith to determine whether the format, media, or timing can be changed to avoid Supplier’s incurring such costs or to determine whether AT&amp;T is willing to reimburse Supplier for such costs. If the Parties fail to agree, the Parties agree to use the dispute resolution procedures in the Agreement to resolve the dispute. For the avoidance of doubt, Supplier shall not create or develop AT&amp;T Derived Data after the expiration or termination of this Agreement.</w:t>
      </w:r>
    </w:p>
    <w:p>
      <w:pPr>
        <w:spacing w:after="0" w:line="78" w:lineRule="exact"/>
        <w:rPr>
          <w:rFonts w:ascii="Arial" w:cs="Arial" w:eastAsia="Arial" w:hAnsi="Arial"/>
          <w:sz w:val="16"/>
          <w:szCs w:val="16"/>
          <w:color w:val="auto"/>
        </w:rPr>
      </w:pPr>
    </w:p>
    <w:p>
      <w:pPr>
        <w:ind w:left="1480" w:right="260" w:hanging="797"/>
        <w:spacing w:after="0" w:line="257" w:lineRule="auto"/>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provisions of this Section shall apply to all AT&amp;T Data and AT&amp;T Derived Data disclosed or otherwise provided to, or created, developed, modified, recast or processed by, Supplier on or after the Effective Date of this Agreement. Supplier’s obligation to return AT&amp;T Data and AT&amp;T Derived Data upon AT&amp;T’s request shall survive the expiration or termination of this Agreement, but shall not apply to AT&amp;T Data and AT&amp;T Derived Data which, at the time of AT&amp;T’s request for return, is no longer retained by or on behalf of Supplier.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3.39</w:t>
      </w:r>
      <w:r>
        <w:rPr>
          <w:sz w:val="20"/>
          <w:szCs w:val="20"/>
          <w:color w:val="auto"/>
        </w:rPr>
        <w:tab/>
      </w:r>
      <w:r>
        <w:rPr>
          <w:rFonts w:ascii="Arial" w:cs="Arial" w:eastAsia="Arial" w:hAnsi="Arial"/>
          <w:sz w:val="16"/>
          <w:szCs w:val="16"/>
          <w:b w:val="1"/>
          <w:bCs w:val="1"/>
          <w:color w:val="auto"/>
        </w:rPr>
        <w:t>Third Party Beneficiaries</w:t>
      </w:r>
    </w:p>
    <w:p>
      <w:pPr>
        <w:spacing w:after="0" w:line="121" w:lineRule="exact"/>
        <w:rPr>
          <w:sz w:val="20"/>
          <w:szCs w:val="20"/>
          <w:color w:val="auto"/>
        </w:rPr>
      </w:pPr>
    </w:p>
    <w:p>
      <w:pPr>
        <w:jc w:val="both"/>
        <w:ind w:left="700" w:right="80"/>
        <w:spacing w:after="0" w:line="259" w:lineRule="auto"/>
        <w:rPr>
          <w:sz w:val="20"/>
          <w:szCs w:val="20"/>
          <w:color w:val="auto"/>
        </w:rPr>
      </w:pPr>
      <w:r>
        <w:rPr>
          <w:rFonts w:ascii="Arial" w:cs="Arial" w:eastAsia="Arial" w:hAnsi="Arial"/>
          <w:sz w:val="18"/>
          <w:szCs w:val="18"/>
          <w:color w:val="auto"/>
        </w:rPr>
        <w:t>The provisions of this Agreement are solely for the benefit of the Parties hereto and are not intended to confer upon any person or entity, except the Parties hereto, any rights or remedies hereunder. There are no third party beneficiaries of this Agreement, and this Agreement shall not provide any third person or entity with any remedy, claim, liability, reimbursement, claim of action or other right in excess of those existing without reference to this Agreement.</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3.40</w:t>
      </w:r>
      <w:r>
        <w:rPr>
          <w:sz w:val="20"/>
          <w:szCs w:val="20"/>
          <w:color w:val="auto"/>
        </w:rPr>
        <w:tab/>
      </w:r>
      <w:r>
        <w:rPr>
          <w:rFonts w:ascii="Arial" w:cs="Arial" w:eastAsia="Arial" w:hAnsi="Arial"/>
          <w:sz w:val="15"/>
          <w:szCs w:val="15"/>
          <w:b w:val="1"/>
          <w:bCs w:val="1"/>
          <w:color w:val="auto"/>
        </w:rPr>
        <w:t>Risk of Loss</w:t>
      </w:r>
    </w:p>
    <w:p>
      <w:pPr>
        <w:spacing w:after="0" w:line="12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Risk of loss shall pass to AT&amp;T when possession of the Material passes, in the United States of America, (i) from Supplier or its intermediary to the carrier, if and when this Agreement or an Order requires Supplier to ship freight collect, and (ii) from the carrier to AT&amp;T, if and when this Agreement or the applicable Order requires Supplier to prepay for shipment.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5"/>
          <w:szCs w:val="15"/>
          <w:b w:val="1"/>
          <w:bCs w:val="1"/>
          <w:color w:val="auto"/>
        </w:rPr>
        <w:t>Transaction Costs</w:t>
      </w:r>
    </w:p>
    <w:p>
      <w:pPr>
        <w:spacing w:after="0" w:line="121"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Except as expressly provided in this Agreement or an Order, each Party shall bear its own fees and expenses (including the fees and expenses of its agents, representatives, attorneys, and accountants) incurred in connection with the negotiation, drafting, execution, and performance of this Agreement and the transactions it contemplates.</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Utilization of Minority, Women, and Disabled Veteran Owned Business Enterprises</w:t>
      </w:r>
    </w:p>
    <w:p>
      <w:pPr>
        <w:spacing w:after="0" w:line="135" w:lineRule="exact"/>
        <w:rPr>
          <w:sz w:val="20"/>
          <w:szCs w:val="20"/>
          <w:color w:val="auto"/>
        </w:rPr>
      </w:pPr>
    </w:p>
    <w:p>
      <w:pPr>
        <w:ind w:left="1480" w:right="80" w:hanging="797"/>
        <w:spacing w:after="0" w:line="259"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AT&amp;T seeks to give minority-, women- and Disabled Veteran-owned businesses the maximum opportunity to participate in the performance of its contracts; current goals are MBE-15%, WBE-5%, and DVBE-1.5%. Supplier commits to making good faith efforts to achieve goals for the participation of MBE/WBE and DVBE firms (as defined in Subsection e of this Section below entitled “MBE/WBE/DVBE Termination”).</w:t>
      </w:r>
    </w:p>
    <w:p>
      <w:pPr>
        <w:spacing w:after="0" w:line="92" w:lineRule="exact"/>
        <w:rPr>
          <w:rFonts w:ascii="Arial" w:cs="Arial" w:eastAsia="Arial" w:hAnsi="Arial"/>
          <w:sz w:val="18"/>
          <w:szCs w:val="18"/>
          <w:color w:val="auto"/>
        </w:rPr>
      </w:pPr>
    </w:p>
    <w:p>
      <w:pPr>
        <w:ind w:left="1480" w:right="20" w:hanging="797"/>
        <w:spacing w:after="0" w:line="264"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 the avoidance of doubt, these goals apply to all annual expenditures by any AT&amp;T entity with Supplier. This includes all expenditures under all existing agreements between AT&amp;T and Supplier. Supplier agrees to meet in good faith to evaluate with AT&amp;T on annual basis whether Supplier can increase participation over the life of the Agreement.</w:t>
      </w:r>
    </w:p>
    <w:p>
      <w:pPr>
        <w:spacing w:after="0" w:line="86" w:lineRule="exact"/>
        <w:rPr>
          <w:rFonts w:ascii="Arial" w:cs="Arial" w:eastAsia="Arial" w:hAnsi="Arial"/>
          <w:sz w:val="18"/>
          <w:szCs w:val="18"/>
          <w:color w:val="auto"/>
        </w:rPr>
      </w:pPr>
    </w:p>
    <w:p>
      <w:pPr>
        <w:ind w:left="1480" w:right="80" w:hanging="797"/>
        <w:spacing w:after="0" w:line="257"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Supplier Diversity subcontracting results cannot be met by Supplier due to significant legal, regulatory or business relationship changes that have a direct and substantive negative impact on the attainment of the Diversity commitments herein, AT&amp;T and Supplier will jointly review the results and known causes of the diversity subcontracting shortfall in order to reach a mutually acceptable Diversity subcontracting target. In the event the Parties cannot resolve the Diversity subcontracting targets, then the issue will be escalated as required through the following levels: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89"/>
              </w:rPr>
              <w:t>Software and Professional Services Agreement</w:t>
            </w:r>
          </w:p>
        </w:tc>
      </w:tr>
      <w:tr>
        <w:trPr>
          <w:trHeight w:val="311"/>
        </w:trPr>
        <w:tc>
          <w:tcPr>
            <w:tcW w:w="4120" w:type="dxa"/>
            <w:vAlign w:val="bottom"/>
            <w:gridSpan w:val="2"/>
          </w:tcPr>
          <w:p>
            <w:pPr>
              <w:jc w:val="center"/>
              <w:ind w:right="100"/>
              <w:spacing w:after="0"/>
              <w:rPr>
                <w:sz w:val="20"/>
                <w:szCs w:val="20"/>
                <w:color w:val="auto"/>
              </w:rPr>
            </w:pPr>
            <w:r>
              <w:rPr>
                <w:rFonts w:ascii="Arial" w:cs="Arial" w:eastAsia="Arial" w:hAnsi="Arial"/>
                <w:sz w:val="14"/>
                <w:szCs w:val="14"/>
                <w:color w:val="auto"/>
              </w:rPr>
              <w:t>Level</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Supplier</w:t>
            </w:r>
          </w:p>
        </w:tc>
        <w:tc>
          <w:tcPr>
            <w:tcW w:w="3540" w:type="dxa"/>
            <w:vAlign w:val="bottom"/>
            <w:gridSpan w:val="2"/>
          </w:tcPr>
          <w:p>
            <w:pPr>
              <w:jc w:val="center"/>
              <w:ind w:right="40"/>
              <w:spacing w:after="0"/>
              <w:rPr>
                <w:sz w:val="20"/>
                <w:szCs w:val="20"/>
                <w:color w:val="auto"/>
              </w:rPr>
            </w:pPr>
            <w:r>
              <w:rPr>
                <w:rFonts w:ascii="Arial" w:cs="Arial" w:eastAsia="Arial" w:hAnsi="Arial"/>
                <w:sz w:val="14"/>
                <w:szCs w:val="14"/>
                <w:color w:val="auto"/>
              </w:rPr>
              <w:t>AT&amp;T</w:t>
            </w:r>
          </w:p>
        </w:tc>
      </w:tr>
      <w:tr>
        <w:trPr>
          <w:trHeight w:val="195"/>
        </w:trPr>
        <w:tc>
          <w:tcPr>
            <w:tcW w:w="4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Amdocs AT&amp;T Division President</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AVP-Global Supply Chain</w:t>
            </w:r>
          </w:p>
        </w:tc>
        <w:tc>
          <w:tcPr>
            <w:tcW w:w="20" w:type="dxa"/>
            <w:vAlign w:val="bottom"/>
          </w:tcPr>
          <w:p>
            <w:pPr>
              <w:spacing w:after="0"/>
              <w:rPr>
                <w:sz w:val="16"/>
                <w:szCs w:val="16"/>
                <w:color w:val="auto"/>
              </w:rPr>
            </w:pPr>
          </w:p>
        </w:tc>
      </w:tr>
      <w:tr>
        <w:trPr>
          <w:trHeight w:val="230"/>
        </w:trPr>
        <w:tc>
          <w:tcPr>
            <w:tcW w:w="4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President – Amdocs Customer Business Unit</w:t>
            </w:r>
          </w:p>
        </w:tc>
        <w:tc>
          <w:tcPr>
            <w:tcW w:w="35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President-Global Supply Chain</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480" w:right="100" w:hanging="797"/>
        <w:spacing w:after="0" w:line="257" w:lineRule="auto"/>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Attached hereto and incorporated herein as Appendix E, Exhibit 1 is Supplier’s completed Participation Plan outlining its MBE/WBE/DVBE goals and specific and detailed plans to achieve those goals. Supplier will submit an updated Participation Plan annually by the first week in January. Supplier will submit MBE/WBE/DVBE Results Reports quarterly by the end of the first week following the close of each quarter, using the form attached hereto and incorporated herein as Appendix E, Exhibit 2. Participation Plans and Results Reports will be submitted to the Prime Supplier Program Manager.</w:t>
      </w:r>
    </w:p>
    <w:p>
      <w:pPr>
        <w:spacing w:after="0" w:line="93" w:lineRule="exact"/>
        <w:rPr>
          <w:rFonts w:ascii="Arial" w:cs="Arial" w:eastAsia="Arial" w:hAnsi="Arial"/>
          <w:sz w:val="18"/>
          <w:szCs w:val="18"/>
          <w:color w:val="auto"/>
        </w:rPr>
      </w:pPr>
    </w:p>
    <w:p>
      <w:pPr>
        <w:ind w:left="1480" w:hanging="797"/>
        <w:spacing w:after="0"/>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MBE/WBE/DVBE Termination</w:t>
      </w:r>
    </w:p>
    <w:p>
      <w:pPr>
        <w:spacing w:after="0" w:line="130" w:lineRule="exact"/>
        <w:rPr>
          <w:rFonts w:ascii="Arial" w:cs="Arial" w:eastAsia="Arial" w:hAnsi="Arial"/>
          <w:sz w:val="18"/>
          <w:szCs w:val="18"/>
          <w:color w:val="auto"/>
        </w:rPr>
      </w:pPr>
    </w:p>
    <w:p>
      <w:pPr>
        <w:ind w:left="2160" w:right="20" w:hanging="680"/>
        <w:spacing w:after="0" w:line="254" w:lineRule="auto"/>
        <w:tabs>
          <w:tab w:leader="none" w:pos="21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Supplier agrees that falsification or misrepresentation of, or failure to report a disqualifying change in, the MBE/WBE/DVBE status of Supplier or any Subcontractor utilized by Supplier, or Supplier’s failure to comply in good faith with any MBE/WBE/DVBE utilization goals established by Supplier, or Supplier’s failure to cooperate in any investigation conducted by AT&amp;T, or by AT&amp;T’s agent, to determine Supplier’s compliance with this Section, will constitute a material breach of this Agreement. In the event of any such breach, AT&amp;T may, at its option, pursue termination through the dispute resolution procedures of Section 4.5 upon thirty (30) days’ notice where such breach remains uncured by Supplier at the end of the notice period. Supplier acknowledges and agrees that AT&amp;T shall not be subject to Liability, nor shall Supplier have any right to sue for damages, as a result of such termination.</w:t>
      </w:r>
    </w:p>
    <w:p>
      <w:pPr>
        <w:spacing w:after="0" w:line="97" w:lineRule="exact"/>
        <w:rPr>
          <w:rFonts w:ascii="Arial" w:cs="Arial" w:eastAsia="Arial" w:hAnsi="Arial"/>
          <w:sz w:val="18"/>
          <w:szCs w:val="18"/>
          <w:color w:val="auto"/>
        </w:rPr>
      </w:pPr>
    </w:p>
    <w:p>
      <w:pPr>
        <w:ind w:left="2160" w:right="160" w:hanging="680"/>
        <w:spacing w:after="0" w:line="257" w:lineRule="auto"/>
        <w:tabs>
          <w:tab w:leader="none" w:pos="21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For purchases under this Agreement by Pacific Bell, Pacific Bell Directory, Pacific Bell Mobile Services, Pacific Bell Information Services, Pacific Bell Communications, and any other entity operating principally in California (collectively “California Affiliates”), Minority and Women Business Enterprises (MBEs/WBEs) are defined as businesses which satisfy the requirements of Subsection iv of this Section below and are certified as MBEs/WBEs by the California Public Utilities Commission Clearinghouse (“CPUC-certified”).</w:t>
      </w:r>
    </w:p>
    <w:p>
      <w:pPr>
        <w:spacing w:after="0" w:line="93" w:lineRule="exact"/>
        <w:rPr>
          <w:rFonts w:ascii="Arial" w:cs="Arial" w:eastAsia="Arial" w:hAnsi="Arial"/>
          <w:sz w:val="18"/>
          <w:szCs w:val="18"/>
          <w:color w:val="auto"/>
        </w:rPr>
      </w:pPr>
    </w:p>
    <w:p>
      <w:pPr>
        <w:ind w:left="2160" w:right="440" w:hanging="680"/>
        <w:spacing w:after="0" w:line="264" w:lineRule="auto"/>
        <w:tabs>
          <w:tab w:leader="none" w:pos="21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For purchases under this Agreement by any entity that is not a California Affiliate, MBEs/WBEs are defined as businesses which satisfy the requirements of Subsection iv of this Section below and are either CPUC-certified or are certified as MBEs/WBEs by a certifying agency recognized by AT&amp;T.</w:t>
      </w:r>
    </w:p>
    <w:p>
      <w:pPr>
        <w:spacing w:after="0" w:line="86" w:lineRule="exact"/>
        <w:rPr>
          <w:rFonts w:ascii="Arial" w:cs="Arial" w:eastAsia="Arial" w:hAnsi="Arial"/>
          <w:sz w:val="18"/>
          <w:szCs w:val="18"/>
          <w:color w:val="auto"/>
        </w:rPr>
      </w:pPr>
    </w:p>
    <w:p>
      <w:pPr>
        <w:jc w:val="both"/>
        <w:ind w:left="2160" w:right="120" w:hanging="680"/>
        <w:spacing w:after="0" w:line="286" w:lineRule="auto"/>
        <w:tabs>
          <w:tab w:leader="none" w:pos="21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MBEs/WBEs must be at least fifty-one percent (51%) owned by a minority individual or group or by one or more women (for publicly-held businesses, at least fifty-one percent (51%) of the stock must be owned by one or more of those individuals), and the MBEs/WBEs’ management and daily business operations must be controlled by one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169" w:name="page170"/>
    <w:bookmarkEnd w:id="169"/>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2160" w:right="20"/>
        <w:spacing w:after="0" w:line="254" w:lineRule="auto"/>
        <w:rPr>
          <w:sz w:val="20"/>
          <w:szCs w:val="20"/>
          <w:color w:val="auto"/>
        </w:rPr>
      </w:pPr>
      <w:r>
        <w:rPr>
          <w:rFonts w:ascii="Arial" w:cs="Arial" w:eastAsia="Arial" w:hAnsi="Arial"/>
          <w:sz w:val="18"/>
          <w:szCs w:val="18"/>
          <w:color w:val="auto"/>
        </w:rPr>
        <w:t>more of those individuals, and those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a fifty-one percent (51%) ownership and control of the business, but when aggregated, the ownership and control combination meets or exceeds the fifty-one percent (51%) rule). “Control” in this context means exercising the power to make policy decisions. “Operate” in this context means actively involved in the day-to-day management of the business and not merely acting as officers or directors.</w:t>
      </w:r>
    </w:p>
    <w:p>
      <w:pPr>
        <w:spacing w:after="0" w:line="98" w:lineRule="exact"/>
        <w:rPr>
          <w:sz w:val="20"/>
          <w:szCs w:val="20"/>
          <w:color w:val="auto"/>
        </w:rPr>
      </w:pPr>
    </w:p>
    <w:p>
      <w:pPr>
        <w:ind w:left="2160" w:right="340" w:hanging="680"/>
        <w:spacing w:after="0" w:line="259" w:lineRule="auto"/>
        <w:tabs>
          <w:tab w:leader="none" w:pos="2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purchases under this Agreement by California Affiliates, DVBEs are defined as business concerns that satisfy the requirements of Subsection vii of this Section below and are certified as DVBEs by the California State Office of Small and Minority Business (OSMB). The DVBE must be a resident of the State of California, and must satisfy the requirements of Subsection vii of this Section below.</w:t>
      </w:r>
    </w:p>
    <w:p>
      <w:pPr>
        <w:spacing w:after="0" w:line="92" w:lineRule="exact"/>
        <w:rPr>
          <w:rFonts w:ascii="Arial" w:cs="Arial" w:eastAsia="Arial" w:hAnsi="Arial"/>
          <w:sz w:val="18"/>
          <w:szCs w:val="18"/>
          <w:color w:val="auto"/>
        </w:rPr>
      </w:pPr>
    </w:p>
    <w:p>
      <w:pPr>
        <w:jc w:val="both"/>
        <w:ind w:left="2160" w:right="100" w:hanging="680"/>
        <w:spacing w:after="0" w:line="264" w:lineRule="auto"/>
        <w:tabs>
          <w:tab w:leader="none" w:pos="2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purchases under this Agreement by any entity that is not a California Affiliate, DVBEs are defined as any business concern that satisfies the requirements of Subsection vii of this Section below and is either a defined DVBE for purchases by California Affiliates, or is certified as a DVBE by a certifying agency recognized by AT&amp;T.</w:t>
      </w:r>
    </w:p>
    <w:p>
      <w:pPr>
        <w:spacing w:after="0" w:line="86" w:lineRule="exact"/>
        <w:rPr>
          <w:rFonts w:ascii="Arial" w:cs="Arial" w:eastAsia="Arial" w:hAnsi="Arial"/>
          <w:sz w:val="18"/>
          <w:szCs w:val="18"/>
          <w:color w:val="auto"/>
        </w:rPr>
      </w:pPr>
    </w:p>
    <w:p>
      <w:pPr>
        <w:ind w:left="2160" w:right="160" w:hanging="680"/>
        <w:spacing w:after="0" w:line="289" w:lineRule="auto"/>
        <w:tabs>
          <w:tab w:leader="none" w:pos="21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DVBE must be (i) a non publicly-owned enterprise at least fifty-one percent (51%) owned by one or more disabled veterans; or (ii) a publicly-owned business in which at least fifty-one percent (51%) of the stock is owned by one or more disabled veterans; or (iii) a subsidiary which is wholly owned by a parent corporation, but only if at least fifty-one percent (51%) of the voting stock of the parent corporation is owned by one or more disabled veterans; or (iv) a joint venture in which at least fifty-one percent (51%) of the joint venture’s management and control and earnings are held by one or more disabled veterans. In each case, the 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7"/>
          <w:szCs w:val="17"/>
          <w:b w:val="1"/>
          <w:bCs w:val="1"/>
          <w:color w:val="auto"/>
        </w:rPr>
        <w:t>Warranty</w:t>
      </w:r>
    </w:p>
    <w:p>
      <w:pPr>
        <w:spacing w:after="0" w:line="135" w:lineRule="exact"/>
        <w:rPr>
          <w:sz w:val="20"/>
          <w:szCs w:val="20"/>
          <w:color w:val="auto"/>
        </w:rPr>
      </w:pPr>
    </w:p>
    <w:p>
      <w:pPr>
        <w:ind w:left="1480" w:right="140" w:hanging="797"/>
        <w:spacing w:after="0" w:line="264"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Warranty for Custom Software. Subject to the limitations set forth in Subsection 3.43d Supplier will fix at no charge to AT&amp;T any Error in the Custom Software created under an Order under this Agreement, which Error is identified during the Warranty Period and results solely from the negligent or intentionally wrongful acts or omissions of Supplier.</w:t>
      </w:r>
    </w:p>
    <w:p>
      <w:pPr>
        <w:spacing w:after="0" w:line="86" w:lineRule="exact"/>
        <w:rPr>
          <w:rFonts w:ascii="Arial" w:cs="Arial" w:eastAsia="Arial" w:hAnsi="Arial"/>
          <w:sz w:val="18"/>
          <w:szCs w:val="18"/>
          <w:color w:val="auto"/>
        </w:rPr>
      </w:pPr>
    </w:p>
    <w:p>
      <w:pPr>
        <w:ind w:left="2160" w:right="360" w:hanging="680"/>
        <w:spacing w:after="0" w:line="277" w:lineRule="auto"/>
        <w:tabs>
          <w:tab w:leader="none" w:pos="21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For purposes of this Agreement, the Warranty Period is [***] days commencing upon delivery into Acceptance Test, unless otherwise agreed in the applicable Order.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20" w:hanging="680"/>
        <w:spacing w:after="0" w:line="277" w:lineRule="auto"/>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Upon agreement of the Parties, this Warranty for Custom Software development may be amended or supplemented in the Order, including via the implementation of a Service Level Agreement.</w:t>
      </w:r>
    </w:p>
    <w:p>
      <w:pPr>
        <w:spacing w:after="0" w:line="75" w:lineRule="exact"/>
        <w:rPr>
          <w:rFonts w:ascii="Arial" w:cs="Arial" w:eastAsia="Arial" w:hAnsi="Arial"/>
          <w:sz w:val="18"/>
          <w:szCs w:val="18"/>
          <w:color w:val="auto"/>
        </w:rPr>
      </w:pPr>
    </w:p>
    <w:p>
      <w:pPr>
        <w:ind w:left="800" w:hanging="797"/>
        <w:spacing w:after="0"/>
        <w:tabs>
          <w:tab w:leader="none" w:pos="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OnGoing Support Orders</w:t>
      </w:r>
    </w:p>
    <w:p>
      <w:pPr>
        <w:spacing w:after="0" w:line="130" w:lineRule="exact"/>
        <w:rPr>
          <w:rFonts w:ascii="Arial" w:cs="Arial" w:eastAsia="Arial" w:hAnsi="Arial"/>
          <w:sz w:val="18"/>
          <w:szCs w:val="18"/>
          <w:color w:val="auto"/>
        </w:rPr>
      </w:pPr>
    </w:p>
    <w:p>
      <w:pPr>
        <w:ind w:left="1480" w:right="360" w:hanging="680"/>
        <w:spacing w:after="0" w:line="259" w:lineRule="auto"/>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Subject to the limitations set forth in Section 3.43d, Supplier shall perform the OnGoing Support Services in a good and workmanlike manner, at or above industry standards. Under this warranty, Supplier shall fix Errors in the OnGoing Support Services which result solely from negligent or intentionally wrongful acts or omissions of Supplier, to the extent and in the manner as follows:</w:t>
      </w:r>
    </w:p>
    <w:p>
      <w:pPr>
        <w:spacing w:after="0" w:line="92" w:lineRule="exact"/>
        <w:rPr>
          <w:sz w:val="20"/>
          <w:szCs w:val="20"/>
          <w:color w:val="auto"/>
        </w:rPr>
      </w:pPr>
    </w:p>
    <w:p>
      <w:pPr>
        <w:ind w:left="1480" w:right="20" w:hanging="680"/>
        <w:spacing w:after="0" w:line="288" w:lineRule="auto"/>
        <w:tabs>
          <w:tab w:leader="none" w:pos="14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For Supplier’s OnGoing Support personnel which augment AT&amp;T’s development teams by providing development work, AT&amp;T shall be entitled to require such personnel to reperform Services containing Custom Software Errors, at no charge to AT&amp;T, provided such Errors (i) are reported to Supplier within [***] days commencing upon delivery into Acceptance Test, and</w:t>
      </w:r>
    </w:p>
    <w:p>
      <w:pPr>
        <w:ind w:left="1480"/>
        <w:spacing w:after="0"/>
        <w:rPr>
          <w:rFonts w:ascii="Arial" w:cs="Arial" w:eastAsia="Arial" w:hAnsi="Arial"/>
          <w:sz w:val="16"/>
          <w:szCs w:val="16"/>
          <w:color w:val="auto"/>
        </w:rPr>
      </w:pPr>
      <w:r>
        <w:rPr>
          <w:rFonts w:ascii="Arial" w:cs="Arial" w:eastAsia="Arial" w:hAnsi="Arial"/>
          <w:sz w:val="18"/>
          <w:szCs w:val="18"/>
          <w:color w:val="auto"/>
        </w:rPr>
        <w:t>(ii) occur as the result of Supplier’s sole responsibility.</w:t>
      </w:r>
    </w:p>
    <w:p>
      <w:pPr>
        <w:spacing w:after="0" w:line="116" w:lineRule="exact"/>
        <w:rPr>
          <w:rFonts w:ascii="Arial" w:cs="Arial" w:eastAsia="Arial" w:hAnsi="Arial"/>
          <w:sz w:val="16"/>
          <w:szCs w:val="16"/>
          <w:color w:val="auto"/>
        </w:rPr>
      </w:pPr>
    </w:p>
    <w:p>
      <w:pPr>
        <w:ind w:left="1480" w:right="220" w:hanging="680"/>
        <w:spacing w:after="0" w:line="286" w:lineRule="auto"/>
        <w:tabs>
          <w:tab w:leader="none" w:pos="14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OnGoing Support personnel providing Production Support in a defective manner shall reperform the defective Services until such Defects are corrected, at no charge to AT&amp;T, provided such Defect(s) are reported to Supplier within[***] days after the work was originally delivered to AT&amp;T, and provided AT&amp;T did not contribute to the Defect(s).</w:t>
      </w:r>
    </w:p>
    <w:p>
      <w:pPr>
        <w:spacing w:after="0" w:line="70" w:lineRule="exact"/>
        <w:rPr>
          <w:rFonts w:ascii="Arial" w:cs="Arial" w:eastAsia="Arial" w:hAnsi="Arial"/>
          <w:sz w:val="17"/>
          <w:szCs w:val="17"/>
          <w:color w:val="auto"/>
        </w:rPr>
      </w:pPr>
    </w:p>
    <w:p>
      <w:pPr>
        <w:ind w:left="1480" w:hanging="680"/>
        <w:spacing w:after="0"/>
        <w:tabs>
          <w:tab w:leader="none" w:pos="14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Supplier’s OnGoing Support personnel shall[***].</w:t>
      </w:r>
    </w:p>
    <w:p>
      <w:pPr>
        <w:spacing w:after="0" w:line="130" w:lineRule="exact"/>
        <w:rPr>
          <w:rFonts w:ascii="Arial" w:cs="Arial" w:eastAsia="Arial" w:hAnsi="Arial"/>
          <w:sz w:val="18"/>
          <w:szCs w:val="18"/>
          <w:color w:val="auto"/>
        </w:rPr>
      </w:pPr>
    </w:p>
    <w:p>
      <w:pPr>
        <w:ind w:left="1480" w:right="80" w:hanging="680"/>
        <w:spacing w:after="0" w:line="264" w:lineRule="auto"/>
        <w:tabs>
          <w:tab w:leader="none" w:pos="14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 addition to the above remedies, if any Supplier OnGoing Support personnel are not performing to AT&amp;T’s reasonable satisfaction, the Parties shall attempt to resolve problem within [***] days after the date on which AT&amp;T escalates the matter to Supplier’s Project Manager. [***].</w:t>
      </w:r>
    </w:p>
    <w:p>
      <w:pPr>
        <w:spacing w:after="0" w:line="86" w:lineRule="exact"/>
        <w:rPr>
          <w:rFonts w:ascii="Arial" w:cs="Arial" w:eastAsia="Arial" w:hAnsi="Arial"/>
          <w:sz w:val="18"/>
          <w:szCs w:val="18"/>
          <w:color w:val="auto"/>
        </w:rPr>
      </w:pPr>
    </w:p>
    <w:p>
      <w:pPr>
        <w:ind w:left="800" w:right="340" w:hanging="797"/>
        <w:spacing w:after="0" w:line="277" w:lineRule="auto"/>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Additional Supplier Warranties</w:t>
      </w:r>
      <w:r>
        <w:rPr>
          <w:rFonts w:ascii="Arial" w:cs="Arial" w:eastAsia="Arial" w:hAnsi="Arial"/>
          <w:sz w:val="18"/>
          <w:szCs w:val="18"/>
          <w:color w:val="auto"/>
        </w:rPr>
        <w:t>. Subject to the limitations set forth in Subsection 3.43d, Supplier additionally represents and warrants that:</w:t>
      </w:r>
    </w:p>
    <w:p>
      <w:pPr>
        <w:spacing w:after="0" w:line="75" w:lineRule="exact"/>
        <w:rPr>
          <w:rFonts w:ascii="Arial" w:cs="Arial" w:eastAsia="Arial" w:hAnsi="Arial"/>
          <w:sz w:val="18"/>
          <w:szCs w:val="18"/>
          <w:color w:val="auto"/>
        </w:rPr>
      </w:pPr>
    </w:p>
    <w:p>
      <w:pPr>
        <w:ind w:left="1480" w:hanging="680"/>
        <w:spacing w:after="0" w:line="277" w:lineRule="auto"/>
        <w:tabs>
          <w:tab w:leader="none" w:pos="14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threatened, which will have a material adverse effect on Supplier’s ability to fulfill its obligations under this Agreement;</w:t>
      </w:r>
    </w:p>
    <w:p>
      <w:pPr>
        <w:spacing w:after="0" w:line="75" w:lineRule="exact"/>
        <w:rPr>
          <w:rFonts w:ascii="Arial" w:cs="Arial" w:eastAsia="Arial" w:hAnsi="Arial"/>
          <w:sz w:val="18"/>
          <w:szCs w:val="18"/>
          <w:color w:val="auto"/>
        </w:rPr>
      </w:pPr>
    </w:p>
    <w:p>
      <w:pPr>
        <w:ind w:left="1480" w:right="20" w:hanging="680"/>
        <w:spacing w:after="0" w:line="264" w:lineRule="auto"/>
        <w:tabs>
          <w:tab w:leader="none" w:pos="14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Supplier will promptly notify AT&amp;T if, during the term of this Agreement, Supplier becomes aware of any action, suit, or proceeding, pending or threatened, which may have a material adverse effect on Supplier’s ability to fulfill the obligations under this Agreement or any Order;</w:t>
      </w:r>
    </w:p>
    <w:p>
      <w:pPr>
        <w:spacing w:after="0" w:line="86" w:lineRule="exact"/>
        <w:rPr>
          <w:rFonts w:ascii="Arial" w:cs="Arial" w:eastAsia="Arial" w:hAnsi="Arial"/>
          <w:sz w:val="18"/>
          <w:szCs w:val="18"/>
          <w:color w:val="auto"/>
        </w:rPr>
      </w:pPr>
    </w:p>
    <w:p>
      <w:pPr>
        <w:ind w:left="1480" w:right="60" w:hanging="680"/>
        <w:spacing w:after="0" w:line="277" w:lineRule="auto"/>
        <w:tabs>
          <w:tab w:leader="none" w:pos="14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Supplier has all necessary skills, rights, financial resources, and authority to enter into this Agreement and related Orders and to provide or license the Material or Services;</w:t>
      </w:r>
    </w:p>
    <w:p>
      <w:pPr>
        <w:spacing w:after="0" w:line="9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740"/>
          </w:cols>
          <w:pgMar w:left="920" w:top="27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hanging="680"/>
        <w:spacing w:after="0" w:line="277" w:lineRule="auto"/>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 consent, approval or withholding of objection is required from any entity, including any governmental authority, with respect to the entering into or the performance of this Agreement or any Order;</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Material and Services will be provided free of any lien or encumbrance of any kind; and</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Supplier shall not intentionally or knowingly insert into the Material any Harmful Code at any time.</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Limitations on Supplier’s Warranties.</w:t>
      </w:r>
    </w:p>
    <w:p>
      <w:pPr>
        <w:spacing w:after="0" w:line="130" w:lineRule="exact"/>
        <w:rPr>
          <w:rFonts w:ascii="Arial" w:cs="Arial" w:eastAsia="Arial" w:hAnsi="Arial"/>
          <w:sz w:val="18"/>
          <w:szCs w:val="18"/>
          <w:color w:val="auto"/>
        </w:rPr>
      </w:pPr>
    </w:p>
    <w:p>
      <w:pPr>
        <w:ind w:left="1480" w:right="80" w:hanging="680"/>
        <w:spacing w:after="0" w:line="289" w:lineRule="auto"/>
        <w:tabs>
          <w:tab w:leader="none" w:pos="148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Supplier’s warranty obligations to correct Errors or re-perform Services pursuant to this Section or otherwise in the Agreement, coupled with any Liability for Liquidated Damages for breach of a Service Level Agreement pursuant to an Order, shall together be limited in each Order to a total amount equal to [***] percent ([***]%) of the fees paid to Supplier under each Order. The Parties shall calculate such cap based upon the total value of the applicable Software Development Order. Any Services performed to fix an Error or otherwise remedy a breach of warranty above the aggregate cap shall be chargeable to AT&amp;T (i) at an hourly rate as stated in the Order; or (ii) at a derived hourly rate for fixed bid using the per resource fixed bid rate in the Order; provided, however, Appendix A, “Prices”, will be utilized if the Order does not specify the applicable rates. The Parties shall negotiate in good faith the required levels of allocated resources required under fixed bid Services Orders for the performance of support for non-warranty Services, including Production Support.</w:t>
      </w:r>
    </w:p>
    <w:p>
      <w:pPr>
        <w:spacing w:after="0" w:line="72" w:lineRule="exact"/>
        <w:rPr>
          <w:rFonts w:ascii="Arial" w:cs="Arial" w:eastAsia="Arial" w:hAnsi="Arial"/>
          <w:sz w:val="16"/>
          <w:szCs w:val="16"/>
          <w:color w:val="auto"/>
        </w:rPr>
      </w:pPr>
    </w:p>
    <w:p>
      <w:pPr>
        <w:ind w:left="1480" w:right="60" w:hanging="680"/>
        <w:spacing w:after="0" w:line="289" w:lineRule="auto"/>
        <w:tabs>
          <w:tab w:leader="none" w:pos="148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AT&amp;T acknowledges that the performance by Supplier of its obligations under this Agreement is dependent upon the performance by AT&amp;T of certain obligations and the AT&amp;T Responsibilities as defined in Section 3.43f (the “AT&amp;T Responsibilities”). To the extent that AT&amp;T fails to comply with the AT&amp;T Responsibilities, and such failure results in Supplier’s inability to perform its obligations, Supplier shall provide written notice to AT&amp;T of the failure to comply with the AT&amp;T Responsibilities. AT&amp;T shall be granted a period of [***] days to cure its failure to comply with the AT&amp;T Responsibilities. If AT&amp;T has not cured its failure within the cure period, then Supplier is entitled to refer the matter for dispute resolution pursuant to Section 4.5. During the cure period and the pendency of the dispute resolution process, Supplier shall be relieved of its obligations and Liability in the performance of the Services (including the warranty obligations stated above) for that portion of the Services which are impacted by AT&amp;T’s failure to fulfill the AT&amp;T Responsibilities.</w:t>
      </w:r>
    </w:p>
    <w:p>
      <w:pPr>
        <w:spacing w:after="0" w:line="72" w:lineRule="exact"/>
        <w:rPr>
          <w:rFonts w:ascii="Arial" w:cs="Arial" w:eastAsia="Arial" w:hAnsi="Arial"/>
          <w:sz w:val="16"/>
          <w:szCs w:val="16"/>
          <w:color w:val="auto"/>
        </w:rPr>
      </w:pPr>
    </w:p>
    <w:p>
      <w:pPr>
        <w:ind w:left="1480" w:right="100" w:hanging="680"/>
        <w:spacing w:after="0" w:line="302" w:lineRule="auto"/>
        <w:tabs>
          <w:tab w:leader="none" w:pos="148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at any time during the warranty period AT&amp;T believes there is a breach of any warranty, AT&amp;T will notify Supplier setting forth the nature of such claimed breach. Supplier shall promptly investigate such claimed breach, which investigation activities shall be conducted at no charge to AT&amp;T, and shall either (i) provide Information that no breach of warranty in fact occurred or (ii) [***], promptly use its best efforts to take such action as may be required to correct such breach under the Warranty.</w:t>
      </w:r>
    </w:p>
    <w:p>
      <w:pPr>
        <w:spacing w:after="0" w:line="8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740"/>
          </w:cols>
          <w:pgMar w:left="920" w:top="274"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20" w:hanging="680"/>
        <w:spacing w:after="0" w:line="270" w:lineRule="auto"/>
        <w:tabs>
          <w:tab w:leader="none" w:pos="14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AT&amp;T’s sole remedy and Supplier’s sole obligation and Liability under the warranties stated in this Section and/or Agreement is for Supplier to correct the breach of warranty by fixing the Error, provided, however, (i) [***] in the Order [***]; and (ii) where such fix fails to occur after reasonable opportunity to cure (as set forth in Sections 3.8, “Special Software Terms” and 3.9, “Acceptance or Rejection”) during Acceptance Tests, and [***] Agreement, [***], in the circumstances where (x) the uncured breach is Supplier’s sole responsibility and (y) the breach is such that the Custom Software cannot pass Acceptance Tests and cannot be placed into production. In the event of a refund under this Section, AT&amp;T shall return all deliverables associated with the Project. THE WARRANTIES STATED HEREIN ARE EXCLUSIVE AND ARE IN LIEU OF ALL OTHER WARRANTIES, WRITTEN OR ORAL, STATUTORY, EXPRESS, OR IMPLIED, INCLUDING WITHOUT LIMITATION, THE IMPLIED WARRANTIES OF MERCHANTABILITY AND FITNESS FOR A PARTICULAR PURPOSE, WHICH SUPPLIER EXPRESSLY DISCLAIMS.</w:t>
      </w:r>
    </w:p>
    <w:p>
      <w:pPr>
        <w:spacing w:after="0" w:line="83" w:lineRule="exact"/>
        <w:rPr>
          <w:rFonts w:ascii="Arial" w:cs="Arial" w:eastAsia="Arial" w:hAnsi="Arial"/>
          <w:sz w:val="17"/>
          <w:szCs w:val="17"/>
          <w:color w:val="auto"/>
        </w:rPr>
      </w:pPr>
    </w:p>
    <w:p>
      <w:pPr>
        <w:ind w:left="800" w:hanging="797"/>
        <w:spacing w:after="0"/>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AT&amp;T represents and warrants that:</w:t>
      </w:r>
    </w:p>
    <w:p>
      <w:pPr>
        <w:spacing w:after="0" w:line="130" w:lineRule="exact"/>
        <w:rPr>
          <w:rFonts w:ascii="Arial" w:cs="Arial" w:eastAsia="Arial" w:hAnsi="Arial"/>
          <w:sz w:val="18"/>
          <w:szCs w:val="18"/>
          <w:color w:val="auto"/>
        </w:rPr>
      </w:pPr>
    </w:p>
    <w:p>
      <w:pPr>
        <w:ind w:left="1480" w:right="240" w:hanging="680"/>
        <w:spacing w:after="0" w:line="277" w:lineRule="auto"/>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As of the Effective Date there are no actions, suits, or proceedings, pending or threatened, which will have a material adverse effect on AT&amp;T’s ability to fulfill its obligations under this Agreement.</w:t>
      </w:r>
    </w:p>
    <w:p>
      <w:pPr>
        <w:spacing w:after="0" w:line="75" w:lineRule="exact"/>
        <w:rPr>
          <w:rFonts w:ascii="Arial" w:cs="Arial" w:eastAsia="Arial" w:hAnsi="Arial"/>
          <w:sz w:val="18"/>
          <w:szCs w:val="18"/>
          <w:color w:val="auto"/>
        </w:rPr>
      </w:pPr>
    </w:p>
    <w:p>
      <w:pPr>
        <w:ind w:left="1480" w:right="160" w:hanging="680"/>
        <w:spacing w:after="0" w:line="264" w:lineRule="auto"/>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AT&amp;T will promptly notify Supplier if, during the term of this Agreement, AT&amp;T becomes aware of any action, suit, or proceeding, pending or threatened, which may have a material adverse effect on AT&amp;T’s ability to fulfill the obligations under this Agreement or any Order.</w:t>
      </w:r>
    </w:p>
    <w:p>
      <w:pPr>
        <w:spacing w:after="0" w:line="86" w:lineRule="exact"/>
        <w:rPr>
          <w:rFonts w:ascii="Arial" w:cs="Arial" w:eastAsia="Arial" w:hAnsi="Arial"/>
          <w:sz w:val="18"/>
          <w:szCs w:val="18"/>
          <w:color w:val="auto"/>
        </w:rPr>
      </w:pPr>
    </w:p>
    <w:p>
      <w:pPr>
        <w:ind w:left="1480" w:right="260" w:hanging="680"/>
        <w:spacing w:after="0" w:line="264" w:lineRule="auto"/>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No consent, approval or withholding of objection is required (or, if such consent, approval or withholding of objection is required, AT&amp;T shall obtain it) from any entity, including any governmental authority, with respect to the entering into or the performance of this Agreement or any Order.</w:t>
      </w:r>
    </w:p>
    <w:p>
      <w:pPr>
        <w:spacing w:after="0" w:line="86" w:lineRule="exact"/>
        <w:rPr>
          <w:rFonts w:ascii="Arial" w:cs="Arial" w:eastAsia="Arial" w:hAnsi="Arial"/>
          <w:sz w:val="18"/>
          <w:szCs w:val="18"/>
          <w:color w:val="auto"/>
        </w:rPr>
      </w:pPr>
    </w:p>
    <w:p>
      <w:pPr>
        <w:ind w:left="800" w:right="480" w:hanging="797"/>
        <w:spacing w:after="0" w:line="277" w:lineRule="auto"/>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AT&amp;T Responsibilities. AT&amp;T shall perform the AT&amp;T Responsibilities as specified in the Agreement and/or the applicable Order, including but not limited to the following:</w:t>
      </w:r>
    </w:p>
    <w:p>
      <w:pPr>
        <w:spacing w:after="0" w:line="75" w:lineRule="exact"/>
        <w:rPr>
          <w:rFonts w:ascii="Arial" w:cs="Arial" w:eastAsia="Arial" w:hAnsi="Arial"/>
          <w:sz w:val="18"/>
          <w:szCs w:val="18"/>
          <w:color w:val="auto"/>
        </w:rPr>
      </w:pPr>
    </w:p>
    <w:p>
      <w:pPr>
        <w:ind w:left="1480" w:right="680" w:hanging="680"/>
        <w:spacing w:after="0" w:line="342" w:lineRule="auto"/>
        <w:tabs>
          <w:tab w:leader="none" w:pos="148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Any AT&amp;T personnel performing services in conjunction with Supplier’s Services (either OnGoing Support or Custom Software Development) shall possess appropriate training and experience in relation to their assigned tasks.</w:t>
      </w:r>
    </w:p>
    <w:p>
      <w:pPr>
        <w:spacing w:after="0" w:line="29" w:lineRule="exact"/>
        <w:rPr>
          <w:rFonts w:ascii="Arial" w:cs="Arial" w:eastAsia="Arial" w:hAnsi="Arial"/>
          <w:sz w:val="16"/>
          <w:szCs w:val="16"/>
          <w:color w:val="auto"/>
        </w:rPr>
      </w:pPr>
    </w:p>
    <w:p>
      <w:pPr>
        <w:ind w:left="1480" w:right="180" w:hanging="680"/>
        <w:spacing w:after="0" w:line="277" w:lineRule="auto"/>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AT&amp;T shall provide the agreed upon number and type of personnel as specified in order for purposes of properly fulfilling the tasks that AT&amp;T undertakes in conjunction with a Project or Order.</w:t>
      </w:r>
    </w:p>
    <w:p>
      <w:pPr>
        <w:spacing w:after="0" w:line="75" w:lineRule="exact"/>
        <w:rPr>
          <w:rFonts w:ascii="Arial" w:cs="Arial" w:eastAsia="Arial" w:hAnsi="Arial"/>
          <w:sz w:val="18"/>
          <w:szCs w:val="18"/>
          <w:color w:val="auto"/>
        </w:rPr>
      </w:pPr>
    </w:p>
    <w:p>
      <w:pPr>
        <w:ind w:left="1480" w:right="120" w:hanging="680"/>
        <w:spacing w:after="0" w:line="277" w:lineRule="auto"/>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AT&amp;T shall perform its services in conjunction with any Order under this Agreement in a good and workmanlike manner, at or above industry standards.</w:t>
      </w:r>
    </w:p>
    <w:p>
      <w:pPr>
        <w:spacing w:after="0" w:line="9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740"/>
          </w:cols>
          <w:pgMar w:left="920" w:top="274"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right="20" w:hanging="680"/>
        <w:spacing w:after="0" w:line="277" w:lineRule="auto"/>
        <w:tabs>
          <w:tab w:leader="none" w:pos="2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AT&amp;T shall correct at its expense any Error in the Software or deficiencies in the services which result solely from the negligent acts or omissions of AT&amp;T.</w:t>
      </w:r>
    </w:p>
    <w:p>
      <w:pPr>
        <w:spacing w:after="0" w:line="75" w:lineRule="exact"/>
        <w:rPr>
          <w:rFonts w:ascii="Arial" w:cs="Arial" w:eastAsia="Arial" w:hAnsi="Arial"/>
          <w:sz w:val="18"/>
          <w:szCs w:val="18"/>
          <w:color w:val="auto"/>
        </w:rPr>
      </w:pPr>
    </w:p>
    <w:p>
      <w:pPr>
        <w:ind w:left="2160" w:right="260" w:hanging="680"/>
        <w:spacing w:after="0" w:line="312" w:lineRule="auto"/>
        <w:tabs>
          <w:tab w:leader="none" w:pos="21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Subject to the limitations contained in Section 3.43d, and the requirement for AT&amp;T to maintain Production Support to cover non-warranty work contained in Section 3.43, Supplier and AT&amp;T shall negotiate in good faith (including using executive escalation procedures where necessary) to resolve any disputes over responsibility for correction of Errors or deficiencies.</w:t>
      </w:r>
    </w:p>
    <w:p>
      <w:pPr>
        <w:spacing w:after="0" w:line="52" w:lineRule="exact"/>
        <w:rPr>
          <w:rFonts w:ascii="Arial" w:cs="Arial" w:eastAsia="Arial" w:hAnsi="Arial"/>
          <w:sz w:val="16"/>
          <w:szCs w:val="16"/>
          <w:color w:val="auto"/>
        </w:rPr>
      </w:pPr>
    </w:p>
    <w:p>
      <w:pPr>
        <w:ind w:left="2160" w:right="140" w:hanging="680"/>
        <w:spacing w:after="0" w:line="277" w:lineRule="auto"/>
        <w:tabs>
          <w:tab w:leader="none" w:pos="2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AT&amp;T shall reasonably provide necessary co-operation, information, decisions and approvals requested by Supplier during the course of the Services.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AT&amp;T shall install and maintain the environment for the System unless otherwise specified in the Order.</w:t>
      </w:r>
    </w:p>
    <w:p>
      <w:pPr>
        <w:spacing w:after="0" w:line="130" w:lineRule="exact"/>
        <w:rPr>
          <w:rFonts w:ascii="Arial" w:cs="Arial" w:eastAsia="Arial" w:hAnsi="Arial"/>
          <w:sz w:val="18"/>
          <w:szCs w:val="18"/>
          <w:color w:val="auto"/>
        </w:rPr>
      </w:pPr>
    </w:p>
    <w:p>
      <w:pPr>
        <w:ind w:left="2160" w:right="160" w:hanging="680"/>
        <w:spacing w:after="0" w:line="264" w:lineRule="auto"/>
        <w:tabs>
          <w:tab w:leader="none" w:pos="2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AT&amp;T shall undertake reasonable efforts to ensure the co-operation of third-party vendors who are not under the direct control of Supplier, and to manage such third party vendors as required for the performance of the Services and the Custom Software development.</w:t>
      </w:r>
    </w:p>
    <w:p>
      <w:pPr>
        <w:spacing w:after="0" w:line="86" w:lineRule="exact"/>
        <w:rPr>
          <w:rFonts w:ascii="Arial" w:cs="Arial" w:eastAsia="Arial" w:hAnsi="Arial"/>
          <w:sz w:val="18"/>
          <w:szCs w:val="18"/>
          <w:color w:val="auto"/>
        </w:rPr>
      </w:pPr>
    </w:p>
    <w:p>
      <w:pPr>
        <w:ind w:left="2160" w:right="340" w:hanging="680"/>
        <w:spacing w:after="0" w:line="257" w:lineRule="auto"/>
        <w:tabs>
          <w:tab w:leader="none" w:pos="2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AT&amp;T shall provide, at no charge to Amdocs, office space suitable for Amdocs’ needs and the following services: computer terminals and associated peripherals including access to E-mail/Internet; a communication line from AT&amp;T’s premises to Supplier’s’ relevant development center with minimum capacity to be specified based on the number of users in the development center; reasonable use of telephone, fax, and e-mail for business purposes; and office supplies, equipment and consumables, at AT&amp;T’s normal standard.</w:t>
      </w:r>
    </w:p>
    <w:p>
      <w:pPr>
        <w:spacing w:after="0" w:line="3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6"/>
          <w:szCs w:val="16"/>
          <w:b w:val="1"/>
          <w:bCs w:val="1"/>
          <w:color w:val="auto"/>
        </w:rPr>
        <w:t>Work Done By Others</w:t>
      </w:r>
    </w:p>
    <w:p>
      <w:pPr>
        <w:spacing w:after="0" w:line="135" w:lineRule="exact"/>
        <w:rPr>
          <w:sz w:val="20"/>
          <w:szCs w:val="20"/>
          <w:color w:val="auto"/>
        </w:rPr>
      </w:pPr>
    </w:p>
    <w:p>
      <w:pPr>
        <w:ind w:left="1480" w:hanging="797"/>
        <w:spacing w:after="0" w:line="279" w:lineRule="auto"/>
        <w:tabs>
          <w:tab w:leader="none" w:pos="14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any part of Supplier’s Work is dependent upon work performed by others or subcontracted consistent with the terms herein, Supplier shall inspect and promptly report to AT&amp;T any known or discovered defect that renders such other work unsuitable for Supplier’s proper performance. Supplier’s failure to so report any such known or discovered defect to AT&amp;T shall constitute approval of such other work as fit, proper and suitable for Supplier’s performance of its Services or provision of Material.</w:t>
      </w:r>
    </w:p>
    <w:p>
      <w:pPr>
        <w:spacing w:after="0" w:line="76" w:lineRule="exact"/>
        <w:rPr>
          <w:rFonts w:ascii="Arial" w:cs="Arial" w:eastAsia="Arial" w:hAnsi="Arial"/>
          <w:sz w:val="17"/>
          <w:szCs w:val="17"/>
          <w:color w:val="auto"/>
        </w:rPr>
      </w:pPr>
    </w:p>
    <w:p>
      <w:pPr>
        <w:ind w:left="1480" w:right="160" w:hanging="797"/>
        <w:spacing w:after="0" w:line="271" w:lineRule="auto"/>
        <w:tabs>
          <w:tab w:leader="none" w:pos="14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Where a portion of the Work is subcontracted, Supplier remains fully responsible for performance thereof and shall be responsible to AT&amp;T for the acts and omissions of any Subcontractor and any temporary worker engaged by Supplier. Any use of a Subcontractor which is not an Affiliate of Supplier (but not of a Temporary Worker (as defined below)) must be either set forth in the applicable Order or otherwise communicated to AT&amp;T before commencement of the Work. Supplier shall endeavor to obtain and maintain insurance for acts and omissions of Subcontractors in material conformity with the Insurance Section of this Agreement. Supplier agrees to execute a subcontract with every Subcontractor which materially conforms with the terms of this Agreement and, specifically, with the Insurance Section of this Agreement. Furthermore, Supplier agrees to have its Subcontractors under the Agreement execute the non-disclosure agreement attached as Appendix I, Exhibit 3.</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120" w:hanging="797"/>
        <w:spacing w:after="0" w:line="279" w:lineRule="auto"/>
        <w:tabs>
          <w:tab w:leader="none" w:pos="14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Parties agree that the Temporary Workers and Subcontractors engaged by Supplier may from time to time require access to the premises and facilities of AT&amp;T for their participation in the performance of this Agreement and the Orders issued hereunder, and that if so requested by Supplier, AT&amp;T shall deal with the personnel of the Subcontractors and with any reasonable requests of the Subcontractors, in all respects as if such personnel were the personnel, and such requests were the requests, of Supplier.</w:t>
      </w:r>
    </w:p>
    <w:p>
      <w:pPr>
        <w:spacing w:after="0" w:line="76" w:lineRule="exact"/>
        <w:rPr>
          <w:rFonts w:ascii="Arial" w:cs="Arial" w:eastAsia="Arial" w:hAnsi="Arial"/>
          <w:sz w:val="17"/>
          <w:szCs w:val="17"/>
          <w:color w:val="auto"/>
        </w:rPr>
      </w:pPr>
    </w:p>
    <w:p>
      <w:pPr>
        <w:ind w:left="1480" w:right="60" w:hanging="797"/>
        <w:spacing w:after="0" w:line="272" w:lineRule="auto"/>
        <w:tabs>
          <w:tab w:leader="none" w:pos="14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Supplier may, in the ordinary course of business, subcontract (i) for third party services or products that are not exclusively dedicated to AT&amp;T and that do not include regular direct contact with AT&amp;T or AT&amp;T Affiliate personnel or the performance of services at AT&amp;T sites or (ii) with temporary personnel firms for the provision of temporary contract labor (collectively, “Temporary Workers”); provided, that such Temporary Workers possess the training and experience, competence and skill to perform the work in a skilled and professional manner. AT&amp;T shall have no approval right with respect to such Temporary Workers. If, however, AT&amp;T expresses dissatisfaction with the services of a Temporary Worker, Supplier shall work in good faith to resolve AT&amp;T’s concerns on a mutually acceptable basis and, at AT&amp;T’s request, replace such Temporary Worker at no additional cost to AT&amp;T.</w:t>
      </w:r>
    </w:p>
    <w:p>
      <w:pPr>
        <w:spacing w:after="0" w:line="7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5"/>
          <w:szCs w:val="15"/>
          <w:b w:val="1"/>
          <w:bCs w:val="1"/>
          <w:color w:val="auto"/>
        </w:rPr>
        <w:t>Special Terms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4"/>
          <w:szCs w:val="14"/>
          <w:b w:val="1"/>
          <w:bCs w:val="1"/>
          <w:color w:val="auto"/>
        </w:rPr>
        <w:t>Access</w:t>
      </w:r>
    </w:p>
    <w:p>
      <w:pPr>
        <w:spacing w:after="0" w:line="135" w:lineRule="exact"/>
        <w:rPr>
          <w:sz w:val="20"/>
          <w:szCs w:val="20"/>
          <w:color w:val="auto"/>
        </w:rPr>
      </w:pPr>
    </w:p>
    <w:p>
      <w:pPr>
        <w:ind w:left="1480" w:right="20" w:hanging="797"/>
        <w:spacing w:after="0" w:line="253" w:lineRule="auto"/>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When appropriate, Supplier shall have reasonable access to AT&amp;T’s premises during normal business hours, and at such other times as may be agreed upon by the Parties, to enable Supplier to perform its obligations under this Agreement. Supplier shall coordinate such access with AT&amp;T’s designated representative prior to visiting such premises. Supplier will ensure that only persons employed by Supplier or subcontracted by Supplier will be allowed to enter AT&amp;T’s premises. If AT&amp;T requests Supplier or its Subcontractor to discontinue furnishing any person provided by Supplier or its Subcontractor from performing Work on AT&amp;T’s premises, Supplier shall immediately comply with such request. Such person shall leave AT&amp;T’s premises immediately and Supplier shall not furnish such person again to perform Work on AT&amp;T’s premises without AT&amp;T’s written consent. The Parties agree that, where required by governmental regulations, Supplier will submit satisfactory clearance from the U.S. Department of Defense and/or other federal, state or local authorities.</w:t>
      </w:r>
    </w:p>
    <w:p>
      <w:pPr>
        <w:spacing w:after="0" w:line="102" w:lineRule="exact"/>
        <w:rPr>
          <w:rFonts w:ascii="Arial" w:cs="Arial" w:eastAsia="Arial" w:hAnsi="Arial"/>
          <w:sz w:val="18"/>
          <w:szCs w:val="18"/>
          <w:color w:val="auto"/>
        </w:rPr>
      </w:pPr>
    </w:p>
    <w:p>
      <w:pPr>
        <w:ind w:left="1480" w:right="20" w:hanging="797"/>
        <w:spacing w:after="0" w:line="255" w:lineRule="auto"/>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AT&amp;T may require Supplier or its representatives, including employees and Subcontractors, to exhibit identification credentials, which AT&amp;T may issue, to gain access to AT&amp;T’s premises for the performance of Services. If, for any reason, any Supplier representative is no longer performing such Services, Supplier shall immediately inform AT&amp;T. Notification shall be followed by the prompt delivery to AT&amp;T of the identification credentials, if issued by AT&amp;T. Supplier agrees to comply with AT&amp;T’s corporate policy requiring Supplier or its representatives, including employees and Subcontractors, to exhibit their company photo identification in addition to the AT&amp;T issued photo identification when on AT&amp;T’s premises.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140" w:hanging="797"/>
        <w:spacing w:after="0" w:line="286" w:lineRule="auto"/>
        <w:tabs>
          <w:tab w:leader="none" w:pos="14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Supplier’s representatives, including employees and Subcontractors, while on or off AT&amp;T’s premises, will (i) protect AT&amp;T’s material, buildings and structures, (ii) perform Work which does not unreasonably interfere with AT&amp;T’s business operations, and (iii) perform such Work with care and due regard for the safety, convenience and protection of AT&amp;T, its employees, and property.</w:t>
      </w:r>
    </w:p>
    <w:p>
      <w:pPr>
        <w:spacing w:after="0" w:line="70" w:lineRule="exact"/>
        <w:rPr>
          <w:rFonts w:ascii="Arial" w:cs="Arial" w:eastAsia="Arial" w:hAnsi="Arial"/>
          <w:sz w:val="17"/>
          <w:szCs w:val="17"/>
          <w:color w:val="auto"/>
        </w:rPr>
      </w:pPr>
    </w:p>
    <w:p>
      <w:pPr>
        <w:ind w:left="1480" w:right="80" w:hanging="797"/>
        <w:spacing w:after="0" w:line="277" w:lineRule="auto"/>
        <w:tabs>
          <w:tab w:leader="none" w:pos="1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Supplier shall use reasonable efforts to ensure that all persons furnished by Supplier work harmoniously with all others when on AT&amp;T’s premises.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Supplier shall comply with AT&amp;T’s Security and Offshore Requirements as set forth in Appendix D.</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Background Checks/Drug Screening</w:t>
      </w:r>
    </w:p>
    <w:p>
      <w:pPr>
        <w:spacing w:after="0" w:line="12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480" w:hanging="797"/>
        <w:spacing w:after="0"/>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Change Control</w:t>
      </w:r>
    </w:p>
    <w:p>
      <w:pPr>
        <w:spacing w:after="0" w:line="121" w:lineRule="exact"/>
        <w:rPr>
          <w:sz w:val="20"/>
          <w:szCs w:val="20"/>
          <w:color w:val="auto"/>
        </w:rPr>
      </w:pPr>
    </w:p>
    <w:p>
      <w:pPr>
        <w:ind w:left="700" w:right="560"/>
        <w:spacing w:after="0" w:line="342" w:lineRule="auto"/>
        <w:rPr>
          <w:sz w:val="20"/>
          <w:szCs w:val="20"/>
          <w:color w:val="auto"/>
        </w:rPr>
      </w:pPr>
      <w:r>
        <w:rPr>
          <w:rFonts w:ascii="Arial" w:cs="Arial" w:eastAsia="Arial" w:hAnsi="Arial"/>
          <w:sz w:val="16"/>
          <w:szCs w:val="16"/>
          <w:color w:val="auto"/>
        </w:rPr>
        <w:t>The Parties agree that all changes to this Agreement and to an Order must be in writing and signed by the Party against whom enforcement is sought. Any change to an Order shall take the form of an amendment as described in Section 3.8, “Special Software Terms”.</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Customer Information</w:t>
      </w:r>
    </w:p>
    <w:p>
      <w:pPr>
        <w:spacing w:after="0" w:line="135" w:lineRule="exact"/>
        <w:rPr>
          <w:sz w:val="20"/>
          <w:szCs w:val="20"/>
          <w:color w:val="auto"/>
        </w:rPr>
      </w:pPr>
    </w:p>
    <w:p>
      <w:pPr>
        <w:jc w:val="both"/>
        <w:ind w:left="1480" w:right="120" w:hanging="797"/>
        <w:spacing w:after="0" w:line="286" w:lineRule="auto"/>
        <w:tabs>
          <w:tab w:leader="none" w:pos="14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As between Supplier and AT&amp;T, title to all Customer Information and customer proprietary network information (“CPNI”) (as that term is defined in Section 222 of the Communications Act of 1934, 47 U.S.C. §222, as amended (“Section 222”) shall be in AT&amp;T. Except as otherwise provided herein, no license or rights to any Customer Information are granted to Supplier hereunder.</w:t>
      </w:r>
    </w:p>
    <w:p>
      <w:pPr>
        <w:spacing w:after="0" w:line="70" w:lineRule="exact"/>
        <w:rPr>
          <w:rFonts w:ascii="Arial" w:cs="Arial" w:eastAsia="Arial" w:hAnsi="Arial"/>
          <w:sz w:val="17"/>
          <w:szCs w:val="17"/>
          <w:color w:val="auto"/>
        </w:rPr>
      </w:pPr>
    </w:p>
    <w:p>
      <w:pPr>
        <w:ind w:left="1480" w:right="20" w:hanging="797"/>
        <w:spacing w:after="0" w:line="302" w:lineRule="auto"/>
        <w:tabs>
          <w:tab w:leader="none" w:pos="14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Supplier acknowledges that Customer Information received may be subject to certain privacy laws and regulations and requirements, including requirements of AT&amp;T provided or made available to Supplier. Supplier shall consider Customer Information to be private, sensitive and confidential. Accordingly, with respect to Customer Information, Supplier shall comply with all applicable privacy laws and regulations and requirements, including, but not limited to, the CPNI restrictions contained in Section 222. Accordingly, Supplier shall:</w:t>
      </w:r>
    </w:p>
    <w:p>
      <w:pPr>
        <w:spacing w:after="0" w:line="59" w:lineRule="exact"/>
        <w:rPr>
          <w:rFonts w:ascii="Arial" w:cs="Arial" w:eastAsia="Arial" w:hAnsi="Arial"/>
          <w:sz w:val="16"/>
          <w:szCs w:val="16"/>
          <w:color w:val="auto"/>
        </w:rPr>
      </w:pPr>
    </w:p>
    <w:p>
      <w:pPr>
        <w:ind w:left="2160" w:right="60" w:hanging="680"/>
        <w:spacing w:after="0" w:line="277" w:lineRule="auto"/>
        <w:tabs>
          <w:tab w:leader="none" w:pos="2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not use any CPNI to market or otherwise sell products to AT&amp;T’s customers, except to the extent necessary for the performance of Services for AT&amp;T or as otherwise approved or authorized by AT&amp;T in this Agreement or in writing;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960" w:right="60" w:hanging="680"/>
        <w:spacing w:after="0" w:line="273" w:lineRule="auto"/>
        <w:tabs>
          <w:tab w:leader="none" w:pos="9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make no disclosure of Customer Information to any party other than AT&amp;T, except to the extent necessary for the performance of Services for AT&amp;T or except such disclosure required under force of law; provided that Supplier shall provide AT&amp;T with notice immediately upon receipt of any legal request or demand by a judicial, regulatory or other authority or third party to disclose or produce Customer Information; Supplier shall furnish only that portion of the Customer Information that it is legally required to furnish and shall provide reasonable cooperation to AT&amp;T should AT&amp;T exercise efforts to obtain a protective order or other confidential treatment with respect to such Customer Information;</w:t>
      </w:r>
    </w:p>
    <w:p>
      <w:pPr>
        <w:spacing w:after="0" w:line="83" w:lineRule="exact"/>
        <w:rPr>
          <w:rFonts w:ascii="Arial" w:cs="Arial" w:eastAsia="Arial" w:hAnsi="Arial"/>
          <w:sz w:val="17"/>
          <w:szCs w:val="17"/>
          <w:color w:val="auto"/>
        </w:rPr>
      </w:pPr>
    </w:p>
    <w:p>
      <w:pPr>
        <w:ind w:left="960" w:right="180" w:hanging="680"/>
        <w:spacing w:after="0" w:line="277" w:lineRule="auto"/>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 incorporate any Customer Information into any database other than in a database maintained exclusively for the storage of AT&amp;T’s Customer Information;</w:t>
      </w:r>
    </w:p>
    <w:p>
      <w:pPr>
        <w:spacing w:after="0" w:line="75" w:lineRule="exact"/>
        <w:rPr>
          <w:rFonts w:ascii="Arial" w:cs="Arial" w:eastAsia="Arial" w:hAnsi="Arial"/>
          <w:sz w:val="18"/>
          <w:szCs w:val="18"/>
          <w:color w:val="auto"/>
        </w:rPr>
      </w:pPr>
    </w:p>
    <w:p>
      <w:pPr>
        <w:ind w:left="960" w:hanging="680"/>
        <w:spacing w:after="0"/>
        <w:tabs>
          <w:tab w:leader="none" w:pos="9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not incorporate any data from any of Supplier’s other customers, including Affiliates of AT&amp;T, into AT&amp;T’s customer database;</w:t>
      </w:r>
    </w:p>
    <w:p>
      <w:pPr>
        <w:spacing w:after="0" w:line="153" w:lineRule="exact"/>
        <w:rPr>
          <w:rFonts w:ascii="Arial" w:cs="Arial" w:eastAsia="Arial" w:hAnsi="Arial"/>
          <w:sz w:val="16"/>
          <w:szCs w:val="16"/>
          <w:color w:val="auto"/>
        </w:rPr>
      </w:pPr>
    </w:p>
    <w:p>
      <w:pPr>
        <w:ind w:left="960" w:hanging="680"/>
        <w:spacing w:after="0"/>
        <w:tabs>
          <w:tab w:leader="none" w:pos="9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make no use whatsoever of any Customer Information for any purpose except to comply with the terms of this Agreement;</w:t>
      </w:r>
    </w:p>
    <w:p>
      <w:pPr>
        <w:spacing w:after="0" w:line="142" w:lineRule="exact"/>
        <w:rPr>
          <w:rFonts w:ascii="Arial" w:cs="Arial" w:eastAsia="Arial" w:hAnsi="Arial"/>
          <w:sz w:val="17"/>
          <w:szCs w:val="17"/>
          <w:color w:val="auto"/>
        </w:rPr>
      </w:pPr>
    </w:p>
    <w:p>
      <w:pPr>
        <w:ind w:left="960" w:hanging="680"/>
        <w:spacing w:after="0"/>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make no sale, license or lease of Customer Information to any other party;</w:t>
      </w:r>
    </w:p>
    <w:p>
      <w:pPr>
        <w:spacing w:after="0" w:line="130" w:lineRule="exact"/>
        <w:rPr>
          <w:rFonts w:ascii="Arial" w:cs="Arial" w:eastAsia="Arial" w:hAnsi="Arial"/>
          <w:sz w:val="18"/>
          <w:szCs w:val="18"/>
          <w:color w:val="auto"/>
        </w:rPr>
      </w:pPr>
    </w:p>
    <w:p>
      <w:pPr>
        <w:ind w:left="960" w:right="300" w:hanging="680"/>
        <w:spacing w:after="0" w:line="277" w:lineRule="auto"/>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restrict access to Customer Information to only those employees of Supplier or Subcontractors that require access in order to perform Services under this Agreement;</w:t>
      </w:r>
    </w:p>
    <w:p>
      <w:pPr>
        <w:spacing w:after="0" w:line="75" w:lineRule="exact"/>
        <w:rPr>
          <w:rFonts w:ascii="Arial" w:cs="Arial" w:eastAsia="Arial" w:hAnsi="Arial"/>
          <w:sz w:val="18"/>
          <w:szCs w:val="18"/>
          <w:color w:val="auto"/>
        </w:rPr>
      </w:pPr>
    </w:p>
    <w:p>
      <w:pPr>
        <w:ind w:left="960" w:right="140" w:hanging="680"/>
        <w:spacing w:after="0" w:line="277" w:lineRule="auto"/>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prohibit and restrict access or use of Customer Information by any of Supplier’s other customers, Supplier’s Affiliates, or third parties except as may be agreed otherwise by AT&amp;T;</w:t>
      </w:r>
    </w:p>
    <w:p>
      <w:pPr>
        <w:spacing w:after="0" w:line="75" w:lineRule="exact"/>
        <w:rPr>
          <w:rFonts w:ascii="Arial" w:cs="Arial" w:eastAsia="Arial" w:hAnsi="Arial"/>
          <w:sz w:val="18"/>
          <w:szCs w:val="18"/>
          <w:color w:val="auto"/>
        </w:rPr>
      </w:pPr>
    </w:p>
    <w:p>
      <w:pPr>
        <w:ind w:left="960" w:right="120" w:hanging="680"/>
        <w:spacing w:after="0" w:line="277" w:lineRule="auto"/>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promptly return all Customer Information to AT&amp;T upon expiration or termination of this Agreement or applicable schedule or Order, unless expressly agreed or instructed otherwise by AT&amp;T; and</w:t>
      </w:r>
    </w:p>
    <w:p>
      <w:pPr>
        <w:spacing w:after="0" w:line="75" w:lineRule="exact"/>
        <w:rPr>
          <w:rFonts w:ascii="Arial" w:cs="Arial" w:eastAsia="Arial" w:hAnsi="Arial"/>
          <w:sz w:val="18"/>
          <w:szCs w:val="18"/>
          <w:color w:val="auto"/>
        </w:rPr>
      </w:pPr>
    </w:p>
    <w:p>
      <w:pPr>
        <w:ind w:left="960" w:right="20" w:hanging="680"/>
        <w:spacing w:after="0" w:line="289" w:lineRule="auto"/>
        <w:tabs>
          <w:tab w:leader="none" w:pos="9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immediately notify AT&amp;T upon Supplier’s awareness of (i) any breach of the above-referenced provisions, (ii) any disclosure (inadvertent or otherwise) of Customer Information to any third party not expressly permitted herein to receive or have access to such Customer Information, or (iii) a breach of, or other security incident involving, Supplier’s systems or network that could cause or permit access to Customer Information inconsistent with the above-referenced provisions, and such notice shall include the details of the breach, disclosure or security incident. Supplier shall fully cooperate with AT&amp;T in determining, as may be necessary or appropriate, actions that need to be taken including, but not limited to, the full scope of the breach, disclosure or security incident, corrective steps to be taken by Supplier, the nature and content of any customer notifications, law enforcement involvement, or news/press/media contact etc., and Supplier shall not communicate directly with any AT&amp;T customer without AT&amp;T’s consent, which such consent shall not be unreasonably withheld.</w:t>
      </w:r>
    </w:p>
    <w:p>
      <w:pPr>
        <w:spacing w:after="0" w:line="9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20"/>
          </w:cols>
          <w:pgMar w:left="1440" w:top="27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Dispute Resolution</w:t>
      </w:r>
    </w:p>
    <w:p>
      <w:pPr>
        <w:spacing w:after="0" w:line="131" w:lineRule="exact"/>
        <w:rPr>
          <w:sz w:val="20"/>
          <w:szCs w:val="20"/>
          <w:color w:val="auto"/>
        </w:rPr>
      </w:pPr>
    </w:p>
    <w:p>
      <w:pPr>
        <w:ind w:left="1480" w:hanging="797"/>
        <w:spacing w:after="0"/>
        <w:tabs>
          <w:tab w:leader="none" w:pos="148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Informal Dispute Resolution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500" w:right="480"/>
        <w:spacing w:after="0" w:line="277" w:lineRule="auto"/>
        <w:rPr>
          <w:rFonts w:ascii="Arial" w:cs="Arial" w:eastAsia="Arial" w:hAnsi="Arial"/>
          <w:sz w:val="18"/>
          <w:szCs w:val="18"/>
          <w:color w:val="auto"/>
        </w:rPr>
      </w:pPr>
      <w:r>
        <w:rPr>
          <w:rFonts w:ascii="Arial" w:cs="Arial" w:eastAsia="Arial" w:hAnsi="Arial"/>
          <w:sz w:val="18"/>
          <w:szCs w:val="18"/>
          <w:color w:val="auto"/>
        </w:rPr>
        <w:t>Prior to the initiation of formal dispute resolution procedures with respect to any dispute, other than as provided in this Section, the Parties shall first attempt to resolve such dispute informally, as follows</w:t>
      </w:r>
      <w:r>
        <w:rPr>
          <w:rFonts w:ascii="Arial" w:cs="Arial" w:eastAsia="Arial" w:hAnsi="Arial"/>
          <w:sz w:val="18"/>
          <w:szCs w:val="18"/>
          <w:b w:val="1"/>
          <w:bCs w:val="1"/>
          <w:color w:val="auto"/>
        </w:rPr>
        <w:t>:</w:t>
      </w:r>
    </w:p>
    <w:p>
      <w:pPr>
        <w:spacing w:after="0" w:line="71" w:lineRule="exact"/>
        <w:rPr>
          <w:rFonts w:ascii="Arial" w:cs="Arial" w:eastAsia="Arial" w:hAnsi="Arial"/>
          <w:sz w:val="18"/>
          <w:szCs w:val="18"/>
          <w:color w:val="auto"/>
        </w:rPr>
      </w:pPr>
    </w:p>
    <w:p>
      <w:pPr>
        <w:ind w:left="2160" w:hanging="680"/>
        <w:spacing w:after="0" w:line="289" w:lineRule="auto"/>
        <w:tabs>
          <w:tab w:leader="none" w:pos="2160" w:val="left"/>
        </w:tabs>
        <w:numPr>
          <w:ilvl w:val="1"/>
          <w:numId w:val="166"/>
        </w:numPr>
        <w:rPr>
          <w:rFonts w:ascii="Arial" w:cs="Arial" w:eastAsia="Arial" w:hAnsi="Arial"/>
          <w:sz w:val="17"/>
          <w:szCs w:val="17"/>
          <w:color w:val="auto"/>
        </w:rPr>
      </w:pPr>
      <w:r>
        <w:rPr>
          <w:rFonts w:ascii="Arial" w:cs="Arial" w:eastAsia="Arial" w:hAnsi="Arial"/>
          <w:sz w:val="17"/>
          <w:szCs w:val="17"/>
          <w:b w:val="1"/>
          <w:bCs w:val="1"/>
          <w:color w:val="auto"/>
        </w:rPr>
        <w:t xml:space="preserve">Initial Effort. </w:t>
      </w:r>
      <w:r>
        <w:rPr>
          <w:rFonts w:ascii="Arial" w:cs="Arial" w:eastAsia="Arial" w:hAnsi="Arial"/>
          <w:sz w:val="17"/>
          <w:szCs w:val="17"/>
          <w:color w:val="auto"/>
        </w:rPr>
        <w:t>The Parties agree that they shall attempt in good faith to resolve all disputes by informal discussion. In the event</w:t>
      </w:r>
      <w:r>
        <w:rPr>
          <w:rFonts w:ascii="Arial" w:cs="Arial" w:eastAsia="Arial" w:hAnsi="Arial"/>
          <w:sz w:val="17"/>
          <w:szCs w:val="17"/>
          <w:b w:val="1"/>
          <w:bCs w:val="1"/>
          <w:color w:val="auto"/>
        </w:rPr>
        <w:t xml:space="preserve"> </w:t>
      </w:r>
      <w:r>
        <w:rPr>
          <w:rFonts w:ascii="Arial" w:cs="Arial" w:eastAsia="Arial" w:hAnsi="Arial"/>
          <w:sz w:val="17"/>
          <w:szCs w:val="17"/>
          <w:color w:val="auto"/>
        </w:rPr>
        <w:t>of a dispute that is not resolved or resolvable through informal discussion, either Party may refer the dispute for resolution to the senior corporate executives specified in Section 4.5a.v. below upon written notice to the other Party.</w:t>
      </w:r>
    </w:p>
    <w:p>
      <w:pPr>
        <w:spacing w:after="0" w:line="67" w:lineRule="exact"/>
        <w:rPr>
          <w:rFonts w:ascii="Arial" w:cs="Arial" w:eastAsia="Arial" w:hAnsi="Arial"/>
          <w:sz w:val="17"/>
          <w:szCs w:val="17"/>
          <w:color w:val="auto"/>
        </w:rPr>
      </w:pPr>
    </w:p>
    <w:p>
      <w:pPr>
        <w:ind w:left="2160" w:right="20" w:hanging="680"/>
        <w:spacing w:after="0" w:line="270" w:lineRule="auto"/>
        <w:tabs>
          <w:tab w:leader="none" w:pos="216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Escalation. Within seven (7) business days of a notice under Section 4.5a.i. above referring a dispute for resolution by senior corporate executives, the AT&amp;T Contract Office and the Supplier Account Office will each prepare and provide to a Supplier Division President and to AT&amp;T Global Supply Chain and AT&amp;T Technology Development executive leadership, respectively, summaries of the relevant information and background of the dispute, along with any appropriate supporting documentation, for their review. The designated senior corporate executives will confer as often as they deem reasonably necessary in order to gather and furnish to the other all information with respect to the matter in issue which the Parties believe to be appropriate and germane in connection with its resolution. The designated senior corporate executives shall discuss the problem and negotiate in good faith in an effort to resolve the dispute without the necessity of any formal proceeding. The specific format for the discussions will be left to the discretion of the designated senior corporate executives, but may include the preparation of agreed-upon statements of fact or written statements of position.</w:t>
      </w:r>
    </w:p>
    <w:p>
      <w:pPr>
        <w:spacing w:after="0" w:line="83" w:lineRule="exact"/>
        <w:rPr>
          <w:rFonts w:ascii="Arial" w:cs="Arial" w:eastAsia="Arial" w:hAnsi="Arial"/>
          <w:sz w:val="17"/>
          <w:szCs w:val="17"/>
          <w:color w:val="auto"/>
        </w:rPr>
      </w:pPr>
    </w:p>
    <w:p>
      <w:pPr>
        <w:ind w:left="2160" w:right="180" w:hanging="680"/>
        <w:spacing w:after="0" w:line="255" w:lineRule="auto"/>
        <w:tabs>
          <w:tab w:leader="none" w:pos="21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Provision of Information. During the course of negotiations under this Section, all reasonable requests made by one Party to another for non-privileged information, reasonably related to the dispute, will be honored in order that each of the Parties may be fully advised of the other’s position. All negotiation shall be strictly confidential and used solely for the purposes of settlement. Any materials prepared by one Party for these proceedings shall not be used as evidence by the other Party in any subsequent arbitration or litigation; provided, however, the underlying facts supporting such materials may be subject to discovery.</w:t>
      </w:r>
    </w:p>
    <w:p>
      <w:pPr>
        <w:spacing w:after="0" w:line="98" w:lineRule="exact"/>
        <w:rPr>
          <w:rFonts w:ascii="Arial" w:cs="Arial" w:eastAsia="Arial" w:hAnsi="Arial"/>
          <w:sz w:val="18"/>
          <w:szCs w:val="18"/>
          <w:color w:val="auto"/>
        </w:rPr>
      </w:pPr>
    </w:p>
    <w:p>
      <w:pPr>
        <w:ind w:left="2160" w:right="100" w:hanging="680"/>
        <w:spacing w:after="0" w:line="272" w:lineRule="auto"/>
        <w:tabs>
          <w:tab w:leader="none" w:pos="216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Prerequisite to Formal Proceedings. Formal proceedings for the resolution of a dispute may not be commenced until the earlier of: (i) the designated senior corporate executives under Section 4.5a.i. above concluding in good faith that amicable resolution through continued negotiation of the matter does not appear likely; or (ii) [***]days after the notice under Section 4.5a.i. above referring the dispute to designated senior corporate executives. The time periods specified in this Section 4.5a. shall not be construed to prevent a Party from instituting, and a Party is authorized to institute, formal proceedings earlier to (A) avoid the expiration of any applicable limitations period, (B) preserve a superior position with respect to other creditors, or (C) address a dispute to the extent subject to equitable or injunctive relief.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220" w:hanging="680"/>
        <w:spacing w:after="0" w:line="257" w:lineRule="auto"/>
        <w:tabs>
          <w:tab w:leader="none" w:pos="14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Additional Escalation. In addition to the dispute resolution provisions contained in this Section 4.5a., in connection with any exercise of its termination rights under Section 3.36, “Termination”, AT&amp;T will, no less than [***] days prior to the effective date of such termination, but without extending any applicable time frames specified in the Agreement, provide Supplier with the right to have its Chief Executive Officer address the relevant issues with AT&amp;T’s then-current Chief Strategy Officer/Division President – AT&amp;T Technology and Operations.</w:t>
      </w:r>
    </w:p>
    <w:p>
      <w:pPr>
        <w:spacing w:after="0" w:line="89" w:lineRule="exact"/>
        <w:rPr>
          <w:rFonts w:ascii="Arial" w:cs="Arial" w:eastAsia="Arial" w:hAnsi="Arial"/>
          <w:sz w:val="18"/>
          <w:szCs w:val="18"/>
          <w:color w:val="auto"/>
        </w:rPr>
      </w:pPr>
    </w:p>
    <w:p>
      <w:pPr>
        <w:ind w:left="800" w:hanging="797"/>
        <w:spacing w:after="0"/>
        <w:tabs>
          <w:tab w:leader="none" w:pos="80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80" w:right="80" w:hanging="680"/>
        <w:spacing w:after="0" w:line="257" w:lineRule="auto"/>
        <w:tabs>
          <w:tab w:leader="none" w:pos="14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Except for a claim or controversy regarding the existence, validity or ownership of Intellectual Property Rights, and without limiting either Party’s right to seek appropriate injunctive relief in the event of a breach or threatened breach of this Agreement, any controversy or claim arising out of or relating to this Agreement, or any breach thereof, which cannot be resolved using the procedures set forth above in Section 4.5 a. shall be finally resolved under the Commercial Arbitration Rules of the American Arbitration Association then in effect.</w:t>
      </w:r>
    </w:p>
    <w:p>
      <w:pPr>
        <w:spacing w:after="0" w:line="94" w:lineRule="exact"/>
        <w:rPr>
          <w:sz w:val="20"/>
          <w:szCs w:val="20"/>
          <w:color w:val="auto"/>
        </w:rPr>
      </w:pPr>
    </w:p>
    <w:p>
      <w:pPr>
        <w:ind w:left="1480" w:right="120" w:hanging="680"/>
        <w:spacing w:after="0" w:line="255" w:lineRule="auto"/>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Arbitration shall take place in New York, New York, and shall apply the law of the State of Texas. The decision of the arbitrators shall be final and binding and judgment on the award may be entered in any court of competent jurisdiction. The arbitrators shall be instructed to state the reasons for their decisions in writing, including findings of fact and law. The arbitrators shall be bound by the warranties, limitations of liability and other provisions of this Agreement. Except with respect to the provisions of this Agreement that provide for injunctive relief rights, such arbitration shall be a precondition to any application by either Party to any court of competent jurisdiction.</w:t>
      </w:r>
    </w:p>
    <w:p>
      <w:pPr>
        <w:spacing w:after="0" w:line="98" w:lineRule="exact"/>
        <w:rPr>
          <w:rFonts w:ascii="Arial" w:cs="Arial" w:eastAsia="Arial" w:hAnsi="Arial"/>
          <w:sz w:val="18"/>
          <w:szCs w:val="18"/>
          <w:color w:val="auto"/>
        </w:rPr>
      </w:pPr>
    </w:p>
    <w:p>
      <w:pPr>
        <w:ind w:left="1480" w:right="80" w:hanging="680"/>
        <w:spacing w:after="0" w:line="288" w:lineRule="auto"/>
        <w:tabs>
          <w:tab w:leader="none" w:pos="14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Within twenty (20) business days after delivery of written notice (“</w:t>
      </w:r>
      <w:r>
        <w:rPr>
          <w:rFonts w:ascii="Arial" w:cs="Arial" w:eastAsia="Arial" w:hAnsi="Arial"/>
          <w:sz w:val="16"/>
          <w:szCs w:val="16"/>
          <w:u w:val="single" w:color="auto"/>
          <w:color w:val="auto"/>
        </w:rPr>
        <w:t>Notice of Dispute</w:t>
      </w:r>
      <w:r>
        <w:rPr>
          <w:rFonts w:ascii="Arial" w:cs="Arial" w:eastAsia="Arial" w:hAnsi="Arial"/>
          <w:sz w:val="16"/>
          <w:szCs w:val="16"/>
          <w:color w:val="auto"/>
        </w:rPr>
        <w:t>”) by one Party to the other in accordance with this Section, the Parties each shall use good faith efforts to agree upon one (1) arbitrator. If the Parties are not able to agree upon one (1) arbitrator within such period of time, the Parties each shall within ten (10) business days: (i) appoint one</w:t>
      </w:r>
    </w:p>
    <w:p>
      <w:pPr>
        <w:ind w:left="1480" w:right="80" w:hanging="5"/>
        <w:spacing w:after="0" w:line="281" w:lineRule="auto"/>
        <w:tabs>
          <w:tab w:leader="none" w:pos="1735"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arbitrator who has at no time ever represented or acted on behalf of either of the Parties, and is not otherwise affiliated with or interested in either of the Parties and (ii) deliver written notice of the identity of such arbitrator and a copy of his or her written acceptance of such appointment to the other Party. If either Party fails or refuses to appoint an arbitrator within such ten</w:t>
      </w:r>
    </w:p>
    <w:p>
      <w:pPr>
        <w:spacing w:after="0" w:line="2" w:lineRule="exact"/>
        <w:rPr>
          <w:rFonts w:ascii="Arial" w:cs="Arial" w:eastAsia="Arial" w:hAnsi="Arial"/>
          <w:sz w:val="16"/>
          <w:szCs w:val="16"/>
          <w:color w:val="auto"/>
        </w:rPr>
      </w:pPr>
    </w:p>
    <w:p>
      <w:pPr>
        <w:ind w:left="1480" w:right="100" w:hanging="5"/>
        <w:spacing w:after="0" w:line="253" w:lineRule="auto"/>
        <w:tabs>
          <w:tab w:leader="none" w:pos="182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business day period, the single arbitrator appointed by the other Party shall decide alone the issues set out in the Notice of Dispute. Within ten (10) business days after such appointment and notice, such arbitrators shall appoint a third arbitrator. In the event that the two (2) arbitrators fail to appoint a third arbitrator within ten (10) business days of the appointment of the second arbitrator, either arbitrator or either Party may apply for the appointment of a third arbitrator to the American Arbitration Association.</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740"/>
          </w:cols>
          <w:pgMar w:left="920" w:top="27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right="20" w:hanging="680"/>
        <w:spacing w:after="0" w:line="268" w:lineRule="auto"/>
        <w:tabs>
          <w:tab w:leader="none" w:pos="21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All arbitrators selected pursuant to this Section shall be practicing attorneys with at least five (5) years of experience in technology law applicable to the Services. Any such appointment shall be binding upon the Parties. The Parties shall use best efforts to set the arbitration within sixty (60) days after selection of the arbitrator or arbitrators, as applicable, but in no event shall the arbitration be set more than ninety (90) days after selection of the arbitrator or arbitrators, as applicable. Discovery as permitted by the Federal Rules of Civil Procedure then in effect will be allowed in connection with arbitration to the extent consistent with the purpose of the arbitration and as allowed by the arbitrator or arbitrators, as applicable. The decision or award of the arbitrator or the majority of the three arbitrators, as applicable, shall be rendered within fifteen (15) days after the conclusion of the hearing, shall be in writing, shall set forth the basis therefore, and shall be final, binding and nonappealable upon the Parties and may be enforced and executed upon in any court having jurisdiction over the Party against whom the enforcement of such decision or award is sought. Each Party shall bear its own arbitration costs and expenses and all other costs and expenses of the arbitration shall be divided equally between the Parties; provided, however, the arbitrator or arbitrators, as applicable, may modify the allocation of fees, costs and expenses in the award in those cases where fairness dictates other than such allocation between the Parties.</w:t>
      </w:r>
    </w:p>
    <w:p>
      <w:pPr>
        <w:spacing w:after="0" w:line="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Electronic Data Interchange (EDI)</w:t>
      </w:r>
    </w:p>
    <w:p>
      <w:pPr>
        <w:spacing w:after="0" w:line="135" w:lineRule="exact"/>
        <w:rPr>
          <w:sz w:val="20"/>
          <w:szCs w:val="20"/>
          <w:color w:val="auto"/>
        </w:rPr>
      </w:pPr>
    </w:p>
    <w:p>
      <w:pPr>
        <w:ind w:left="1480" w:right="60" w:hanging="797"/>
        <w:spacing w:after="0" w:line="271" w:lineRule="auto"/>
        <w:tabs>
          <w:tab w:leader="none" w:pos="14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At the request of AT&amp;T, the Parties shall exchange Orders, payments, acknowledgements, invoices, remittance notices, and other records (“Data”) electronically, in place of tangible documents. In such case, AT&amp;T shall also designate whether the Parties shall exchange Data by direct electronic or computer systems communication between AT&amp;T and Supplier, or indirectly through third party service providers with which either Party may contract or a single AT&amp;T designated third party service provider with which each Party shall contract independently (“Provider”), to translate, forward and/or store such Data. If the Parties exchange Data directly, they agree to exchange it in accordance with the Telecommunications Industry Forum EDI Guidelines for use of American National Standards Institute (ANSI) Accredited Standards Committee X12 transaction sets, unless they mutually agree to a proprietary format or another standard such as Extensible Markup Language (XML).</w:t>
      </w:r>
    </w:p>
    <w:p>
      <w:pPr>
        <w:spacing w:after="0" w:line="84" w:lineRule="exact"/>
        <w:rPr>
          <w:rFonts w:ascii="Arial" w:cs="Arial" w:eastAsia="Arial" w:hAnsi="Arial"/>
          <w:sz w:val="17"/>
          <w:szCs w:val="17"/>
          <w:color w:val="auto"/>
        </w:rPr>
      </w:pPr>
    </w:p>
    <w:p>
      <w:pPr>
        <w:ind w:left="1480" w:hanging="797"/>
        <w:spacing w:after="0"/>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following additional conditions apply to any such exchanges:</w:t>
      </w:r>
    </w:p>
    <w:p>
      <w:pPr>
        <w:spacing w:after="0" w:line="130" w:lineRule="exact"/>
        <w:rPr>
          <w:rFonts w:ascii="Arial" w:cs="Arial" w:eastAsia="Arial" w:hAnsi="Arial"/>
          <w:sz w:val="18"/>
          <w:szCs w:val="18"/>
          <w:color w:val="auto"/>
        </w:rPr>
      </w:pPr>
    </w:p>
    <w:p>
      <w:pPr>
        <w:ind w:left="2160" w:right="140" w:hanging="680"/>
        <w:spacing w:after="0" w:line="264" w:lineRule="auto"/>
        <w:tabs>
          <w:tab w:leader="none" w:pos="21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Garbled Transmissions: If any Data is received in an unintelligible, electronically unreadable, or garbled form, the receiving Party shall promptly notify the originating Party (if identifiable from the received Data) in a reasonable manner. In the absence of such notice, the originating Party’s record of the contents of such Data shall control.</w:t>
      </w:r>
    </w:p>
    <w:p>
      <w:pPr>
        <w:spacing w:after="0" w:line="86" w:lineRule="exact"/>
        <w:rPr>
          <w:rFonts w:ascii="Arial" w:cs="Arial" w:eastAsia="Arial" w:hAnsi="Arial"/>
          <w:sz w:val="18"/>
          <w:szCs w:val="18"/>
          <w:color w:val="auto"/>
        </w:rPr>
      </w:pPr>
    </w:p>
    <w:p>
      <w:pPr>
        <w:ind w:left="2160" w:right="100" w:hanging="680"/>
        <w:spacing w:after="0" w:line="259" w:lineRule="auto"/>
        <w:tabs>
          <w:tab w:leader="none" w:pos="21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Signatures: Each Party will incorporate into each EDI transmission an electronic identification consisting of symbols or codes (“Signature”). Each Party agrees that any predetermined Signature of such Party included in or affixed to any EDI transmission shall be sufficient to verify that such Party originated, “signed” and “executed” such transmission. Neither Party shall disclose to any unauthorized person the Signatures of the Parties hereto.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right="40" w:hanging="680"/>
        <w:spacing w:after="0" w:line="297" w:lineRule="auto"/>
        <w:tabs>
          <w:tab w:leader="none" w:pos="2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Statute of Frauds: The Parties expressly agree that all Data transmitted pursuant to this Section shall be deemed to be a “writing” or “in writing” for purposes of Section 2-201 of the Uniform Commercial Code (“UCC”) or any other applicable Law requiring that certain agreements be in writing and signed by the party to be bound thereby. Any such Data containing or having affixed to it a Signature shall be deemed for all purposes: (i) to have been “signed” and “executed”; and (ii) to constitute an “original” when printed from electronic files or records established and maintained in the normal course of business.</w:t>
      </w:r>
    </w:p>
    <w:p>
      <w:pPr>
        <w:spacing w:after="0" w:line="63" w:lineRule="exact"/>
        <w:rPr>
          <w:rFonts w:ascii="Arial" w:cs="Arial" w:eastAsia="Arial" w:hAnsi="Arial"/>
          <w:sz w:val="16"/>
          <w:szCs w:val="16"/>
          <w:color w:val="auto"/>
        </w:rPr>
      </w:pPr>
    </w:p>
    <w:p>
      <w:pPr>
        <w:ind w:left="2160" w:hanging="680"/>
        <w:spacing w:after="0" w:line="273" w:lineRule="auto"/>
        <w:tabs>
          <w:tab w:leader="none" w:pos="21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Method of Exchange: Each Party shall be responsible for its own costs to provide and maintain the equipment, software and services necessary to effectively and reliably transmit and receive Data, and the associated charges of any Provider with which it contracts. Supplier shall be solely responsible for the cost of storing its information or Data on a Provider’s computer network, which may be retrieved by AT&amp;T at no additional charge to AT&amp;T by Supplier. Either Party may change a Provider upon [***] days’ prior written notice to the other Party, except that if a single Provider for both Parties has been designated by AT&amp;T, then AT&amp;T may change the Provider upon [***] days’ prior written notice to Supplier.</w:t>
      </w:r>
    </w:p>
    <w:p>
      <w:pPr>
        <w:spacing w:after="0" w:line="83" w:lineRule="exact"/>
        <w:rPr>
          <w:rFonts w:ascii="Arial" w:cs="Arial" w:eastAsia="Arial" w:hAnsi="Arial"/>
          <w:sz w:val="17"/>
          <w:szCs w:val="17"/>
          <w:color w:val="auto"/>
        </w:rPr>
      </w:pPr>
    </w:p>
    <w:p>
      <w:pPr>
        <w:ind w:left="2160" w:right="20" w:hanging="680"/>
        <w:spacing w:after="0" w:line="259" w:lineRule="auto"/>
        <w:tabs>
          <w:tab w:leader="none" w:pos="2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Warranty of Data Integrity: Supplier represents and warrants that Data and/or information either transmitted to AT&amp;T by Supplier or stored by Supplier on a Provider’s network for access by AT&amp;T a) does not knowingly or intentionally contain any Harmful Code or Vulnerability, and b) does not knowingly or intentionally infringe or violate any third party’s copyright, patent, trademark, trade secret or other proprietary rights or rights of publicity or privacy.</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7"/>
          <w:szCs w:val="17"/>
          <w:b w:val="1"/>
          <w:bCs w:val="1"/>
          <w:color w:val="auto"/>
        </w:rPr>
        <w:t>Entry on AT&amp;T Property</w:t>
      </w:r>
    </w:p>
    <w:p>
      <w:pPr>
        <w:spacing w:after="0" w:line="135" w:lineRule="exact"/>
        <w:rPr>
          <w:sz w:val="20"/>
          <w:szCs w:val="20"/>
          <w:color w:val="auto"/>
        </w:rPr>
      </w:pPr>
    </w:p>
    <w:p>
      <w:pPr>
        <w:ind w:left="1480" w:hanging="797"/>
        <w:spacing w:after="0" w:line="255" w:lineRule="auto"/>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the performance of the Services provided hereunder requires Supplier’s entry upon property owned or controlled by AT&amp;T, Supplier is hereby notified that AT&amp;T presumes for safety planning purposes that all tile and sheet/rolled vinyl flooring contains asbestos unless verified otherwise through sampling of the material and that AT&amp;T-owned buildings constructed prior to 1981 may contain other asbestos containing materials (“ACM”) and/or presumed asbestos containing materials (“PACM”). All AT&amp;T buildings, regardless of age, may also contain both natural and manmade conditions and/or activities involving risk of harm. AT&amp;T has not inspected such property for the purposes of this Agreement and has not taken any efforts to discover or make safe dangerous conditions or activities for the purpose of Supplier’s performance of Services.</w:t>
      </w:r>
    </w:p>
    <w:p>
      <w:pPr>
        <w:spacing w:after="0" w:line="94" w:lineRule="exact"/>
        <w:rPr>
          <w:rFonts w:ascii="Arial" w:cs="Arial" w:eastAsia="Arial" w:hAnsi="Arial"/>
          <w:sz w:val="18"/>
          <w:szCs w:val="18"/>
          <w:color w:val="auto"/>
        </w:rPr>
      </w:pPr>
    </w:p>
    <w:p>
      <w:pPr>
        <w:ind w:left="1480" w:right="500" w:hanging="797"/>
        <w:spacing w:after="0" w:line="286" w:lineRule="auto"/>
        <w:tabs>
          <w:tab w:leader="none" w:pos="14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If the performance of the Services provided hereunder requires disturbance of ACM/PACM other than flooring material (surfacing/fireproofing coatings, thermal system insulation (TSI) or other suspect materials), then Supplier must contact the project manager and request records to determine the presence, location and quantity of ACM/PACM in or adjacent 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181" w:name="page182"/>
    <w:bookmarkEnd w:id="181"/>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800" w:right="20"/>
        <w:spacing w:after="0" w:line="270" w:lineRule="auto"/>
        <w:rPr>
          <w:sz w:val="20"/>
          <w:szCs w:val="20"/>
          <w:color w:val="auto"/>
        </w:rPr>
      </w:pPr>
      <w:r>
        <w:rPr>
          <w:rFonts w:ascii="Arial" w:cs="Arial" w:eastAsia="Arial" w:hAnsi="Arial"/>
          <w:sz w:val="17"/>
          <w:szCs w:val="17"/>
          <w:color w:val="auto"/>
        </w:rPr>
        <w:t>which Supplier’s employees may reasonably be expected to work. At AT&amp;T’s discretion, the project manager may supply records that indicate which areas, if any, of the premises contain ACM. If AT&amp;T does not provide records or does not know if the premises contain ACM, the material will be presumed to be asbestos containing until proven otherwise. If records regarding the presence, location, and quantity of ACM do not exist, the project manager may arrange for a survey of materials that may be disturbed to determine the presence, location, and quantity of asbestos. If AT&amp;T is aware that ACM or PACM is indicated in materials that may be disturbed, AT&amp;T will advise Supplier of the presence, location and quantity of all known ACM and/or PACM at the work site. Supplier will have no obligation to provide Services in areas of premises containing ACM and/or PACM if its work could potentially disturb the ACM/PACM, except work requiring the drilling or cutting/lifting of asbestos containing flooring in accordance with paragraph e below. Supplier will not be liable for any liquidated damages related to any delay associated with AT&amp;T’s failure or delay in providing Supplier with information related to the presence, location and quantity of ACM/PACM.</w:t>
      </w:r>
    </w:p>
    <w:p>
      <w:pPr>
        <w:spacing w:after="0" w:line="83" w:lineRule="exact"/>
        <w:rPr>
          <w:sz w:val="20"/>
          <w:szCs w:val="20"/>
          <w:color w:val="auto"/>
        </w:rPr>
      </w:pPr>
    </w:p>
    <w:p>
      <w:pPr>
        <w:ind w:left="800" w:right="80" w:hanging="797"/>
        <w:spacing w:after="0" w:line="302" w:lineRule="auto"/>
        <w:tabs>
          <w:tab w:leader="none" w:pos="8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ACM or PACM is indicated on AT&amp;T’s premises, it is AT&amp;T’s responsibility to assure that the ACM/PACM does not present a hazard while Supplier conducts work operations on the premises. If it is determined that Supplier’s work, other than drilling or cutting/lifting of asbestos-containing flooring, will potentially disturb ACM/PACM, releasing asbestos fibers into the air, AT&amp;T must have a contractor meeting the requirements of applicable Laws remove the asbestos prior to Supplier’s performing work in the area.</w:t>
      </w:r>
    </w:p>
    <w:p>
      <w:pPr>
        <w:spacing w:after="0" w:line="59" w:lineRule="exact"/>
        <w:rPr>
          <w:rFonts w:ascii="Arial" w:cs="Arial" w:eastAsia="Arial" w:hAnsi="Arial"/>
          <w:sz w:val="16"/>
          <w:szCs w:val="16"/>
          <w:color w:val="auto"/>
        </w:rPr>
      </w:pPr>
    </w:p>
    <w:p>
      <w:pPr>
        <w:ind w:left="800" w:right="60" w:hanging="797"/>
        <w:spacing w:after="0" w:line="302" w:lineRule="auto"/>
        <w:tabs>
          <w:tab w:leader="none" w:pos="8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Upon entering AT&amp;T’s premises, Supplier shall be responsible for inspecting the Services site for visually obvious unsafe conditions and taking the necessary safety precautions for protection of Supplier, its employees, and its agents and ensuring a safe place for performance of the Services. As a material condition of this Agreement, Supplier, for itself and its employees and agents, assumes all risk of visually obvious dangers associated with the property, and responsibility for the following OSHA notice requirements:</w:t>
      </w:r>
    </w:p>
    <w:p>
      <w:pPr>
        <w:spacing w:after="0" w:line="59" w:lineRule="exact"/>
        <w:rPr>
          <w:rFonts w:ascii="Arial" w:cs="Arial" w:eastAsia="Arial" w:hAnsi="Arial"/>
          <w:sz w:val="16"/>
          <w:szCs w:val="16"/>
          <w:color w:val="auto"/>
        </w:rPr>
      </w:pPr>
    </w:p>
    <w:p>
      <w:pPr>
        <w:ind w:left="1480" w:right="40" w:hanging="680"/>
        <w:spacing w:after="0" w:line="259"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informing its employees of the information provided by the AT&amp;T Asbestos Records Contact regarding the presence, location and quantity of ACM/PACM present in the property in or adjacent to which Supplier’s employees may reasonably be expected to work and the precautions to be taken to reasonably insure that airborne ACM/PACM is kept well below permissible exposure levels; and</w:t>
      </w:r>
    </w:p>
    <w:p>
      <w:pPr>
        <w:spacing w:after="0" w:line="92" w:lineRule="exact"/>
        <w:rPr>
          <w:rFonts w:ascii="Arial" w:cs="Arial" w:eastAsia="Arial" w:hAnsi="Arial"/>
          <w:sz w:val="18"/>
          <w:szCs w:val="18"/>
          <w:color w:val="auto"/>
        </w:rPr>
      </w:pPr>
    </w:p>
    <w:p>
      <w:pPr>
        <w:ind w:left="1480" w:right="260" w:hanging="680"/>
        <w:spacing w:after="0" w:line="342" w:lineRule="auto"/>
        <w:tabs>
          <w:tab w:leader="none" w:pos="14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informing the appropriate AT&amp;T project manager and other employers of employees at the property of the presence, location and quantity of any newly discovered ACM/PACM identified by Supplier within twenty-four (24) hours of its discovery.</w:t>
      </w:r>
    </w:p>
    <w:p>
      <w:pPr>
        <w:spacing w:after="0" w:line="29" w:lineRule="exact"/>
        <w:rPr>
          <w:rFonts w:ascii="Arial" w:cs="Arial" w:eastAsia="Arial" w:hAnsi="Arial"/>
          <w:sz w:val="16"/>
          <w:szCs w:val="16"/>
          <w:color w:val="auto"/>
        </w:rPr>
      </w:pPr>
    </w:p>
    <w:p>
      <w:pPr>
        <w:ind w:left="800" w:right="40" w:hanging="797"/>
        <w:spacing w:after="0" w:line="255" w:lineRule="auto"/>
        <w:tabs>
          <w:tab w:leader="none" w:pos="8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Should Services require the drilling or cutting/lifting of presumed asbestos containing/asbestos-containing flooring (e.g., floor tile or sheet rolled goods such as linoleum), Supplier agrees that its employees and Subcontractors performing such drilling or cutting/lifting will use AT&amp;T’s Technical Practice 76300 (section G) Procedure for Drilling or Cutting/Lifting Asbestos-Containing/Presumed Asbestos Containing Flooring (“AT&amp;T’s Procedure”) which has a Negative Exposure Assessment when drilling or cutting/lifting such flooring and that only employees and Subcontractors who have received the annual training required to perform AT&amp;T’s Procedure will perform such drilling or cutting/lifting procedures.</w:t>
      </w:r>
    </w:p>
    <w:p>
      <w:pPr>
        <w:spacing w:after="0" w:line="122"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40"/>
          </w:cols>
          <w:pgMar w:left="920" w:top="27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hanging="680"/>
        <w:spacing w:after="0" w:line="264" w:lineRule="auto"/>
        <w:tabs>
          <w:tab w:leader="none" w:pos="21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accordance with AT&amp;T’s Procedure, AT&amp;T shall either supply Supplier written documentation verifying the absence of ACM in states where asbestos disturbance is not allowed and Supplier shall proceed with drilling or cutting/lifting when the cuts or drills will be in non-asbestos containing floors.</w:t>
      </w:r>
    </w:p>
    <w:p>
      <w:pPr>
        <w:spacing w:after="0" w:line="86" w:lineRule="exact"/>
        <w:rPr>
          <w:rFonts w:ascii="Arial" w:cs="Arial" w:eastAsia="Arial" w:hAnsi="Arial"/>
          <w:sz w:val="18"/>
          <w:szCs w:val="18"/>
          <w:color w:val="auto"/>
        </w:rPr>
      </w:pPr>
    </w:p>
    <w:p>
      <w:pPr>
        <w:ind w:left="2160" w:right="360" w:hanging="680"/>
        <w:spacing w:after="0" w:line="259" w:lineRule="auto"/>
        <w:tabs>
          <w:tab w:leader="none" w:pos="21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If no information regarding asbestos content of the flooring is available, in accordance with AT&amp;T’s Procedure, the AT&amp;T project manager will arrange for either 1) a licensed asbestos building inspector to obtain a sample of the floor to determine asbestos content or lack thereof; or 2) a licensed asbestos abatement contractor to drill the holes or remove the asbestos-containing materials and properly dispose of the debris.</w:t>
      </w:r>
    </w:p>
    <w:p>
      <w:pPr>
        <w:spacing w:after="0" w:line="92" w:lineRule="exact"/>
        <w:rPr>
          <w:rFonts w:ascii="Arial" w:cs="Arial" w:eastAsia="Arial" w:hAnsi="Arial"/>
          <w:sz w:val="18"/>
          <w:szCs w:val="18"/>
          <w:color w:val="auto"/>
        </w:rPr>
      </w:pPr>
    </w:p>
    <w:p>
      <w:pPr>
        <w:ind w:left="2160" w:right="80" w:hanging="680"/>
        <w:spacing w:after="0" w:line="342" w:lineRule="auto"/>
        <w:tabs>
          <w:tab w:leader="none" w:pos="21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Supplier will not be liable for any liquidated damages related to any delay associated with AT&amp;T’s failure or delay in providing Supplier with the information, documentation or work by a licensed asbestos contractor pursuant to this sub-paragraph (e).</w:t>
      </w:r>
    </w:p>
    <w:p>
      <w:pPr>
        <w:spacing w:after="0" w:line="29" w:lineRule="exact"/>
        <w:rPr>
          <w:rFonts w:ascii="Arial" w:cs="Arial" w:eastAsia="Arial" w:hAnsi="Arial"/>
          <w:sz w:val="16"/>
          <w:szCs w:val="16"/>
          <w:color w:val="auto"/>
        </w:rPr>
      </w:pPr>
    </w:p>
    <w:p>
      <w:pPr>
        <w:ind w:left="1480" w:right="20" w:hanging="797"/>
        <w:spacing w:after="0" w:line="259" w:lineRule="auto"/>
        <w:tabs>
          <w:tab w:leader="none" w:pos="14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Supplier hereby releases AT&amp;T from any and all claims or causes of action in connection with the responsibilities assumed by Supplier in Subsections d.i, d.ii., and e. of this Section above, and agrees to indemnify, hold harmless and defend AT&amp;T, its Affiliates and its and their employees, agents, officers, and directors against any Loss arising therefrom or in connection therewith, in accordance with the Section of this Agreement entitled “Indemnity.”</w:t>
      </w:r>
    </w:p>
    <w:p>
      <w:pPr>
        <w:spacing w:after="0" w:line="92" w:lineRule="exact"/>
        <w:rPr>
          <w:rFonts w:ascii="Arial" w:cs="Arial" w:eastAsia="Arial" w:hAnsi="Arial"/>
          <w:sz w:val="18"/>
          <w:szCs w:val="18"/>
          <w:color w:val="auto"/>
        </w:rPr>
      </w:pPr>
    </w:p>
    <w:p>
      <w:pPr>
        <w:ind w:left="1480" w:right="20" w:hanging="797"/>
        <w:spacing w:after="0" w:line="276" w:lineRule="auto"/>
        <w:tabs>
          <w:tab w:leader="none" w:pos="14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in Supplier’s judgment, the Services, other than Services requiring the drilling or cutting/lifting of asbestos-containing flooring, should not proceed due to the presence of ACM/PACM and/or any other unsafe condition, the correction of which may require changes or alterations in AT&amp;T’s operations or property, Supplier shall notify the AT&amp;T project manager immediately, and shall suspend the Services until Supplier and AT&amp;T agree on the corrections or alterations necessary for the safe performance of the Services. Supplier will not be liable for any liquidated damages related to any delay associated with such a suspension.</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Error Severity Level Description And Resolution Plan</w:t>
      </w:r>
    </w:p>
    <w:p>
      <w:pPr>
        <w:spacing w:after="0" w:line="121"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The Parties agree that the use of this Section, and/or the use of Section 4.9, Liquidated Damages for Delay in Delivery, may be applied as identified in the related Custom Software development Order. The Parties also agree that this Section 4.8, Error Severity Level Description And Resolution Plan, may apply to OnGoing Support Orders following Warranty.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500" w:hanging="797"/>
        <w:spacing w:after="0" w:line="277" w:lineRule="auto"/>
        <w:tabs>
          <w:tab w:leader="none" w:pos="1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During the term of the applicable Order and, if Software fails to operate in conformance with the Specifications, or if the following specified errors (“Error”) occur, Supplier agrees to respond and perform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1</w:t>
            </w:r>
          </w:p>
        </w:tc>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 xml:space="preserve">FATAL: </w:t>
            </w:r>
            <w:r>
              <w:rPr>
                <w:rFonts w:ascii="Arial" w:cs="Arial" w:eastAsia="Arial" w:hAnsi="Arial"/>
                <w:sz w:val="18"/>
                <w:szCs w:val="18"/>
                <w:color w:val="auto"/>
              </w:rPr>
              <w:t>Reported problems preventing all useful work from being</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Acknowledgment</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7"/>
              </w:rPr>
              <w:t>done or potential data loss or corruption, or Software functionality is</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Work Around, temporary fix</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5"/>
              </w:rPr>
              <w:t>inoperative; inability to use has a critical impact to AT&amp;T’s operations.</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Final fix, update, or new release</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Communications</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3"/>
        </w:trPr>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2</w:t>
            </w:r>
          </w:p>
        </w:tc>
        <w:tc>
          <w:tcPr>
            <w:tcW w:w="5380" w:type="dxa"/>
            <w:vAlign w:val="bottom"/>
          </w:tcPr>
          <w:p>
            <w:pPr>
              <w:ind w:left="100"/>
              <w:spacing w:after="0"/>
              <w:rPr>
                <w:sz w:val="20"/>
                <w:szCs w:val="20"/>
                <w:color w:val="auto"/>
              </w:rPr>
            </w:pPr>
            <w:r>
              <w:rPr>
                <w:rFonts w:ascii="Arial" w:cs="Arial" w:eastAsia="Arial" w:hAnsi="Arial"/>
                <w:sz w:val="18"/>
                <w:szCs w:val="18"/>
                <w:b w:val="1"/>
                <w:bCs w:val="1"/>
                <w:color w:val="auto"/>
                <w:w w:val="97"/>
              </w:rPr>
              <w:t xml:space="preserve">SEVERE IMPACT: </w:t>
            </w:r>
            <w:r>
              <w:rPr>
                <w:rFonts w:ascii="Arial" w:cs="Arial" w:eastAsia="Arial" w:hAnsi="Arial"/>
                <w:sz w:val="18"/>
                <w:szCs w:val="18"/>
                <w:color w:val="auto"/>
                <w:w w:val="97"/>
              </w:rPr>
              <w:t>Problems disable major functions required to do</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Acknowledgment</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6"/>
              </w:rPr>
              <w:t>productive work or Software is partially inoperative and is considered</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Work around, temporary fix</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as severely restrictive by AT&amp;T.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Final fix, update, or new release</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Communications</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3"/>
        </w:trPr>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3</w:t>
            </w:r>
          </w:p>
        </w:tc>
        <w:tc>
          <w:tcPr>
            <w:tcW w:w="5380" w:type="dxa"/>
            <w:vAlign w:val="bottom"/>
          </w:tcPr>
          <w:p>
            <w:pPr>
              <w:ind w:left="100"/>
              <w:spacing w:after="0"/>
              <w:rPr>
                <w:sz w:val="20"/>
                <w:szCs w:val="20"/>
                <w:color w:val="auto"/>
              </w:rPr>
            </w:pPr>
            <w:r>
              <w:rPr>
                <w:rFonts w:ascii="Arial" w:cs="Arial" w:eastAsia="Arial" w:hAnsi="Arial"/>
                <w:sz w:val="18"/>
                <w:szCs w:val="18"/>
                <w:b w:val="1"/>
                <w:bCs w:val="1"/>
                <w:color w:val="auto"/>
                <w:w w:val="98"/>
              </w:rPr>
              <w:t xml:space="preserve">DEGRADED OPERATIONS: </w:t>
            </w:r>
            <w:r>
              <w:rPr>
                <w:rFonts w:ascii="Arial" w:cs="Arial" w:eastAsia="Arial" w:hAnsi="Arial"/>
                <w:sz w:val="18"/>
                <w:szCs w:val="18"/>
                <w:color w:val="auto"/>
                <w:w w:val="98"/>
              </w:rPr>
              <w:t>Reported problems disabling specific</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Acknowledgment</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non-essential functions; Error condition is not critical to continuing</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Work around, temporary fix</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8"/>
              </w:rPr>
              <w:t>operation and/or AT&amp;T has determined a work-around for the Error</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Final fix, update, or new release</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condition.</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Communications</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3"/>
        </w:trPr>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4</w:t>
            </w:r>
          </w:p>
        </w:tc>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MINIMAL IMPACT</w:t>
            </w:r>
            <w:r>
              <w:rPr>
                <w:rFonts w:ascii="Arial" w:cs="Arial" w:eastAsia="Arial" w:hAnsi="Arial"/>
                <w:sz w:val="18"/>
                <w:szCs w:val="18"/>
                <w:color w:val="auto"/>
              </w:rPr>
              <w:t>: Any deviation from Specifications not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Acknowledgment</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otherwise included in a Severity 1, 2, or 3 category.</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Work around, temporary fix</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  Final Fix, update, or new release</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Communications</w:t>
            </w:r>
          </w:p>
        </w:tc>
        <w:tc>
          <w:tcPr>
            <w:tcW w:w="1380" w:type="dxa"/>
            <w:vAlign w:val="bottom"/>
          </w:tcPr>
          <w:p>
            <w:pPr>
              <w:ind w:left="1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1480" w:right="20" w:hanging="797"/>
        <w:spacing w:after="0" w:line="277" w:lineRule="auto"/>
        <w:tabs>
          <w:tab w:leader="none" w:pos="14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a FATAL or SEVERE IMPACT Error condition, Supplier shall use its best efforts to acknowledge notification of such Error condition within the time frames indicated.</w:t>
      </w:r>
    </w:p>
    <w:p>
      <w:pPr>
        <w:spacing w:after="0" w:line="75" w:lineRule="exact"/>
        <w:rPr>
          <w:rFonts w:ascii="Arial" w:cs="Arial" w:eastAsia="Arial" w:hAnsi="Arial"/>
          <w:sz w:val="18"/>
          <w:szCs w:val="18"/>
          <w:color w:val="auto"/>
        </w:rPr>
      </w:pPr>
    </w:p>
    <w:p>
      <w:pPr>
        <w:ind w:left="1480" w:right="360" w:hanging="797"/>
        <w:spacing w:after="0" w:line="308" w:lineRule="auto"/>
        <w:tabs>
          <w:tab w:leader="none" w:pos="14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Supplier shall correct any and all Errors in the Software in accordance with Error Severity Levels specified above. In addition, at any time during the Error correction or technical support process, AT&amp;T may invoke the below listed escalation procedure:</w:t>
      </w:r>
    </w:p>
    <w:p>
      <w:pPr>
        <w:spacing w:after="0" w:line="51" w:lineRule="exact"/>
        <w:rPr>
          <w:rFonts w:ascii="Arial" w:cs="Arial" w:eastAsia="Arial" w:hAnsi="Arial"/>
          <w:sz w:val="17"/>
          <w:szCs w:val="17"/>
          <w:color w:val="auto"/>
        </w:rPr>
      </w:pPr>
    </w:p>
    <w:p>
      <w:pPr>
        <w:jc w:val="both"/>
        <w:ind w:left="2160" w:right="40" w:hanging="680"/>
        <w:spacing w:after="0" w:line="286" w:lineRule="auto"/>
        <w:tabs>
          <w:tab w:leader="none" w:pos="216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Supplier’s escalation process is to ensure that when a problem is not being resolved in a satisfactory manner, (i) both AT&amp;T and Supplier have a common perception of the nature and criticality of the problem, (ii) the visibility of the problem is raised within Supplier’s organization, and (iii) appropriate Supplier resources are allocated toward solving the problem.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jc w:val="both"/>
        <w:ind w:left="1480" w:right="240" w:hanging="680"/>
        <w:spacing w:after="0" w:line="264" w:lineRule="auto"/>
        <w:tabs>
          <w:tab w:leader="none" w:pos="14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following escalation process may be invoked by AT&amp;T when an Error, defect, non-conformity or technical support issue has been reported to Supplier, the Error substantially affects AT&amp;T’s use of the Software, and Supplier has not yet provided a patch or bypass around the Error.</w:t>
      </w:r>
    </w:p>
    <w:p>
      <w:pPr>
        <w:spacing w:after="0" w:line="86" w:lineRule="exact"/>
        <w:rPr>
          <w:rFonts w:ascii="Arial" w:cs="Arial" w:eastAsia="Arial" w:hAnsi="Arial"/>
          <w:sz w:val="18"/>
          <w:szCs w:val="18"/>
          <w:color w:val="auto"/>
        </w:rPr>
      </w:pPr>
    </w:p>
    <w:p>
      <w:pPr>
        <w:ind w:left="1480" w:right="140" w:hanging="680"/>
        <w:spacing w:after="0" w:line="279" w:lineRule="auto"/>
        <w:tabs>
          <w:tab w:leader="none" w:pos="148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escalation processes can be initiated by contacting the next higher management level within Supplier’s organization. Such Supplier designate will work with AT&amp;T’s designated contact and management to bring a satisfactory solution to the situation. The effort will be focused on developing an action plan and coordinating whatever Supplier resources are required to meet AT&amp;T’s needs as rapidly as possible, within the policy stated above.</w:t>
      </w:r>
    </w:p>
    <w:p>
      <w:pPr>
        <w:spacing w:after="0" w:line="76" w:lineRule="exact"/>
        <w:rPr>
          <w:rFonts w:ascii="Arial" w:cs="Arial" w:eastAsia="Arial" w:hAnsi="Arial"/>
          <w:sz w:val="17"/>
          <w:szCs w:val="17"/>
          <w:color w:val="auto"/>
        </w:rPr>
      </w:pPr>
    </w:p>
    <w:p>
      <w:pPr>
        <w:ind w:left="1480" w:right="180" w:hanging="680"/>
        <w:spacing w:after="0" w:line="277" w:lineRule="auto"/>
        <w:tabs>
          <w:tab w:leader="none" w:pos="14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During the period of the action plan, regular status update communications will be established between AT&amp;T’s designate and Supplier’s designate.</w:t>
      </w:r>
    </w:p>
    <w:p>
      <w:pPr>
        <w:spacing w:after="0" w:line="75" w:lineRule="exact"/>
        <w:rPr>
          <w:rFonts w:ascii="Arial" w:cs="Arial" w:eastAsia="Arial" w:hAnsi="Arial"/>
          <w:sz w:val="18"/>
          <w:szCs w:val="18"/>
          <w:color w:val="auto"/>
        </w:rPr>
      </w:pPr>
    </w:p>
    <w:p>
      <w:pPr>
        <w:ind w:left="1480" w:right="20" w:hanging="680"/>
        <w:spacing w:after="0" w:line="277" w:lineRule="auto"/>
        <w:tabs>
          <w:tab w:leader="none" w:pos="14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an action plan cannot be agreed to, or if the action plan fails to provide a satisfactory solution within the time frame defined in the action plan, the problem will be escalated to Supplier’s highest management level.</w:t>
      </w:r>
    </w:p>
    <w:p>
      <w:pPr>
        <w:spacing w:after="0" w:line="75" w:lineRule="exact"/>
        <w:rPr>
          <w:rFonts w:ascii="Arial" w:cs="Arial" w:eastAsia="Arial" w:hAnsi="Arial"/>
          <w:sz w:val="18"/>
          <w:szCs w:val="18"/>
          <w:color w:val="auto"/>
        </w:rPr>
      </w:pPr>
    </w:p>
    <w:p>
      <w:pPr>
        <w:ind w:left="800" w:right="180" w:hanging="797"/>
        <w:spacing w:after="0" w:line="264" w:lineRule="auto"/>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any FATAL or SEVERE IMPACT Software Error cannot be corrected by Supplier within the indicated timeframes, Supplier shall provide [***] or a portion thereof, that the FATAL or SEVERE IMPACT Error remains unresolved after the work around/temporary fix resolution period specified above. [***].</w:t>
      </w:r>
    </w:p>
    <w:p>
      <w:pPr>
        <w:spacing w:after="0" w:line="86" w:lineRule="exact"/>
        <w:rPr>
          <w:rFonts w:ascii="Arial" w:cs="Arial" w:eastAsia="Arial" w:hAnsi="Arial"/>
          <w:sz w:val="18"/>
          <w:szCs w:val="18"/>
          <w:color w:val="auto"/>
        </w:rPr>
      </w:pPr>
    </w:p>
    <w:p>
      <w:pPr>
        <w:jc w:val="both"/>
        <w:ind w:left="800" w:right="100" w:hanging="797"/>
        <w:spacing w:after="0" w:line="264" w:lineRule="auto"/>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addition, if a FATAL Error remains unresolved [***] hours after reporting thereof by AT&amp;T, or, if a SEVERE IMPACT Error remains unresolved [***] hours after reporting by AT&amp;T, upon AT&amp;T’s request, Supplier shall provide a Software engineer at AT&amp;T’s site(s), at no additional charge, to resolve the Software Error.</w:t>
      </w:r>
    </w:p>
    <w:p>
      <w:pPr>
        <w:spacing w:after="0" w:line="86" w:lineRule="exact"/>
        <w:rPr>
          <w:rFonts w:ascii="Arial" w:cs="Arial" w:eastAsia="Arial" w:hAnsi="Arial"/>
          <w:sz w:val="18"/>
          <w:szCs w:val="18"/>
          <w:color w:val="auto"/>
        </w:rPr>
      </w:pPr>
    </w:p>
    <w:p>
      <w:pPr>
        <w:ind w:left="800" w:right="100" w:hanging="797"/>
        <w:spacing w:after="0" w:line="255" w:lineRule="auto"/>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Parties acknowledge that DEGRADED OPERATIONS and/or MINIMAL IMPACT Errors are generally less serious than FATAL or SEVERE IMPACT Errors. The Parties further acknowledge and agree that elongated resolution of such Errors can be detrimental to AT&amp;T’s use of the Software. Therefore, in the event that DEGRADED OPERATIONS Errors remain unresolved [***] days after AT&amp;T’s initial report of the Error and AT&amp;T’s notice of required resolution to Supplier, or MINIMAL IMPACT Errors remain unresolved [***] days after AT&amp;T’s report of the Error and AT&amp;T’s notice of required resolution to Supplier, Supplier shall [***], for each day beyond [***] days for DEGRADED OPERATIONS Errors and/or [***] days for MINIMAL IMPACT Errors that the Error remains unresolved. [***].</w:t>
      </w:r>
    </w:p>
    <w:p>
      <w:pPr>
        <w:spacing w:after="0" w:line="94" w:lineRule="exact"/>
        <w:rPr>
          <w:rFonts w:ascii="Arial" w:cs="Arial" w:eastAsia="Arial" w:hAnsi="Arial"/>
          <w:sz w:val="18"/>
          <w:szCs w:val="18"/>
          <w:color w:val="auto"/>
        </w:rPr>
      </w:pPr>
    </w:p>
    <w:p>
      <w:pPr>
        <w:ind w:left="800" w:right="120" w:hanging="797"/>
        <w:spacing w:after="0" w:line="342" w:lineRule="auto"/>
        <w:tabs>
          <w:tab w:leader="none" w:pos="8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Supplier shall provide AT&amp;T with toll-free telephone hotline assistance related to operation of the Software, including questions about individual features or suspected malfunctions. In addition, Supplier shall provide AT&amp;T with emergency after-hours or weekend contact</w:t>
      </w:r>
    </w:p>
    <w:p>
      <w:pPr>
        <w:spacing w:after="0" w:line="52"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740"/>
          </w:cols>
          <w:pgMar w:left="920" w:top="274" w:right="239" w:bottom="1440" w:gutter="0" w:footer="0" w:header="0"/>
        </w:sectPr>
      </w:pPr>
    </w:p>
    <w:bookmarkStart w:id="185" w:name="page186"/>
    <w:bookmarkEnd w:id="185"/>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80" w:right="20"/>
        <w:spacing w:after="0" w:line="342" w:lineRule="auto"/>
        <w:rPr>
          <w:sz w:val="20"/>
          <w:szCs w:val="20"/>
          <w:color w:val="auto"/>
        </w:rPr>
      </w:pPr>
      <w:r>
        <w:rPr>
          <w:rFonts w:ascii="Arial" w:cs="Arial" w:eastAsia="Arial" w:hAnsi="Arial"/>
          <w:sz w:val="16"/>
          <w:szCs w:val="16"/>
          <w:color w:val="auto"/>
        </w:rPr>
        <w:t>numbers wherein support can be obtained in the event of unavailability of the Software due to a FATAL or SEVERE IMPACT Error. If a FATAL Error is reported after hours, or during the weekend, Supplier shall begin workaround/temporary fix activities as soon as possible.</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Liquidated Damages for Delay in Delivery</w:t>
      </w:r>
    </w:p>
    <w:p>
      <w:pPr>
        <w:spacing w:after="0" w:line="12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The Parties agree that the use of this Section, and/or the use of Section 4.8 Error Severity Level Description And Resolution Plan, may be applied as identified in the related Custom Software development Order.</w:t>
      </w:r>
    </w:p>
    <w:p>
      <w:pPr>
        <w:spacing w:after="0" w:line="62" w:lineRule="exact"/>
        <w:rPr>
          <w:sz w:val="20"/>
          <w:szCs w:val="20"/>
          <w:color w:val="auto"/>
        </w:rPr>
      </w:pPr>
    </w:p>
    <w:p>
      <w:pPr>
        <w:ind w:left="700" w:right="280"/>
        <w:spacing w:after="0" w:line="254" w:lineRule="auto"/>
        <w:rPr>
          <w:sz w:val="20"/>
          <w:szCs w:val="20"/>
          <w:color w:val="auto"/>
        </w:rPr>
      </w:pPr>
      <w:r>
        <w:rPr>
          <w:rFonts w:ascii="Arial" w:cs="Arial" w:eastAsia="Arial" w:hAnsi="Arial"/>
          <w:sz w:val="18"/>
          <w:szCs w:val="18"/>
          <w:color w:val="auto"/>
        </w:rPr>
        <w:t>Upon discovery of anything indicating a reasonable certainty that Software and/or Services will not be delivered by the scheduled Delivery Date, Supplier shall notify AT&amp;T and provide the estimated length of delay. The Parties shall work jointly toward resolving the delayed delivery. If the Parties reach agreement on an extended Delivery Date and Supplier fails to meet the extended Delivery Date, then AT&amp;T may (i) if such delay amounts to a material breach, exercise AT&amp;T’s termination rights under the Agreement with respect to the applicable Order, (ii) [***] hereunder, and/or (iii) further extend the Delivery Date. No payments, progress or otherwise, made by AT&amp;T to Supplier after any scheduled Delivery Date shall constitute a waiver of Liquidated Damages. Delivery Dates shall be extended as and to the extent Supplier is unable to meet the original Delivery Date due to causes outside of Supplier’s control. Such extension shall be proportionate to the delay caused by factors outside Supplier’s control.</w:t>
      </w:r>
    </w:p>
    <w:p>
      <w:pPr>
        <w:spacing w:after="0" w:line="84"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Notwithstanding anything to the contrary in the Agreement, in the event of Supplier’s failure to meet a Delivery Date as defined in the Order (as it may have been extended in accordance with the terms as set forth herein) AT&amp;T shall be entitled to Liquidated Damages according to the following schedule:</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Days Late</w:t>
            </w:r>
          </w:p>
        </w:tc>
        <w:tc>
          <w:tcPr>
            <w:tcW w:w="200" w:type="dxa"/>
            <w:vAlign w:val="bottom"/>
          </w:tcPr>
          <w:p>
            <w:pPr>
              <w:spacing w:after="0"/>
              <w:rPr>
                <w:sz w:val="16"/>
                <w:szCs w:val="16"/>
                <w:color w:val="auto"/>
              </w:rPr>
            </w:pPr>
          </w:p>
        </w:tc>
        <w:tc>
          <w:tcPr>
            <w:tcW w:w="6740" w:type="dxa"/>
            <w:vAlign w:val="bottom"/>
          </w:tcPr>
          <w:p>
            <w:pPr>
              <w:ind w:left="2720"/>
              <w:spacing w:after="0"/>
              <w:rPr>
                <w:sz w:val="20"/>
                <w:szCs w:val="20"/>
                <w:color w:val="auto"/>
              </w:rPr>
            </w:pPr>
            <w:r>
              <w:rPr>
                <w:rFonts w:ascii="Arial" w:cs="Arial" w:eastAsia="Arial" w:hAnsi="Arial"/>
                <w:sz w:val="14"/>
                <w:szCs w:val="14"/>
                <w:b w:val="1"/>
                <w:bCs w:val="1"/>
                <w:color w:val="auto"/>
              </w:rPr>
              <w:t>Liquidated Damages</w:t>
            </w:r>
          </w:p>
        </w:tc>
      </w:tr>
      <w:tr>
        <w:trPr>
          <w:trHeight w:val="203"/>
        </w:trPr>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0-14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10% of fees under the Order</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45-74</w:t>
            </w:r>
          </w:p>
        </w:tc>
        <w:tc>
          <w:tcPr>
            <w:tcW w:w="2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 of fees under the Order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10% of fees under the Order</w:t>
            </w:r>
          </w:p>
        </w:tc>
      </w:tr>
    </w:tbl>
    <w:p>
      <w:pPr>
        <w:spacing w:after="0" w:line="79"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The foregoing Liquidated Damages shall be calculated cumulatively and shall be capped at a total of thirty percent (30%) of the fees under the Order. AT&amp;T’s taking of Liquidated Damages for failure to meet a Delivery Date shall not preclude AT&amp;T from claiming actual damages in excess of the Liquidated Damages; provided, however, that the amount of Liquidated Damages taken by AT&amp;T shall be deducted from any damages awarded to AT&amp;T. Liquidated Damages taken by AT&amp;T for failure to meet a Delivery Date shall be excluded from the limitations of liability set forth in the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Independent Contractor</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Supplier hereby represents and warrants to AT&amp;T that:</w:t>
      </w:r>
    </w:p>
    <w:p>
      <w:pPr>
        <w:spacing w:after="0" w:line="131" w:lineRule="exact"/>
        <w:rPr>
          <w:sz w:val="20"/>
          <w:szCs w:val="20"/>
          <w:color w:val="auto"/>
        </w:rPr>
      </w:pPr>
    </w:p>
    <w:p>
      <w:pPr>
        <w:ind w:left="1480" w:right="200" w:hanging="797"/>
        <w:spacing w:after="0" w:line="277" w:lineRule="auto"/>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Supplier is engaged in an independent business and will perform all obligations under this Agreement as an independent contractor and not as the agent or employee of AT&amp;T;</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Supplier’s personnel performing Services shall be considered solely the employees of Supplier and not employees or agents of AT&amp;T;</w:t>
      </w:r>
    </w:p>
    <w:p>
      <w:pPr>
        <w:spacing w:after="0" w:line="153" w:lineRule="exact"/>
        <w:rPr>
          <w:rFonts w:ascii="Arial" w:cs="Arial" w:eastAsia="Arial" w:hAnsi="Arial"/>
          <w:sz w:val="16"/>
          <w:szCs w:val="16"/>
          <w:color w:val="auto"/>
        </w:rPr>
      </w:pPr>
    </w:p>
    <w:p>
      <w:pPr>
        <w:ind w:left="1480" w:right="40" w:hanging="797"/>
        <w:spacing w:after="0" w:line="277" w:lineRule="auto"/>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Supplier has and retains the right to exercise full control of and supervision over the performance of the Services and full control over the employment, direction, assignment, compensation, and discharge of all personnel performing the Services;</w:t>
      </w:r>
    </w:p>
    <w:p>
      <w:pPr>
        <w:spacing w:after="0" w:line="75" w:lineRule="exact"/>
        <w:rPr>
          <w:rFonts w:ascii="Arial" w:cs="Arial" w:eastAsia="Arial" w:hAnsi="Arial"/>
          <w:sz w:val="18"/>
          <w:szCs w:val="18"/>
          <w:color w:val="auto"/>
        </w:rPr>
      </w:pPr>
    </w:p>
    <w:p>
      <w:pPr>
        <w:ind w:left="1480" w:right="140" w:hanging="797"/>
        <w:spacing w:after="0" w:line="273" w:lineRule="auto"/>
        <w:tabs>
          <w:tab w:leader="none" w:pos="14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Supplier is solely responsible for all matters relating to compensation and benefits for all of Supplier’s personnel who perform Services. This responsibility includes, but is not limited to, (i) timely payment of compensation and benefits, including, but not limited to, overtime, medical, dental, and any other benefit, and (ii) all matters relating to compliance with all employer obligations to withhold employee taxes, pay employee and employer taxes, and file payroll tax returns and information returns under local, state and federal income tax laws, unemployment compensation insurance and state disability insurance tax laws, social security and Medicare tax laws, and all other payroll tax laws or similar laws with respect to all Supplier personnel providing Services;</w:t>
      </w:r>
    </w:p>
    <w:p>
      <w:pPr>
        <w:spacing w:after="0" w:line="83" w:lineRule="exact"/>
        <w:rPr>
          <w:rFonts w:ascii="Arial" w:cs="Arial" w:eastAsia="Arial" w:hAnsi="Arial"/>
          <w:sz w:val="17"/>
          <w:szCs w:val="17"/>
          <w:color w:val="auto"/>
        </w:rPr>
      </w:pPr>
    </w:p>
    <w:p>
      <w:pPr>
        <w:ind w:left="1480" w:right="200" w:hanging="797"/>
        <w:spacing w:after="0" w:line="277" w:lineRule="auto"/>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Supplier will indemnify, defend, and hold AT&amp;T harmless from all liabilities, costs, expenses and claims related to Supplier’s failure to comply with the immediately preceding paragraph, in accordance with Section 3.15, “Indemnity”; and</w:t>
      </w:r>
    </w:p>
    <w:p>
      <w:pPr>
        <w:spacing w:after="0" w:line="75" w:lineRule="exact"/>
        <w:rPr>
          <w:rFonts w:ascii="Arial" w:cs="Arial" w:eastAsia="Arial" w:hAnsi="Arial"/>
          <w:sz w:val="18"/>
          <w:szCs w:val="18"/>
          <w:color w:val="auto"/>
        </w:rPr>
      </w:pPr>
    </w:p>
    <w:p>
      <w:pPr>
        <w:ind w:left="1480" w:right="220" w:hanging="797"/>
        <w:spacing w:after="0" w:line="276" w:lineRule="auto"/>
        <w:tabs>
          <w:tab w:leader="none" w:pos="14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To the extent permissible under applicable Law, Supplier shall ensure that all individuals who provide Services under this Agreement sign an “Agreement Regarding Non-Employment Status with AT&amp;T” in the form attached hereto as Appendix G. Individuals currently providing Services shall sign no later than [***] days following the execution of this Agreement. Individuals who begin providing Services only in connection with new or amended Orders shall sign no later than [***] days following the date such individual commences providing Services, and shall make available an executed copy to AT&amp;T upon AT&amp;T’s request.</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Payment Card Industry Data Security Standards (PCI-DSS)</w:t>
      </w:r>
    </w:p>
    <w:p>
      <w:pPr>
        <w:spacing w:after="0" w:line="121"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 xml:space="preserve">To the extent Supplier processes, transmits, and/or stores credit cardholder data and/or related transaction status for or on behalf of AT&amp;T, Supplier must be Payment Card Industry-Data Security Standards (PCI-DSS) compliant. Upon AT&amp;T’s request, Supplier shall promptly submit a copy of Supplier’s executed Attestation of Compliance (AOC) to </w:t>
      </w:r>
      <w:r>
        <w:rPr>
          <w:rFonts w:ascii="Arial" w:cs="Arial" w:eastAsia="Arial" w:hAnsi="Arial"/>
          <w:sz w:val="18"/>
          <w:szCs w:val="18"/>
          <w:u w:val="single" w:color="auto"/>
          <w:color w:val="auto"/>
        </w:rPr>
        <w:t>g18906@att.com</w:t>
      </w:r>
      <w:r>
        <w:rPr>
          <w:rFonts w:ascii="Arial" w:cs="Arial" w:eastAsia="Arial" w:hAnsi="Arial"/>
          <w:sz w:val="18"/>
          <w:szCs w:val="18"/>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Previous Services for AT&amp;T</w:t>
      </w:r>
    </w:p>
    <w:p>
      <w:pPr>
        <w:spacing w:after="0" w:line="121"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Supplier will determine whether each individual who performs Services for AT&amp;T has performed Work as an employee or temporary worker for AT&amp;T, or any AT&amp;T Affiliate, in the six (6) months preceding the individual’s proposed commencement of Work for AT&amp;T. Supplier will provide AT&amp;T with written notice of any individuals who meet the foregoing criteria. AT&amp;T may require that Supplier provide another individual to perform the Work.</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Affordable Care Act</w:t>
      </w:r>
    </w:p>
    <w:p>
      <w:pPr>
        <w:spacing w:after="0" w:line="121" w:lineRule="exact"/>
        <w:rPr>
          <w:sz w:val="20"/>
          <w:szCs w:val="20"/>
          <w:color w:val="auto"/>
        </w:rPr>
      </w:pPr>
    </w:p>
    <w:p>
      <w:pPr>
        <w:ind w:left="700" w:right="640"/>
        <w:spacing w:after="0" w:line="291" w:lineRule="auto"/>
        <w:rPr>
          <w:sz w:val="20"/>
          <w:szCs w:val="20"/>
          <w:color w:val="auto"/>
        </w:rPr>
      </w:pPr>
      <w:r>
        <w:rPr>
          <w:rFonts w:ascii="Arial" w:cs="Arial" w:eastAsia="Arial" w:hAnsi="Arial"/>
          <w:sz w:val="16"/>
          <w:szCs w:val="16"/>
          <w:color w:val="auto"/>
        </w:rPr>
        <w:t>For purposes of the Affordable Care Act (ACA), and in particular for purposes of Section 4980H of the Internal Revenue Code of 1986, as amended, and the regulations thereunder, with respect to each individual provided by Supplier to work on AT&amp;T project(s) for at least thirty</w:t>
      </w:r>
    </w:p>
    <w:p>
      <w:pPr>
        <w:ind w:left="700" w:hanging="7"/>
        <w:spacing w:after="0" w:line="302" w:lineRule="auto"/>
        <w:tabs>
          <w:tab w:leader="none" w:pos="104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hours per week for at least ninety (90) days, whether consecutive or not, Supplier represents and warrants that it or one of its Subcontractors is the common law employer of such individual and shall be responsible for either providing healthcare coverage as required by the ACA (to the extent applicable) or for paying any Section 4980H assessable payments that may be required for failure to provide to such individual:</w:t>
      </w:r>
    </w:p>
    <w:p>
      <w:pPr>
        <w:spacing w:after="0" w:line="60" w:lineRule="exact"/>
        <w:rPr>
          <w:rFonts w:ascii="Arial" w:cs="Arial" w:eastAsia="Arial" w:hAnsi="Arial"/>
          <w:sz w:val="16"/>
          <w:szCs w:val="16"/>
          <w:color w:val="auto"/>
        </w:rPr>
      </w:pPr>
    </w:p>
    <w:p>
      <w:pPr>
        <w:ind w:left="1480" w:hanging="797"/>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health care coverage,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 affordable healthcare coverage,</w:t>
      </w:r>
    </w:p>
    <w:p>
      <w:pPr>
        <w:spacing w:after="0" w:line="117"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In no event will AT&amp;T be considered to be the common law employer of such individual for purposes of the ACA. Supplier is required to maintain for a period of ten (10) years from the effective date of the ACA Information to show compliance with the ACA notwithstanding any other provision in this Agreement to the contrary.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Supplier’s Audited Financial Statements</w:t>
      </w:r>
    </w:p>
    <w:p>
      <w:pPr>
        <w:spacing w:after="0" w:line="121" w:lineRule="exact"/>
        <w:rPr>
          <w:sz w:val="20"/>
          <w:szCs w:val="20"/>
          <w:color w:val="auto"/>
        </w:rPr>
      </w:pPr>
    </w:p>
    <w:p>
      <w:pPr>
        <w:ind w:left="700" w:right="40"/>
        <w:spacing w:after="0" w:line="293" w:lineRule="auto"/>
        <w:rPr>
          <w:sz w:val="20"/>
          <w:szCs w:val="20"/>
          <w:color w:val="auto"/>
        </w:rPr>
      </w:pPr>
      <w:r>
        <w:rPr>
          <w:rFonts w:ascii="Arial" w:cs="Arial" w:eastAsia="Arial" w:hAnsi="Arial"/>
          <w:sz w:val="16"/>
          <w:szCs w:val="16"/>
          <w:color w:val="auto"/>
        </w:rPr>
        <w:t>In the event that Supplier is not a publicly traded corporation, Supplier shall provide to AT&amp;T (or its third party delegate), upon request and at no charge, its bona fide and unedited audited fiscal year financial statements and other financial documents as reasonably requested by AT&amp;T to allow an assessment of Supplier’s financial condition. If Supplier is a subsidiary of, is owned by, has a majority of its interest held by, or is controlled by an entity (e.g., a parent company) that is not a publicly traded corporation, then Supplier shall furnish such documents for both Supplier and its owning, controlling or parent company. If Supplier is a subsidiary of, is owned by, has a majority of its interest held by, or is controlled by an entity (e.g., a parent company) that is a publicly traded corporation, then Supplier shall furnish publicly available documents regarding its parent company.</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color w:val="auto"/>
        </w:rPr>
        <w:t>Special Software Terms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Modifications</w:t>
      </w:r>
    </w:p>
    <w:p>
      <w:pPr>
        <w:spacing w:after="0" w:line="121"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AT&amp;T may alter, modify, add or make other changes to Custom Software provided hereunder at its own risk and expense or contract with third parties for such modifications. AT&amp;T shall notify such third parties of their non-disclosure obligations. The conditions and charges, if any, for Supplier support of such modifications shall be subject to separate agreement between AT&amp;T and Supplier. Supplier shall have no responsibility to warrant, maintain or support such modified portion of the Custom Software or any portion of the Custom Software that is adversely affected by such modification. Title to any such addition or modification shall remain with AT&amp;T.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Program Material</w:t>
      </w:r>
    </w:p>
    <w:p>
      <w:pPr>
        <w:spacing w:after="0" w:line="135" w:lineRule="exact"/>
        <w:rPr>
          <w:sz w:val="20"/>
          <w:szCs w:val="20"/>
          <w:color w:val="auto"/>
        </w:rPr>
      </w:pPr>
    </w:p>
    <w:p>
      <w:pPr>
        <w:ind w:left="1480" w:right="320" w:hanging="797"/>
        <w:spacing w:after="0" w:line="277" w:lineRule="auto"/>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At no additional cost, Supplier shall provide AT&amp;T with the Program Material. Supplier shall provide such Program Material no later than the originally scheduled Delivery Date.</w:t>
      </w:r>
    </w:p>
    <w:p>
      <w:pPr>
        <w:spacing w:after="0" w:line="75" w:lineRule="exact"/>
        <w:rPr>
          <w:rFonts w:ascii="Arial" w:cs="Arial" w:eastAsia="Arial" w:hAnsi="Arial"/>
          <w:sz w:val="18"/>
          <w:szCs w:val="18"/>
          <w:color w:val="auto"/>
        </w:rPr>
      </w:pPr>
    </w:p>
    <w:p>
      <w:pPr>
        <w:ind w:left="1480" w:right="700" w:hanging="797"/>
        <w:spacing w:after="0" w:line="308" w:lineRule="auto"/>
        <w:tabs>
          <w:tab w:leader="none" w:pos="14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AT&amp;T shall have the right to reproduce all Program Material and all machine-readable forms of the Custom Software. Any such reproductions shall include any copyright or similar proprietary notices contained in the items being reproduced.</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5"/>
          <w:szCs w:val="15"/>
          <w:b w:val="1"/>
          <w:bCs w:val="1"/>
          <w:color w:val="auto"/>
        </w:rPr>
        <w:t>Miscellaneous Provisions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Allowable Expenses</w:t>
      </w:r>
    </w:p>
    <w:p>
      <w:pPr>
        <w:spacing w:after="0" w:line="135" w:lineRule="exact"/>
        <w:rPr>
          <w:sz w:val="20"/>
          <w:szCs w:val="20"/>
          <w:color w:val="auto"/>
        </w:rPr>
      </w:pPr>
    </w:p>
    <w:p>
      <w:pPr>
        <w:ind w:left="1480" w:right="40" w:hanging="797"/>
        <w:spacing w:after="0" w:line="290" w:lineRule="auto"/>
        <w:tabs>
          <w:tab w:leader="none" w:pos="1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AT&amp;T is not responsible for any travel, meal or other business related expense incurred by Supplier whether or not incurred in its performance of its obligations under this Agreement, unless such expense complies with the requirements of AT&amp;T’s Vendor Expense Policy attached hereto and incorporated herein as Appendix H, and is not otherwise restricted under the terms of this Agreement or any applicable Order. Upon request by AT&amp;T, Supplier shall use commercially reasonable efforts to provide in a timely manner supporting documentation for any unusual or out of the ordinary expenses or in instances when the applicable AT&amp;T approver cannot make a reasonable determination on the propriety of the transaction without such documentation. The Parties further agree that for the purpose of determining when an expense is “incurred” pursuant to Section 2.1 of the Vendor Expense Policy, Supplier shall be deemed to incur such expense when the invoice or expense voucher for such expense is submitted to Supplier’s Accounts Payable department for payment.</w:t>
      </w:r>
    </w:p>
    <w:p>
      <w:pPr>
        <w:spacing w:after="0" w:line="71" w:lineRule="exact"/>
        <w:rPr>
          <w:rFonts w:ascii="Arial" w:cs="Arial" w:eastAsia="Arial" w:hAnsi="Arial"/>
          <w:sz w:val="16"/>
          <w:szCs w:val="16"/>
          <w:color w:val="auto"/>
        </w:rPr>
      </w:pPr>
    </w:p>
    <w:p>
      <w:pPr>
        <w:ind w:left="1480" w:hanging="797"/>
        <w:spacing w:after="0"/>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Additionally, the Parties agree as follows:</w:t>
      </w:r>
    </w:p>
    <w:p>
      <w:pPr>
        <w:spacing w:after="0" w:line="130" w:lineRule="exact"/>
        <w:rPr>
          <w:rFonts w:ascii="Arial" w:cs="Arial" w:eastAsia="Arial" w:hAnsi="Arial"/>
          <w:sz w:val="18"/>
          <w:szCs w:val="18"/>
          <w:color w:val="auto"/>
        </w:rPr>
      </w:pPr>
    </w:p>
    <w:p>
      <w:pPr>
        <w:ind w:left="2160" w:right="320" w:hanging="680"/>
        <w:spacing w:after="0" w:line="277" w:lineRule="auto"/>
        <w:tabs>
          <w:tab w:leader="none" w:pos="21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Travel and living expenses will not be paid for resources working at their primary work location or in the same metropolitan area as their primary work location.</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Travel and living expenses for all Orders shall be limited to [***], unless agreed otherwise by the Parties in a specific Order.</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Reporting</w:t>
      </w:r>
    </w:p>
    <w:p>
      <w:pPr>
        <w:spacing w:after="0" w:line="135" w:lineRule="exact"/>
        <w:rPr>
          <w:sz w:val="20"/>
          <w:szCs w:val="20"/>
          <w:color w:val="auto"/>
        </w:rPr>
      </w:pPr>
    </w:p>
    <w:p>
      <w:pPr>
        <w:ind w:left="1480" w:hanging="797"/>
        <w:spacing w:after="0"/>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work whether on a time and materials or fixed bid basis will be reported in a standard billing format to be agreed upon.</w:t>
      </w:r>
    </w:p>
    <w:p>
      <w:pPr>
        <w:spacing w:after="0" w:line="130" w:lineRule="exact"/>
        <w:rPr>
          <w:rFonts w:ascii="Arial" w:cs="Arial" w:eastAsia="Arial" w:hAnsi="Arial"/>
          <w:sz w:val="18"/>
          <w:szCs w:val="18"/>
          <w:color w:val="auto"/>
        </w:rPr>
      </w:pPr>
    </w:p>
    <w:p>
      <w:pPr>
        <w:ind w:left="1480" w:right="200" w:hanging="797"/>
        <w:spacing w:after="0" w:line="259" w:lineRule="auto"/>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Supplier will follow reasonable time reporting practices and guidelines, as specified and/or modified by AT&amp;T from time to time and agreed with Supplier, for all time and materials engagements and Projects. In time and materials Projects (and not fixed price Projects), Supplier shall describe hours worked reported by personnel level; new development versus maintenance; domestic/offshore hours by release item; and employee, the hours worked and time incurred.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40" w:hanging="797"/>
        <w:spacing w:after="0" w:line="297" w:lineRule="auto"/>
        <w:tabs>
          <w:tab w:leader="none" w:pos="14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For all AT&amp;T Technology Development time and materials Orders, Supplier resources will report time in AT&amp;T’s Cost Management Project Management (CMPM) application, or the then-current time reporting system, by[***] and all hours shall be reported by the [***] before the CMPM application closes. AT&amp;T will provide PMT codes for all assigned/requested work to allow for Amdocs resources to charge their time accordingly. In the event that a PMT is not available or has not been provided, AT&amp;T will provide an alternative PMT to use until the correct PMT can be identified at which point the hours will be moved over from the alternative to the correct PMT.</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Disaster Recovery and Business Continuity Plan:</w:t>
      </w:r>
    </w:p>
    <w:p>
      <w:pPr>
        <w:spacing w:after="0" w:line="135" w:lineRule="exact"/>
        <w:rPr>
          <w:sz w:val="20"/>
          <w:szCs w:val="20"/>
          <w:color w:val="auto"/>
        </w:rPr>
      </w:pPr>
    </w:p>
    <w:p>
      <w:pPr>
        <w:ind w:left="1480" w:right="100" w:hanging="797"/>
        <w:spacing w:after="0" w:line="259" w:lineRule="auto"/>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Supplier will provide a Disaster Recovery and Business Continuity Plan at all times during the term of this Agreement for their offshore operations associated with each Project and or Application that is assigned to them by AT&amp;T as set forth in Appendix J, “Disaster Recovery and Business Continuity Plan”. Such Disaster Recovery and Business Continuity Plan shall be reviewed and agreed upon with AT&amp;T.</w:t>
      </w:r>
    </w:p>
    <w:p>
      <w:pPr>
        <w:spacing w:after="0" w:line="92" w:lineRule="exact"/>
        <w:rPr>
          <w:rFonts w:ascii="Arial" w:cs="Arial" w:eastAsia="Arial" w:hAnsi="Arial"/>
          <w:sz w:val="18"/>
          <w:szCs w:val="18"/>
          <w:color w:val="auto"/>
        </w:rPr>
      </w:pPr>
    </w:p>
    <w:p>
      <w:pPr>
        <w:ind w:left="1480" w:hanging="797"/>
        <w:spacing w:after="0"/>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This should include, but not be limited to:</w:t>
      </w:r>
    </w:p>
    <w:p>
      <w:pPr>
        <w:spacing w:after="0" w:line="130" w:lineRule="exact"/>
        <w:rPr>
          <w:rFonts w:ascii="Arial" w:cs="Arial" w:eastAsia="Arial" w:hAnsi="Arial"/>
          <w:sz w:val="18"/>
          <w:szCs w:val="18"/>
          <w:color w:val="auto"/>
        </w:rPr>
      </w:pPr>
    </w:p>
    <w:p>
      <w:pPr>
        <w:ind w:left="2160" w:right="740" w:hanging="680"/>
        <w:spacing w:after="0" w:line="277" w:lineRule="auto"/>
        <w:tabs>
          <w:tab w:leader="none" w:pos="21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Demonstrate the existence of a recovery strategy, which is complimentary to AT&amp;T that is exercised with documented conclusions and recommended improvements.</w:t>
      </w:r>
    </w:p>
    <w:p>
      <w:pPr>
        <w:spacing w:after="0" w:line="75" w:lineRule="exact"/>
        <w:rPr>
          <w:rFonts w:ascii="Arial" w:cs="Arial" w:eastAsia="Arial" w:hAnsi="Arial"/>
          <w:sz w:val="18"/>
          <w:szCs w:val="18"/>
          <w:color w:val="auto"/>
        </w:rPr>
      </w:pPr>
    </w:p>
    <w:p>
      <w:pPr>
        <w:ind w:left="2160" w:right="540" w:hanging="680"/>
        <w:spacing w:after="0" w:line="277" w:lineRule="auto"/>
        <w:tabs>
          <w:tab w:leader="none" w:pos="21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Ensure that failover processes and procedures are in place to support AT&amp;T applications and these failover processes and procedures are exercised annually (at a minimum).</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Ensure that adequate communication documents, processes, and procedures are readily available and kept up to date.</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Clauses Applicable to Call Center Work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event an Order involves Call Center Work, the following clauses shall apply.</w:t>
      </w:r>
    </w:p>
    <w:p>
      <w:pPr>
        <w:spacing w:after="0" w:line="127" w:lineRule="exact"/>
        <w:rPr>
          <w:sz w:val="20"/>
          <w:szCs w:val="20"/>
          <w:color w:val="auto"/>
        </w:rPr>
      </w:pPr>
    </w:p>
    <w:p>
      <w:pPr>
        <w:ind w:left="1480" w:hanging="797"/>
        <w:spacing w:after="0"/>
        <w:tabs>
          <w:tab w:leader="none" w:pos="148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AT&amp;T Clean Desk Policy</w:t>
      </w:r>
    </w:p>
    <w:p>
      <w:pPr>
        <w:spacing w:after="0" w:line="121" w:lineRule="exact"/>
        <w:rPr>
          <w:rFonts w:ascii="Arial" w:cs="Arial" w:eastAsia="Arial" w:hAnsi="Arial"/>
          <w:sz w:val="18"/>
          <w:szCs w:val="18"/>
          <w:color w:val="auto"/>
        </w:rPr>
      </w:pPr>
    </w:p>
    <w:p>
      <w:pPr>
        <w:ind w:left="1500" w:right="80"/>
        <w:spacing w:after="0" w:line="264" w:lineRule="auto"/>
        <w:rPr>
          <w:rFonts w:ascii="Arial" w:cs="Arial" w:eastAsia="Arial" w:hAnsi="Arial"/>
          <w:sz w:val="18"/>
          <w:szCs w:val="18"/>
          <w:color w:val="auto"/>
        </w:rPr>
      </w:pPr>
      <w:r>
        <w:rPr>
          <w:rFonts w:ascii="Arial" w:cs="Arial" w:eastAsia="Arial" w:hAnsi="Arial"/>
          <w:sz w:val="18"/>
          <w:szCs w:val="18"/>
          <w:color w:val="auto"/>
        </w:rPr>
        <w:t>AT&amp;T data, records, and customer information must always be protected from unauthorized access, use or disclosure. Additional protections or exceptions mandated by unique circumstances with appropriate approvals may be added to this Standard Policy by mutual agreement of the Parties per individual order.</w:t>
      </w:r>
    </w:p>
    <w:p>
      <w:pPr>
        <w:spacing w:after="0" w:line="73" w:lineRule="exact"/>
        <w:rPr>
          <w:rFonts w:ascii="Arial" w:cs="Arial" w:eastAsia="Arial" w:hAnsi="Arial"/>
          <w:sz w:val="18"/>
          <w:szCs w:val="18"/>
          <w:color w:val="auto"/>
        </w:rPr>
      </w:pPr>
    </w:p>
    <w:p>
      <w:pPr>
        <w:ind w:left="1500" w:right="120"/>
        <w:spacing w:after="0" w:line="259" w:lineRule="auto"/>
        <w:rPr>
          <w:rFonts w:ascii="Arial" w:cs="Arial" w:eastAsia="Arial" w:hAnsi="Arial"/>
          <w:sz w:val="18"/>
          <w:szCs w:val="18"/>
          <w:color w:val="auto"/>
        </w:rPr>
      </w:pPr>
      <w:r>
        <w:rPr>
          <w:rFonts w:ascii="Arial" w:cs="Arial" w:eastAsia="Arial" w:hAnsi="Arial"/>
          <w:sz w:val="18"/>
          <w:szCs w:val="18"/>
          <w:color w:val="auto"/>
        </w:rPr>
        <w:t>Supplier shall take all necessary steps to ensure that no Supplier person who has access to AT&amp;T data, records, or information regarding any AT&amp;T customer (“Agent”) has the ability to record any AT&amp;T customer information either via written, electronic or any other instrumentation. Accordingly, in all areas where AT&amp;T data, records or information regarding AT&amp;T customers is accessible or viewable, Suppliers must ensure the following:</w:t>
      </w:r>
    </w:p>
    <w:p>
      <w:pPr>
        <w:spacing w:after="0" w:line="92" w:lineRule="exact"/>
        <w:rPr>
          <w:rFonts w:ascii="Arial" w:cs="Arial" w:eastAsia="Arial" w:hAnsi="Arial"/>
          <w:sz w:val="18"/>
          <w:szCs w:val="18"/>
          <w:color w:val="auto"/>
        </w:rPr>
      </w:pPr>
    </w:p>
    <w:p>
      <w:pPr>
        <w:ind w:left="2160" w:hanging="680"/>
        <w:spacing w:after="0"/>
        <w:tabs>
          <w:tab w:leader="none" w:pos="216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Supplier shall ensure that all Agents are prevented access to any writing instruments or paper of any kind, within reason.</w:t>
      </w:r>
    </w:p>
    <w:p>
      <w:pPr>
        <w:spacing w:after="0" w:line="142" w:lineRule="exact"/>
        <w:rPr>
          <w:rFonts w:ascii="Arial" w:cs="Arial" w:eastAsia="Arial" w:hAnsi="Arial"/>
          <w:sz w:val="17"/>
          <w:szCs w:val="17"/>
          <w:color w:val="auto"/>
        </w:rPr>
      </w:pPr>
    </w:p>
    <w:p>
      <w:pPr>
        <w:ind w:left="2160" w:right="20" w:hanging="680"/>
        <w:spacing w:after="0" w:line="264" w:lineRule="auto"/>
        <w:tabs>
          <w:tab w:leader="none" w:pos="21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Electronic devices that may be used to record video, take photographs or otherwise communicate information (examples include but are not limited to, mobile phones, blue tooth devices, e-Readers, gaming devices, wearable electronics, personal tablets or laptops) are prohibited.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340" w:hanging="680"/>
        <w:spacing w:after="0" w:line="257" w:lineRule="auto"/>
        <w:tabs>
          <w:tab w:leader="none" w:pos="1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Notes displaying sensitive information such as user ID’s, passwords, customer account numbers, or other sensitive personal information of AT&amp;T customers is strictly prohibited. AT&amp;T customer information must NEVER be written down, typed, recorded (voice or image) or transmitted. These prohibitions notwithstanding, Agents may type customer information into authorized AT&amp;T systems only where it is required; and Supplier shall record and retain customer calls and screen shots as required in accordance with the MSA and its Orders.</w:t>
      </w:r>
    </w:p>
    <w:p>
      <w:pPr>
        <w:spacing w:after="0" w:line="93" w:lineRule="exact"/>
        <w:rPr>
          <w:rFonts w:ascii="Arial" w:cs="Arial" w:eastAsia="Arial" w:hAnsi="Arial"/>
          <w:sz w:val="18"/>
          <w:szCs w:val="18"/>
          <w:color w:val="auto"/>
        </w:rPr>
      </w:pPr>
    </w:p>
    <w:p>
      <w:pPr>
        <w:ind w:left="1480" w:right="140" w:hanging="680"/>
        <w:spacing w:after="0" w:line="277" w:lineRule="auto"/>
        <w:tabs>
          <w:tab w:leader="none" w:pos="1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Supplier shall disable all external storage ports (CDROM, DVD, or USB drives) from all Agents’ desktop or laptop computers that are used to access AT&amp;T systems or data.</w:t>
      </w:r>
    </w:p>
    <w:p>
      <w:pPr>
        <w:spacing w:after="0" w:line="75" w:lineRule="exact"/>
        <w:rPr>
          <w:rFonts w:ascii="Arial" w:cs="Arial" w:eastAsia="Arial" w:hAnsi="Arial"/>
          <w:sz w:val="18"/>
          <w:szCs w:val="18"/>
          <w:color w:val="auto"/>
        </w:rPr>
      </w:pPr>
    </w:p>
    <w:p>
      <w:pPr>
        <w:ind w:left="1480" w:right="40" w:hanging="680"/>
        <w:spacing w:after="0" w:line="279" w:lineRule="auto"/>
        <w:tabs>
          <w:tab w:leader="none" w:pos="14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For all desktop, laptop or tablet computers that are used by Agents to access AT&amp;T systems or data, Supplier shall block access to all internet sites except those approved for use by AT&amp;T. Additionally, access to any websites that allow for webmail, file sharing, data storage, or online notepad capabilities (examples: gmail, yahoo mail, dropbox, one drive, etc.) is prohibited on any desktop or laptop computer that is used by Agents to access AT&amp;T systems or data.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Additionally, the following procedures must also be in place:</w:t>
      </w:r>
    </w:p>
    <w:p>
      <w:pPr>
        <w:spacing w:after="0" w:line="131" w:lineRule="exact"/>
        <w:rPr>
          <w:sz w:val="20"/>
          <w:szCs w:val="20"/>
          <w:color w:val="auto"/>
        </w:rPr>
      </w:pPr>
    </w:p>
    <w:p>
      <w:pPr>
        <w:ind w:left="1480" w:hanging="680"/>
        <w:spacing w:after="0"/>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Clear fax machines, printers and copiers of any AT&amp;T data, records or customer information immediately</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Agents shall lock desktop and /laptop computers when leaving their station for any period of time</w:t>
      </w:r>
    </w:p>
    <w:p>
      <w:pPr>
        <w:spacing w:after="0" w:line="130" w:lineRule="exact"/>
        <w:rPr>
          <w:rFonts w:ascii="Arial" w:cs="Arial" w:eastAsia="Arial" w:hAnsi="Arial"/>
          <w:sz w:val="18"/>
          <w:szCs w:val="18"/>
          <w:color w:val="auto"/>
        </w:rPr>
      </w:pPr>
    </w:p>
    <w:p>
      <w:pPr>
        <w:ind w:left="1480" w:right="240" w:hanging="680"/>
        <w:spacing w:after="0" w:line="277" w:lineRule="auto"/>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Laptops and tablets that allow for access to AT&amp;T data, records, or customer information must be physically secured in place and may not be removed from the Supplier location</w:t>
      </w:r>
    </w:p>
    <w:p>
      <w:pPr>
        <w:spacing w:after="0" w:line="75" w:lineRule="exact"/>
        <w:rPr>
          <w:rFonts w:ascii="Arial" w:cs="Arial" w:eastAsia="Arial" w:hAnsi="Arial"/>
          <w:sz w:val="18"/>
          <w:szCs w:val="18"/>
          <w:color w:val="auto"/>
        </w:rPr>
      </w:pPr>
    </w:p>
    <w:p>
      <w:pPr>
        <w:ind w:left="1480" w:right="140" w:hanging="680"/>
        <w:spacing w:after="0" w:line="277" w:lineRule="auto"/>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Supplier shall physically secure any area where AT&amp;T data, records or customer information is accessible to prevent access by unauthorized persons.</w:t>
      </w:r>
    </w:p>
    <w:p>
      <w:pPr>
        <w:spacing w:after="0" w:line="62" w:lineRule="exact"/>
        <w:rPr>
          <w:sz w:val="20"/>
          <w:szCs w:val="20"/>
          <w:color w:val="auto"/>
        </w:rPr>
      </w:pPr>
    </w:p>
    <w:p>
      <w:pPr>
        <w:jc w:val="both"/>
        <w:ind w:left="820" w:right="220"/>
        <w:spacing w:after="0" w:line="264" w:lineRule="auto"/>
        <w:rPr>
          <w:sz w:val="20"/>
          <w:szCs w:val="20"/>
          <w:color w:val="auto"/>
        </w:rPr>
      </w:pPr>
      <w:r>
        <w:rPr>
          <w:rFonts w:ascii="Arial" w:cs="Arial" w:eastAsia="Arial" w:hAnsi="Arial"/>
          <w:sz w:val="18"/>
          <w:szCs w:val="18"/>
          <w:color w:val="auto"/>
        </w:rPr>
        <w:t>Supplier shall perform routine inspections to be completed no less than [***] to ensure adherence to these processes. If any inspection shows non-compliance with the processes as outlined herein, Supplier shall promptly take all actions necessary to immediately comply and shall bear the cost thereof.</w:t>
      </w:r>
    </w:p>
    <w:p>
      <w:pPr>
        <w:spacing w:after="0" w:line="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AT&amp;T Clean Desk Audits may be conducted as needed and at AT&amp;T’s sole discretion without advance notice.</w:t>
      </w:r>
    </w:p>
    <w:p>
      <w:pPr>
        <w:spacing w:after="0" w:line="127" w:lineRule="exact"/>
        <w:rPr>
          <w:sz w:val="20"/>
          <w:szCs w:val="20"/>
          <w:color w:val="auto"/>
        </w:rPr>
      </w:pPr>
    </w:p>
    <w:p>
      <w:pPr>
        <w:ind w:left="800" w:hanging="797"/>
        <w:spacing w:after="0"/>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Customer Protection Policy</w:t>
      </w:r>
    </w:p>
    <w:p>
      <w:pPr>
        <w:spacing w:after="0" w:line="134" w:lineRule="exact"/>
        <w:rPr>
          <w:rFonts w:ascii="Arial" w:cs="Arial" w:eastAsia="Arial" w:hAnsi="Arial"/>
          <w:sz w:val="18"/>
          <w:szCs w:val="18"/>
          <w:color w:val="auto"/>
        </w:rPr>
      </w:pPr>
    </w:p>
    <w:p>
      <w:pPr>
        <w:ind w:left="1480" w:right="20" w:hanging="680"/>
        <w:spacing w:after="0" w:line="257" w:lineRule="auto"/>
        <w:tabs>
          <w:tab w:leader="none" w:pos="14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In addition to the reporting and notification requirements contained elsewhere in this Agreement, Supplier also agrees to take all appropriate steps to prevent and respond to these specific type of Incidents involving the mistreatment of AT&amp;T’s customers. To protect AT&amp;T’s customers, as well as AT&amp;T, its Affiliates and its services, from the effects of such mistreatment, Supplier will not permit any of its Customer Service Representatives (CSRs) or other employees (e.g., trainers, supervisors) to engage in any of the following actions:</w:t>
      </w:r>
    </w:p>
    <w:p>
      <w:pPr>
        <w:spacing w:after="0" w:line="11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40"/>
          </w:cols>
          <w:pgMar w:left="920" w:top="27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760" w:hanging="791"/>
        <w:spacing w:after="0"/>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Using vulgar, offensive, abusive, or sexually oriented language in communications with Customers.</w:t>
      </w:r>
    </w:p>
    <w:p>
      <w:pPr>
        <w:spacing w:after="0" w:line="130" w:lineRule="exact"/>
        <w:rPr>
          <w:rFonts w:ascii="Arial" w:cs="Arial" w:eastAsia="Arial" w:hAnsi="Arial"/>
          <w:sz w:val="18"/>
          <w:szCs w:val="18"/>
          <w:color w:val="auto"/>
        </w:rPr>
      </w:pPr>
    </w:p>
    <w:p>
      <w:pPr>
        <w:ind w:left="1760" w:right="360" w:hanging="791"/>
        <w:spacing w:after="0" w:line="277" w:lineRule="auto"/>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Making derogatory references to race, color, religion, national origin, sex, age, sexual orientation, marital status, veteran’s status or disability in communications with Customers.</w:t>
      </w:r>
    </w:p>
    <w:p>
      <w:pPr>
        <w:spacing w:after="0" w:line="75" w:lineRule="exact"/>
        <w:rPr>
          <w:rFonts w:ascii="Arial" w:cs="Arial" w:eastAsia="Arial" w:hAnsi="Arial"/>
          <w:sz w:val="18"/>
          <w:szCs w:val="18"/>
          <w:color w:val="auto"/>
        </w:rPr>
      </w:pPr>
    </w:p>
    <w:p>
      <w:pPr>
        <w:ind w:left="1760" w:right="680" w:hanging="791"/>
        <w:spacing w:after="0" w:line="277" w:lineRule="auto"/>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Yelling or screaming, making rude, argumentative, abrasive, or sarcastic comments in communications with Customers.</w:t>
      </w:r>
    </w:p>
    <w:p>
      <w:pPr>
        <w:spacing w:after="0" w:line="75" w:lineRule="exact"/>
        <w:rPr>
          <w:rFonts w:ascii="Arial" w:cs="Arial" w:eastAsia="Arial" w:hAnsi="Arial"/>
          <w:sz w:val="18"/>
          <w:szCs w:val="18"/>
          <w:color w:val="auto"/>
        </w:rPr>
      </w:pPr>
    </w:p>
    <w:p>
      <w:pPr>
        <w:ind w:left="1760" w:right="60" w:hanging="791"/>
        <w:spacing w:after="0" w:line="277" w:lineRule="auto"/>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Flirting or making social engagements with Customers or AT&amp;T representatives, including the exchange of personal email addresses.</w:t>
      </w:r>
    </w:p>
    <w:p>
      <w:pPr>
        <w:spacing w:after="0" w:line="75" w:lineRule="exact"/>
        <w:rPr>
          <w:rFonts w:ascii="Arial" w:cs="Arial" w:eastAsia="Arial" w:hAnsi="Arial"/>
          <w:sz w:val="18"/>
          <w:szCs w:val="18"/>
          <w:color w:val="auto"/>
        </w:rPr>
      </w:pPr>
    </w:p>
    <w:p>
      <w:pPr>
        <w:ind w:left="1760" w:hanging="791"/>
        <w:spacing w:after="0"/>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Intentional acts of call avoidance, including but not limited to:</w:t>
      </w:r>
    </w:p>
    <w:p>
      <w:pPr>
        <w:spacing w:after="0" w:line="130" w:lineRule="exact"/>
        <w:rPr>
          <w:rFonts w:ascii="Arial" w:cs="Arial" w:eastAsia="Arial" w:hAnsi="Arial"/>
          <w:sz w:val="18"/>
          <w:szCs w:val="18"/>
          <w:color w:val="auto"/>
        </w:rPr>
      </w:pPr>
    </w:p>
    <w:p>
      <w:pPr>
        <w:ind w:left="2440" w:hanging="674"/>
        <w:spacing w:after="0"/>
        <w:tabs>
          <w:tab w:leader="none" w:pos="244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Intentional disconnect of a Customer during a call.</w:t>
      </w:r>
    </w:p>
    <w:p>
      <w:pPr>
        <w:spacing w:after="0" w:line="130" w:lineRule="exact"/>
        <w:rPr>
          <w:rFonts w:ascii="Arial" w:cs="Arial" w:eastAsia="Arial" w:hAnsi="Arial"/>
          <w:sz w:val="18"/>
          <w:szCs w:val="18"/>
          <w:color w:val="auto"/>
        </w:rPr>
      </w:pPr>
    </w:p>
    <w:p>
      <w:pPr>
        <w:ind w:left="2440" w:hanging="674"/>
        <w:spacing w:after="0"/>
        <w:tabs>
          <w:tab w:leader="none" w:pos="244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Intentional transfer of a call back into the queue that the CSR is trained to handle.</w:t>
      </w:r>
    </w:p>
    <w:p>
      <w:pPr>
        <w:spacing w:after="0" w:line="130" w:lineRule="exact"/>
        <w:rPr>
          <w:rFonts w:ascii="Arial" w:cs="Arial" w:eastAsia="Arial" w:hAnsi="Arial"/>
          <w:sz w:val="18"/>
          <w:szCs w:val="18"/>
          <w:color w:val="auto"/>
        </w:rPr>
      </w:pPr>
    </w:p>
    <w:p>
      <w:pPr>
        <w:ind w:left="2440" w:right="540" w:hanging="674"/>
        <w:spacing w:after="0" w:line="277" w:lineRule="auto"/>
        <w:tabs>
          <w:tab w:leader="none" w:pos="244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Intentional dissemination of inaccurate information or troubleshooting steps in order to release a call without assisting the Customer.</w:t>
      </w:r>
    </w:p>
    <w:p>
      <w:pPr>
        <w:spacing w:after="0" w:line="75" w:lineRule="exact"/>
        <w:rPr>
          <w:rFonts w:ascii="Arial" w:cs="Arial" w:eastAsia="Arial" w:hAnsi="Arial"/>
          <w:sz w:val="18"/>
          <w:szCs w:val="18"/>
          <w:color w:val="auto"/>
        </w:rPr>
      </w:pPr>
    </w:p>
    <w:p>
      <w:pPr>
        <w:ind w:left="2440" w:hanging="674"/>
        <w:spacing w:after="0"/>
        <w:tabs>
          <w:tab w:leader="none" w:pos="244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Intentionally ignoring a Customer that has been presented to the CSR from a call queue.</w:t>
      </w:r>
    </w:p>
    <w:p>
      <w:pPr>
        <w:spacing w:after="0" w:line="130" w:lineRule="exact"/>
        <w:rPr>
          <w:rFonts w:ascii="Arial" w:cs="Arial" w:eastAsia="Arial" w:hAnsi="Arial"/>
          <w:sz w:val="18"/>
          <w:szCs w:val="18"/>
          <w:color w:val="auto"/>
        </w:rPr>
      </w:pPr>
    </w:p>
    <w:p>
      <w:pPr>
        <w:ind w:left="1760" w:right="20" w:hanging="791"/>
        <w:spacing w:after="0" w:line="277" w:lineRule="auto"/>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Intentionally abandoning a Customer on hold for an excessive period of time without providing a status update to the Customer.</w:t>
      </w:r>
    </w:p>
    <w:p>
      <w:pPr>
        <w:spacing w:after="0" w:line="75" w:lineRule="exact"/>
        <w:rPr>
          <w:rFonts w:ascii="Arial" w:cs="Arial" w:eastAsia="Arial" w:hAnsi="Arial"/>
          <w:sz w:val="18"/>
          <w:szCs w:val="18"/>
          <w:color w:val="auto"/>
        </w:rPr>
      </w:pPr>
    </w:p>
    <w:p>
      <w:pPr>
        <w:ind w:left="1760" w:hanging="791"/>
        <w:spacing w:after="0"/>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Refusing to escalate to a supervisor at the Customer’s request.</w:t>
      </w:r>
    </w:p>
    <w:p>
      <w:pPr>
        <w:spacing w:after="0" w:line="130" w:lineRule="exact"/>
        <w:rPr>
          <w:rFonts w:ascii="Arial" w:cs="Arial" w:eastAsia="Arial" w:hAnsi="Arial"/>
          <w:sz w:val="18"/>
          <w:szCs w:val="18"/>
          <w:color w:val="auto"/>
        </w:rPr>
      </w:pPr>
    </w:p>
    <w:p>
      <w:pPr>
        <w:ind w:left="1760" w:hanging="791"/>
        <w:spacing w:after="0"/>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Refusing to assist Customers with requests that the CSR is trained to handle.</w:t>
      </w:r>
    </w:p>
    <w:p>
      <w:pPr>
        <w:spacing w:after="0" w:line="130" w:lineRule="exact"/>
        <w:rPr>
          <w:rFonts w:ascii="Arial" w:cs="Arial" w:eastAsia="Arial" w:hAnsi="Arial"/>
          <w:sz w:val="18"/>
          <w:szCs w:val="18"/>
          <w:color w:val="auto"/>
        </w:rPr>
      </w:pPr>
    </w:p>
    <w:p>
      <w:pPr>
        <w:ind w:left="1760" w:right="320" w:hanging="791"/>
        <w:spacing w:after="0" w:line="264" w:lineRule="auto"/>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unauthorized access, release or use of confidential information, such as Customer account information. This shall include, but not be limited to, accessing a Customer’s email account without permission and/or creating a password for a Customer without authorization.</w:t>
      </w:r>
    </w:p>
    <w:p>
      <w:pPr>
        <w:spacing w:after="0" w:line="86" w:lineRule="exact"/>
        <w:rPr>
          <w:rFonts w:ascii="Arial" w:cs="Arial" w:eastAsia="Arial" w:hAnsi="Arial"/>
          <w:sz w:val="18"/>
          <w:szCs w:val="18"/>
          <w:color w:val="auto"/>
        </w:rPr>
      </w:pPr>
    </w:p>
    <w:p>
      <w:pPr>
        <w:ind w:left="1760" w:right="240" w:hanging="791"/>
        <w:spacing w:after="0" w:line="277" w:lineRule="auto"/>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Retaining, collecting, accessing, and/or using Customer information for reasons outside the scope of support of an Order.</w:t>
      </w:r>
    </w:p>
    <w:p>
      <w:pPr>
        <w:spacing w:after="0" w:line="75" w:lineRule="exact"/>
        <w:rPr>
          <w:rFonts w:ascii="Arial" w:cs="Arial" w:eastAsia="Arial" w:hAnsi="Arial"/>
          <w:sz w:val="18"/>
          <w:szCs w:val="18"/>
          <w:color w:val="auto"/>
        </w:rPr>
      </w:pPr>
    </w:p>
    <w:p>
      <w:pPr>
        <w:ind w:left="1760" w:hanging="791"/>
        <w:spacing w:after="0"/>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attempt to falsify AT&amp;T’s records or any record related to a Customer.</w:t>
      </w:r>
    </w:p>
    <w:p>
      <w:pPr>
        <w:spacing w:after="0" w:line="130" w:lineRule="exact"/>
        <w:rPr>
          <w:rFonts w:ascii="Arial" w:cs="Arial" w:eastAsia="Arial" w:hAnsi="Arial"/>
          <w:sz w:val="18"/>
          <w:szCs w:val="18"/>
          <w:color w:val="auto"/>
        </w:rPr>
      </w:pPr>
    </w:p>
    <w:p>
      <w:pPr>
        <w:ind w:left="1760" w:right="420" w:hanging="791"/>
        <w:spacing w:after="0" w:line="277" w:lineRule="auto"/>
        <w:tabs>
          <w:tab w:leader="none" w:pos="1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statements that intentionally misrepresent, or provide misleading information about, AT&amp;T or its products, pricing or promotions.</w:t>
      </w:r>
    </w:p>
    <w:p>
      <w:pPr>
        <w:spacing w:after="0" w:line="75" w:lineRule="exact"/>
        <w:rPr>
          <w:rFonts w:ascii="Arial" w:cs="Arial" w:eastAsia="Arial" w:hAnsi="Arial"/>
          <w:sz w:val="18"/>
          <w:szCs w:val="18"/>
          <w:color w:val="auto"/>
        </w:rPr>
      </w:pPr>
    </w:p>
    <w:p>
      <w:pPr>
        <w:jc w:val="both"/>
        <w:ind w:left="1760" w:right="260" w:hanging="791"/>
        <w:spacing w:after="0" w:line="312" w:lineRule="auto"/>
        <w:tabs>
          <w:tab w:leader="none" w:pos="176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Any intentional or reckless acts that create a risk of compromising the privacy of customer information, including failure to strictly comply with the “Clean Desk Policy,” as defined herein and in Appendix D, which requires that AT&amp;T Information be secured any time a CSR goes on a break or is away from the CSR’s work area.</w:t>
      </w:r>
    </w:p>
    <w:p>
      <w:pPr>
        <w:spacing w:after="0" w:line="52" w:lineRule="exact"/>
        <w:rPr>
          <w:rFonts w:ascii="Arial" w:cs="Arial" w:eastAsia="Arial" w:hAnsi="Arial"/>
          <w:sz w:val="16"/>
          <w:szCs w:val="16"/>
          <w:color w:val="auto"/>
        </w:rPr>
      </w:pPr>
    </w:p>
    <w:p>
      <w:pPr>
        <w:ind w:left="960" w:hanging="680"/>
        <w:spacing w:after="0" w:line="259" w:lineRule="auto"/>
        <w:tabs>
          <w:tab w:leader="none" w:pos="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Supplier shall submit a [***] report to AT&amp;T’s Vendor Manager identifying any instances where any of the prohibited conduct listed in Subsection a, of this Section occurred at a Supplier facility during the preceding month. Supplier shall deliver the report to AT&amp;T’s Vendor Manager on the [***], or on the next business day if the [***] day is a weekend or holiday. This report shall include: (i) the name of the facility where</w:t>
      </w:r>
    </w:p>
    <w:p>
      <w:pPr>
        <w:spacing w:after="0" w:line="11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20"/>
          </w:cols>
          <w:pgMar w:left="1440" w:top="274" w:right="239" w:bottom="1440" w:gutter="0" w:footer="0" w:header="0"/>
        </w:sectPr>
      </w:pPr>
    </w:p>
    <w:bookmarkStart w:id="192" w:name="page193"/>
    <w:bookmarkEnd w:id="192"/>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2160" w:right="180"/>
        <w:spacing w:after="0" w:line="264" w:lineRule="auto"/>
        <w:rPr>
          <w:sz w:val="20"/>
          <w:szCs w:val="20"/>
          <w:color w:val="auto"/>
        </w:rPr>
      </w:pPr>
      <w:r>
        <w:rPr>
          <w:rFonts w:ascii="Arial" w:cs="Arial" w:eastAsia="Arial" w:hAnsi="Arial"/>
          <w:sz w:val="18"/>
          <w:szCs w:val="18"/>
          <w:color w:val="auto"/>
        </w:rPr>
        <w:t>the Incident occurred; (ii) the date of the Incident; (iii) a brief description of the Incident; and (iv) a brief description of the action taken by Supplier to address the Incident. Supplier shall not identify individual CSRs by name or identification number in such reports.</w:t>
      </w:r>
    </w:p>
    <w:p>
      <w:pPr>
        <w:spacing w:after="0" w:line="87" w:lineRule="exact"/>
        <w:rPr>
          <w:sz w:val="20"/>
          <w:szCs w:val="20"/>
          <w:color w:val="auto"/>
        </w:rPr>
      </w:pPr>
    </w:p>
    <w:p>
      <w:pPr>
        <w:ind w:left="2160" w:right="20" w:hanging="680"/>
        <w:spacing w:after="0" w:line="291" w:lineRule="auto"/>
        <w:tabs>
          <w:tab w:leader="none" w:pos="21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Supplier and AT&amp;T agree that violations of this Customer Protection Policy will injure AT&amp;T’s relationships with its Customers and that the amount of such injury may be difficult to quantify. As a remedy for any such injury, Supplier and AT&amp;T agree that in the event that a Supplier CSR or other employee violates any of the above provisions of this Customer Protection Policy, Supplier shall pay to AT&amp;T liquidated damages in the amount of [***] for each such violation. A violation is one provision one time. Multiple violations are those violations of the same provision more than once or of multiple provisions one or more times. AT&amp;T will be entitled to collect this [***] under this Agreement. Such liquidated damages are not a penalty but rather represent a reasonable estimate of the damages that would occur from Supplier’s breach of the foregoing obligation.</w:t>
      </w:r>
    </w:p>
    <w:p>
      <w:pPr>
        <w:spacing w:after="0" w:line="72" w:lineRule="exact"/>
        <w:rPr>
          <w:rFonts w:ascii="Arial" w:cs="Arial" w:eastAsia="Arial" w:hAnsi="Arial"/>
          <w:sz w:val="16"/>
          <w:szCs w:val="16"/>
          <w:color w:val="auto"/>
        </w:rPr>
      </w:pPr>
    </w:p>
    <w:p>
      <w:pPr>
        <w:ind w:left="2160" w:right="120" w:hanging="680"/>
        <w:spacing w:after="0" w:line="264" w:lineRule="auto"/>
        <w:tabs>
          <w:tab w:leader="none" w:pos="2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order to protect its customers from further mistreatment in circumstances involving any of the behaviors that fall within the scope of Subsection b.i. of this Section, AT&amp;T may request that Supplier immediately remove a CSR or any other employee of Supplier (e.g. trainers, supervisors) from all AT&amp;T Programs.</w:t>
      </w:r>
    </w:p>
    <w:p>
      <w:pPr>
        <w:spacing w:after="0" w:line="86" w:lineRule="exact"/>
        <w:rPr>
          <w:rFonts w:ascii="Arial" w:cs="Arial" w:eastAsia="Arial" w:hAnsi="Arial"/>
          <w:sz w:val="18"/>
          <w:szCs w:val="18"/>
          <w:color w:val="auto"/>
        </w:rPr>
      </w:pPr>
    </w:p>
    <w:p>
      <w:pPr>
        <w:ind w:left="2160" w:right="200" w:hanging="680"/>
        <w:spacing w:after="0" w:line="277" w:lineRule="auto"/>
        <w:tabs>
          <w:tab w:leader="none" w:pos="2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Supplier shall be wholly responsible for accepting or rejecting a request to remove pursuant to Subsection b.iv. of this Section and for any other remedial measures related to the CSR or other employee of Supplier. [***].</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6"/>
          <w:szCs w:val="16"/>
          <w:b w:val="1"/>
          <w:bCs w:val="1"/>
          <w:color w:val="auto"/>
        </w:rPr>
        <w:t>Relationship Management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Relationship Management</w:t>
      </w:r>
    </w:p>
    <w:p>
      <w:pPr>
        <w:spacing w:after="0" w:line="135" w:lineRule="exact"/>
        <w:rPr>
          <w:sz w:val="20"/>
          <w:szCs w:val="20"/>
          <w:color w:val="auto"/>
        </w:rPr>
      </w:pPr>
    </w:p>
    <w:p>
      <w:pPr>
        <w:ind w:left="1480" w:right="40" w:hanging="797"/>
        <w:spacing w:after="0" w:line="259"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Parties shall approach the relationship with Supplier performing the Services in a close working relationship with AT&amp;T Technology Development, subject to Section 4.10, “Independent Contractor”, of this Agreement. Supplier will bring its expertise, knowledge and technology solutions to AT&amp;T Technology Development executive leadership, and shall work in concert with the AT&amp;T Technology Development organization in bringing solutions to AT&amp;T business units.</w:t>
      </w:r>
    </w:p>
    <w:p>
      <w:pPr>
        <w:spacing w:after="0" w:line="92" w:lineRule="exact"/>
        <w:rPr>
          <w:rFonts w:ascii="Arial" w:cs="Arial" w:eastAsia="Arial" w:hAnsi="Arial"/>
          <w:sz w:val="18"/>
          <w:szCs w:val="18"/>
          <w:color w:val="auto"/>
        </w:rPr>
      </w:pPr>
    </w:p>
    <w:p>
      <w:pPr>
        <w:ind w:left="1480" w:right="80" w:hanging="797"/>
        <w:spacing w:after="0" w:line="259"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Supplier will reasonably endeavor to solicit the active participation by AT&amp;T Global Supply Chain and AT&amp;T Technology Development representation, prior to presentation of Technology Development-related solutions to the AT&amp;T Business Unit, and Supplier will reasonably endeavor to include the AT&amp;T Global Supply Chain and AT&amp;T Technology Development representatives where appropriate in meetings with AT&amp;T business units.</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Proposed Projects</w:t>
      </w:r>
    </w:p>
    <w:p>
      <w:pPr>
        <w:spacing w:after="0" w:line="135" w:lineRule="exact"/>
        <w:rPr>
          <w:sz w:val="20"/>
          <w:szCs w:val="20"/>
          <w:color w:val="auto"/>
        </w:rPr>
      </w:pPr>
    </w:p>
    <w:p>
      <w:pPr>
        <w:ind w:left="1480" w:hanging="797"/>
        <w:spacing w:after="0" w:line="264" w:lineRule="auto"/>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Whenever AT&amp;T is considering contracting with Supplier for a proposed Project, AT&amp;T’s and Supplier’s Leadership representatives shall make reasonable efforts to meet or otherwise discuss the project. A draft describing the requirement of Software and the functionality required for such proposed Project may be prepared and submitted by AT&amp;T to Supplier.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193" w:name="page194"/>
    <w:bookmarkEnd w:id="193"/>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800" w:right="140"/>
        <w:spacing w:after="0" w:line="302" w:lineRule="auto"/>
        <w:rPr>
          <w:sz w:val="20"/>
          <w:szCs w:val="20"/>
          <w:color w:val="auto"/>
        </w:rPr>
      </w:pPr>
      <w:r>
        <w:rPr>
          <w:rFonts w:ascii="Arial" w:cs="Arial" w:eastAsia="Arial" w:hAnsi="Arial"/>
          <w:sz w:val="16"/>
          <w:szCs w:val="16"/>
          <w:color w:val="auto"/>
        </w:rPr>
        <w:t>Such description may include the name of the proposed Project, the name, address and telephone number of AT&amp;T’s Project Manager, any special time requirements for the proposed Project, the platform on which the Software is to operate and the programming language desired, any methods or criteria for testing the Software (in addition to or different from those specified elsewhere in this Agreement), and any other conditions which are significant to AT&amp;T in considering the assignment of such Project.</w:t>
      </w:r>
    </w:p>
    <w:p>
      <w:pPr>
        <w:spacing w:after="0" w:line="60" w:lineRule="exact"/>
        <w:rPr>
          <w:sz w:val="20"/>
          <w:szCs w:val="20"/>
          <w:color w:val="auto"/>
        </w:rPr>
      </w:pPr>
    </w:p>
    <w:p>
      <w:pPr>
        <w:jc w:val="both"/>
        <w:ind w:left="800" w:right="260" w:hanging="797"/>
        <w:spacing w:after="0" w:line="264" w:lineRule="auto"/>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Upon reasonable time to review the requirements, Supplier shall notify AT&amp;T as to whether Supplier will submit to AT&amp;T a Proposal Statement for the proposed Project. If Supplier elects to submit a Proposal Statement, it shall include, but not be limited to, each of the following items whenever such item is applicable to the Project:</w:t>
      </w:r>
    </w:p>
    <w:p>
      <w:pPr>
        <w:spacing w:after="0" w:line="86" w:lineRule="exact"/>
        <w:rPr>
          <w:rFonts w:ascii="Arial" w:cs="Arial" w:eastAsia="Arial" w:hAnsi="Arial"/>
          <w:sz w:val="18"/>
          <w:szCs w:val="18"/>
          <w:color w:val="auto"/>
        </w:rPr>
      </w:pPr>
    </w:p>
    <w:p>
      <w:pPr>
        <w:ind w:left="1480" w:right="20" w:hanging="680"/>
        <w:spacing w:after="0" w:line="264" w:lineRule="auto"/>
        <w:tabs>
          <w:tab w:leader="none" w:pos="14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Supplier’s interpretation of the initial scope of the functional specifications based on Supplier’s knowledge of AT&amp;T’s technology direction, hardware, and software standards for such Project, and any Standard Software which will be used as a part of the Software, if applicable;</w:t>
      </w:r>
    </w:p>
    <w:p>
      <w:pPr>
        <w:spacing w:after="0" w:line="86" w:lineRule="exact"/>
        <w:rPr>
          <w:rFonts w:ascii="Arial" w:cs="Arial" w:eastAsia="Arial" w:hAnsi="Arial"/>
          <w:sz w:val="18"/>
          <w:szCs w:val="18"/>
          <w:color w:val="auto"/>
        </w:rPr>
      </w:pPr>
    </w:p>
    <w:p>
      <w:pPr>
        <w:ind w:left="1480" w:right="380" w:hanging="680"/>
        <w:spacing w:after="0" w:line="277" w:lineRule="auto"/>
        <w:tabs>
          <w:tab w:leader="none" w:pos="14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Supplier’s license fees, and maintenance support fees, for any Standard Software which may be included in the Software, if applicable;</w:t>
      </w:r>
    </w:p>
    <w:p>
      <w:pPr>
        <w:spacing w:after="0" w:line="75" w:lineRule="exact"/>
        <w:rPr>
          <w:rFonts w:ascii="Arial" w:cs="Arial" w:eastAsia="Arial" w:hAnsi="Arial"/>
          <w:sz w:val="18"/>
          <w:szCs w:val="18"/>
          <w:color w:val="auto"/>
        </w:rPr>
      </w:pPr>
    </w:p>
    <w:p>
      <w:pPr>
        <w:ind w:left="1480" w:right="220" w:hanging="680"/>
        <w:spacing w:after="0" w:line="259" w:lineRule="auto"/>
        <w:tabs>
          <w:tab w:leader="none" w:pos="14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Supplier’s estimate of the costs for the development of the Custom Software. Such estimate shall be in sufficient detail that AT&amp;T may readily determine the costs applicable to the computer environment, Services, labor time and Material. Such estimate shall provide either (i) a fixed fee, or (ii) an express statement that Supplier proposes to accomplish the development work on a time and charges basis; and</w:t>
      </w:r>
    </w:p>
    <w:p>
      <w:pPr>
        <w:spacing w:after="0" w:line="92" w:lineRule="exact"/>
        <w:rPr>
          <w:rFonts w:ascii="Arial" w:cs="Arial" w:eastAsia="Arial" w:hAnsi="Arial"/>
          <w:sz w:val="18"/>
          <w:szCs w:val="18"/>
          <w:color w:val="auto"/>
        </w:rPr>
      </w:pPr>
    </w:p>
    <w:p>
      <w:pPr>
        <w:ind w:left="1480" w:hanging="680"/>
        <w:spacing w:after="0"/>
        <w:tabs>
          <w:tab w:leader="none" w:pos="14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anticipated Delivery Date for the Software.</w:t>
      </w:r>
    </w:p>
    <w:p>
      <w:pPr>
        <w:spacing w:after="0" w:line="130" w:lineRule="exact"/>
        <w:rPr>
          <w:rFonts w:ascii="Arial" w:cs="Arial" w:eastAsia="Arial" w:hAnsi="Arial"/>
          <w:sz w:val="18"/>
          <w:szCs w:val="18"/>
          <w:color w:val="auto"/>
        </w:rPr>
      </w:pPr>
    </w:p>
    <w:p>
      <w:pPr>
        <w:ind w:left="800" w:right="120" w:hanging="797"/>
        <w:spacing w:after="0" w:line="264" w:lineRule="auto"/>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proposals shall include a breakdown of the estimated hours and expenses, where applicable. Estimates are provided based upon then-current information, and factors arising during the preparation of the Order may necessitate proposed changes in resource estimates and/or expenses.</w:t>
      </w:r>
    </w:p>
    <w:p>
      <w:pPr>
        <w:spacing w:after="0" w:line="86" w:lineRule="exact"/>
        <w:rPr>
          <w:rFonts w:ascii="Arial" w:cs="Arial" w:eastAsia="Arial" w:hAnsi="Arial"/>
          <w:sz w:val="18"/>
          <w:szCs w:val="18"/>
          <w:color w:val="auto"/>
        </w:rPr>
      </w:pPr>
    </w:p>
    <w:p>
      <w:pPr>
        <w:ind w:left="800" w:right="480" w:hanging="797"/>
        <w:spacing w:after="0" w:line="277" w:lineRule="auto"/>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such Proposal Statement shall be subject to AT&amp;T’s written acceptance, and any such Proposal Statement may be modified as agreed by the Parties prior to placing an Order for Services.</w:t>
      </w:r>
    </w:p>
    <w:p>
      <w:pPr>
        <w:spacing w:after="0" w:line="75" w:lineRule="exact"/>
        <w:rPr>
          <w:rFonts w:ascii="Arial" w:cs="Arial" w:eastAsia="Arial" w:hAnsi="Arial"/>
          <w:sz w:val="18"/>
          <w:szCs w:val="18"/>
          <w:color w:val="auto"/>
        </w:rPr>
      </w:pPr>
    </w:p>
    <w:p>
      <w:pPr>
        <w:ind w:left="800" w:right="160" w:hanging="797"/>
        <w:spacing w:after="0" w:line="264" w:lineRule="auto"/>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Within a reasonable time after receiving Supplier’s written Proposal Statement covering any proposed Project, AT&amp;T shall notify Supplier in writing of AT&amp;T’s acceptance or rejection of such Proposal Statement. AT&amp;T shall also identify any requirements that have not already been addressed by Supplier in the Proposal Statement.</w:t>
      </w:r>
    </w:p>
    <w:p>
      <w:pPr>
        <w:spacing w:after="0" w:line="86" w:lineRule="exact"/>
        <w:rPr>
          <w:rFonts w:ascii="Arial" w:cs="Arial" w:eastAsia="Arial" w:hAnsi="Arial"/>
          <w:sz w:val="18"/>
          <w:szCs w:val="18"/>
          <w:color w:val="auto"/>
        </w:rPr>
      </w:pPr>
    </w:p>
    <w:p>
      <w:pPr>
        <w:ind w:left="800" w:right="80" w:hanging="797"/>
        <w:spacing w:after="0" w:line="279" w:lineRule="auto"/>
        <w:tabs>
          <w:tab w:leader="none" w:pos="8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If the Proposal Statement is accepted, the Parties shall prepare an Order for Software and/or Services substantially similar to Appendices XX or YY, as applicable. Unless otherwise agreed in the Order, AT&amp;T shall incur no obligation, cost, or expense as a result of Supplier’s preparation of a Proposal Statement or AT&amp;T’s rejection of same. Supplier shall have no Liability in connection with (i) a Proposal Statement; (ii) an Order unless executed by both Parties; or (iii) rejection of a draft Order.</w:t>
      </w:r>
    </w:p>
    <w:p>
      <w:pPr>
        <w:spacing w:after="0" w:line="76" w:lineRule="exact"/>
        <w:rPr>
          <w:rFonts w:ascii="Arial" w:cs="Arial" w:eastAsia="Arial" w:hAnsi="Arial"/>
          <w:sz w:val="17"/>
          <w:szCs w:val="17"/>
          <w:color w:val="auto"/>
        </w:rPr>
      </w:pPr>
    </w:p>
    <w:p>
      <w:pPr>
        <w:ind w:left="800" w:hanging="797"/>
        <w:spacing w:after="0"/>
        <w:tabs>
          <w:tab w:leader="none" w:pos="8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AT&amp;T shall have no obligation under this Agreement to compensate Supplier for any Services rendered absent the execution of an Order.</w:t>
      </w:r>
    </w:p>
    <w:p>
      <w:pPr>
        <w:spacing w:after="0" w:line="17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40"/>
          </w:cols>
          <w:pgMar w:left="920" w:top="274"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680" w:hanging="797"/>
        <w:spacing w:after="0" w:line="277"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When such an Order is executed by AT&amp;T and Supplier, Supplier shall proceed to develop such Custom Software or provide the applicable Services, in compliance with the Specifications contained within such Order.</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Project Management</w:t>
      </w:r>
    </w:p>
    <w:p>
      <w:pPr>
        <w:spacing w:after="0" w:line="135" w:lineRule="exact"/>
        <w:rPr>
          <w:sz w:val="20"/>
          <w:szCs w:val="20"/>
          <w:color w:val="auto"/>
        </w:rPr>
      </w:pPr>
    </w:p>
    <w:p>
      <w:pPr>
        <w:ind w:left="1480" w:right="40" w:hanging="797"/>
        <w:spacing w:after="0" w:line="259" w:lineRule="auto"/>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Supplier and AT&amp;T shall each designate a Project Manager, and shall identify those individuals on the Order. The Project Managers shall act as the primary interface between the Parties during the development of Software and Delivery of Services by Supplier. The Parties’ respective Project Managers shall be responsible for ensuring the continuity of communications between the Parties as the Project proceeds.</w:t>
      </w:r>
    </w:p>
    <w:p>
      <w:pPr>
        <w:spacing w:after="0" w:line="92" w:lineRule="exact"/>
        <w:rPr>
          <w:rFonts w:ascii="Arial" w:cs="Arial" w:eastAsia="Arial" w:hAnsi="Arial"/>
          <w:sz w:val="18"/>
          <w:szCs w:val="18"/>
          <w:color w:val="auto"/>
        </w:rPr>
      </w:pPr>
    </w:p>
    <w:p>
      <w:pPr>
        <w:ind w:left="1480" w:right="80" w:hanging="797"/>
        <w:spacing w:after="0" w:line="293" w:lineRule="auto"/>
        <w:tabs>
          <w:tab w:leader="none" w:pos="14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On a periodic basis during the development of Software, the Parties shall meet for Supplier to inform AT&amp;T of the Project status. Such meetings shall include each Party’s Project Manager as well as appropriate additional personnel, and where appropriate upon request, Supplier shall provide AT&amp;T at each such meeting with a written status report on the work being performed by Supplier. Alternatively, the Parties may elect to forego all, or some, of such meetings and may agree that Supplier may simply provide AT&amp;T with periodic written reports on the status of the projects being undertaken by Supplier under this Agreement and related Orders, including appropriate financial information. The frequency of meetings and status reports shall be determined by the Project Managers.</w:t>
      </w:r>
    </w:p>
    <w:p>
      <w:pPr>
        <w:spacing w:after="0" w:line="70" w:lineRule="exact"/>
        <w:rPr>
          <w:rFonts w:ascii="Arial" w:cs="Arial" w:eastAsia="Arial" w:hAnsi="Arial"/>
          <w:sz w:val="16"/>
          <w:szCs w:val="16"/>
          <w:color w:val="auto"/>
        </w:rPr>
      </w:pPr>
    </w:p>
    <w:p>
      <w:pPr>
        <w:ind w:left="1480" w:right="260" w:hanging="797"/>
        <w:spacing w:after="0" w:line="264" w:lineRule="auto"/>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AT&amp;T may inspect any work and all related data and Documentation being performed by Supplier, including work being performed at Supplier’s premises, upon reasonable prior notice. AT&amp;T shall conduct any such inspection in a manner which causes no delay or material disruption to the performance of the Project.</w:t>
      </w:r>
    </w:p>
    <w:p>
      <w:pPr>
        <w:spacing w:after="0" w:line="86" w:lineRule="exact"/>
        <w:rPr>
          <w:rFonts w:ascii="Arial" w:cs="Arial" w:eastAsia="Arial" w:hAnsi="Arial"/>
          <w:sz w:val="18"/>
          <w:szCs w:val="18"/>
          <w:color w:val="auto"/>
        </w:rPr>
      </w:pPr>
    </w:p>
    <w:p>
      <w:pPr>
        <w:jc w:val="both"/>
        <w:ind w:left="1480" w:right="20" w:hanging="797"/>
        <w:spacing w:after="0" w:line="279" w:lineRule="auto"/>
        <w:tabs>
          <w:tab w:leader="none" w:pos="14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Party shall notify the other in a timely fashion of any anticipated, or known, delay in the performance of any of its responsibilities and shall include all relevant information concerning the delay, or potential delay. Any delay by AT&amp;T shall increase any dependent Supplier deadline or milestone by a period at least equal to the amount of the AT&amp;T delay. In such event the Parties will employ the agreed change management protocols to document the resultant changes to the Project Plan and anticipated fees and expenses.</w:t>
      </w:r>
    </w:p>
    <w:p>
      <w:pPr>
        <w:spacing w:after="0" w:line="76" w:lineRule="exact"/>
        <w:rPr>
          <w:rFonts w:ascii="Arial" w:cs="Arial" w:eastAsia="Arial" w:hAnsi="Arial"/>
          <w:sz w:val="17"/>
          <w:szCs w:val="17"/>
          <w:color w:val="auto"/>
        </w:rPr>
      </w:pPr>
    </w:p>
    <w:p>
      <w:pPr>
        <w:ind w:left="1480" w:right="180" w:hanging="797"/>
        <w:spacing w:after="0" w:line="312" w:lineRule="auto"/>
        <w:tabs>
          <w:tab w:leader="none" w:pos="14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Project change, which reflects a material change in price or schedule, must so specifically state in writing and be approved by both Parties in writing before a change is implemented by a Party. For avoidance of doubt, the changes agreed upon in writing between the Parties will be memorialized as an amendment to the applicable Order under which there is a material change to the Project.</w:t>
      </w:r>
    </w:p>
    <w:p>
      <w:pPr>
        <w:spacing w:after="0" w:line="52" w:lineRule="exact"/>
        <w:rPr>
          <w:rFonts w:ascii="Arial" w:cs="Arial" w:eastAsia="Arial" w:hAnsi="Arial"/>
          <w:sz w:val="16"/>
          <w:szCs w:val="16"/>
          <w:color w:val="auto"/>
        </w:rPr>
      </w:pPr>
    </w:p>
    <w:p>
      <w:pPr>
        <w:ind w:left="1480" w:right="20" w:hanging="797"/>
        <w:spacing w:after="0" w:line="272" w:lineRule="auto"/>
        <w:tabs>
          <w:tab w:leader="none" w:pos="14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 the event there is a dispute that will materially impact a Project that is not resolved by the Parties’ Project Managers, each Party shall be entitled to submit notice of the dispute to the other Party in writing, described in complete detail, and signed by an authorized representative of the disputing Party. Within fifteen (15) days after a Party receives a written description of the dispute, a meeting shall be conducted between the Parties’ respective account managers to resolve the dispute. If the dispute is not resolved within fifteen (15) days after the initial dispute resolution meeting, the dispute shall be escalated to the higher management levels of the respective organizations. If the issue is not resolved within thirty (30) days following the meeting at the management levels, the dispute may be escalated to executive leadership defined in Section 4.5, “Dispute Resolution”.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right="140" w:hanging="797"/>
        <w:spacing w:after="0" w:line="273" w:lineRule="auto"/>
        <w:tabs>
          <w:tab w:leader="none" w:pos="14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AT&amp;T, within [***] days after commencement of work by an individual provided by Supplier, determines, in its sole discretion, that the individual does not demonstrate the training or the skills to perform the services in a satisfactory fashion or is not performing the services in a professional, effective and efficient manner, the Parties’ Project Managers will attempt to resolve the matter within [***] days. If the Parties [***], Supplier shall [***]. In addition to the above remedies, if any Supplier OnGoing Support personnel are not performing to AT&amp;T’s reasonable satisfaction, the Parties shall attempt to resolve the problem within [***] days after the date on which AT&amp;T escalates the matter to Supplier’s Project Manager. [***] shall be [***].</w:t>
      </w:r>
    </w:p>
    <w:p>
      <w:pPr>
        <w:spacing w:after="0" w:line="83" w:lineRule="exact"/>
        <w:rPr>
          <w:rFonts w:ascii="Arial" w:cs="Arial" w:eastAsia="Arial" w:hAnsi="Arial"/>
          <w:sz w:val="17"/>
          <w:szCs w:val="17"/>
          <w:color w:val="auto"/>
        </w:rPr>
      </w:pPr>
    </w:p>
    <w:p>
      <w:pPr>
        <w:ind w:left="1480" w:right="80" w:hanging="797"/>
        <w:spacing w:after="0" w:line="270" w:lineRule="auto"/>
        <w:tabs>
          <w:tab w:leader="none" w:pos="14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 the event that Supplier subcontracts all or a portion of the Project to a Subcontractor the following will apply. Supplier shall notify AT&amp;T in advance of utilizing a Subcontractor in accordance with Section 3.44, “Work Done By Others”, and such Subcontractors shall be identified by company name and work location on the Order. AT&amp;T reserves the right to reasonably review and approve any or all Subcontractors used. Where required under the terms of the applicable Order, Supplier shall be responsible for all Acceptance testing including unit, chain, stress and end-to-end production validation as part of the Delivery of the Subcontractor’s Material and/or Services to Supplier and Supplier shall review and/or audit the activities and work product(s) of the Subcontractor for managing the Software subcontract and reporting results to AT&amp;T, in accordance with the Order. Notwithstanding the foregoing, Supplier will not be required to identify to AT&amp;T the name of a Subcontractor that is an Affiliate of Supplier, provided that Supplier will be responsible for performance by such Subcontractor as specified in this Section.</w:t>
      </w:r>
    </w:p>
    <w:p>
      <w:pPr>
        <w:spacing w:after="0" w:line="87" w:lineRule="exact"/>
        <w:rPr>
          <w:rFonts w:ascii="Arial" w:cs="Arial" w:eastAsia="Arial" w:hAnsi="Arial"/>
          <w:sz w:val="17"/>
          <w:szCs w:val="17"/>
          <w:color w:val="auto"/>
        </w:rPr>
      </w:pPr>
    </w:p>
    <w:p>
      <w:pPr>
        <w:ind w:left="1480" w:right="140" w:hanging="797"/>
        <w:spacing w:after="0" w:line="259" w:lineRule="auto"/>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Knowledge transfer to the AT&amp;T-named team is to be included as a part of every Project to the extent and in the manner specified in the applicable Order. This may include, but is not be limited to, design walkthroughs, detailed design reviews, test result walkthroughs, processing and job flow review, operational and architectural review, environment review and any other reasonable request at AT&amp;T’s sole discretion, and the appropriate documentation as provided by Supplier.</w:t>
      </w:r>
    </w:p>
    <w:p>
      <w:pPr>
        <w:spacing w:after="0" w:line="92" w:lineRule="exact"/>
        <w:rPr>
          <w:rFonts w:ascii="Arial" w:cs="Arial" w:eastAsia="Arial" w:hAnsi="Arial"/>
          <w:sz w:val="18"/>
          <w:szCs w:val="18"/>
          <w:color w:val="auto"/>
        </w:rPr>
      </w:pPr>
    </w:p>
    <w:p>
      <w:pPr>
        <w:jc w:val="both"/>
        <w:ind w:left="1480" w:right="220" w:hanging="797"/>
        <w:spacing w:after="0" w:line="312" w:lineRule="auto"/>
        <w:tabs>
          <w:tab w:leader="none" w:pos="14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required by AT&amp;T and specified in the Order, Supplier shall supply Project-related personnel for a post-termination transition period during which Supplier’s personnel remain on site, or available for consultation. The fees shall be no more than Supplier’s then-current standard rates, and the time frame for such a transition period shall be determined by AT&amp;T and specified in the Order.</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Hardware and Third Party Software Considerations</w:t>
      </w:r>
    </w:p>
    <w:p>
      <w:pPr>
        <w:spacing w:after="0" w:line="135" w:lineRule="exact"/>
        <w:rPr>
          <w:sz w:val="20"/>
          <w:szCs w:val="20"/>
          <w:color w:val="auto"/>
        </w:rPr>
      </w:pPr>
    </w:p>
    <w:p>
      <w:pPr>
        <w:ind w:left="1480" w:right="240" w:hanging="797"/>
        <w:spacing w:after="0" w:line="277" w:lineRule="auto"/>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AT&amp;T does not accept bundled Hardware and Software costs. Where a solution is proposed containing Hardware resale from Supplier, Supplier shall breakout the Hardware component.</w:t>
      </w:r>
    </w:p>
    <w:p>
      <w:pPr>
        <w:spacing w:after="0" w:line="75" w:lineRule="exact"/>
        <w:rPr>
          <w:rFonts w:ascii="Arial" w:cs="Arial" w:eastAsia="Arial" w:hAnsi="Arial"/>
          <w:sz w:val="18"/>
          <w:szCs w:val="18"/>
          <w:color w:val="auto"/>
        </w:rPr>
      </w:pPr>
    </w:p>
    <w:p>
      <w:pPr>
        <w:jc w:val="both"/>
        <w:ind w:left="1480" w:right="40" w:hanging="797"/>
        <w:spacing w:after="0" w:line="264" w:lineRule="auto"/>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Hardware and Third Party Software acquisitions by AT&amp;T through Supplier should either align with AT&amp;T’s corporate standards and strategic direction or be supported by an authorized Technology Strategies and Standards (“TSS”) exception, in either case as determined by AT&amp;T and as such determination is communicated to Supplier.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hanging="797"/>
        <w:spacing w:after="0"/>
        <w:tabs>
          <w:tab w:leader="none" w:pos="14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All Hardware and Third Party Software purchases by AT&amp;T through Supplier will be managed through its defined acquisition process.</w:t>
      </w:r>
    </w:p>
    <w:p>
      <w:pPr>
        <w:spacing w:after="0" w:line="153" w:lineRule="exact"/>
        <w:rPr>
          <w:rFonts w:ascii="Arial" w:cs="Arial" w:eastAsia="Arial" w:hAnsi="Arial"/>
          <w:sz w:val="16"/>
          <w:szCs w:val="16"/>
          <w:color w:val="auto"/>
        </w:rPr>
      </w:pPr>
    </w:p>
    <w:p>
      <w:pPr>
        <w:ind w:left="1480" w:right="40" w:hanging="797"/>
        <w:spacing w:after="0" w:line="264"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Except as otherwise agreed and provided in the Order, the terms and conditions governing the supply, warranty and maintenance, and other aspects of Hardware and Third Party Software purchases by AT&amp;T through Supplier will be the terms and conditions offered by the relevant manufacturer(s) or vendor(s).</w:t>
      </w:r>
    </w:p>
    <w:p>
      <w:pPr>
        <w:spacing w:after="0" w:line="86" w:lineRule="exact"/>
        <w:rPr>
          <w:rFonts w:ascii="Arial" w:cs="Arial" w:eastAsia="Arial" w:hAnsi="Arial"/>
          <w:sz w:val="18"/>
          <w:szCs w:val="18"/>
          <w:color w:val="auto"/>
        </w:rPr>
      </w:pPr>
    </w:p>
    <w:p>
      <w:pPr>
        <w:ind w:left="1480" w:right="260" w:hanging="797"/>
        <w:spacing w:after="0" w:line="277"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Supplier has, from time to time, reseller agreements with manufacturers and/or vendors of Hardware and Third Party Software. AT&amp;T may allow Supplier to submit bids to AT&amp;T to purchase such components through Supplier.</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6"/>
          <w:szCs w:val="16"/>
          <w:b w:val="1"/>
          <w:bCs w:val="1"/>
          <w:color w:val="auto"/>
        </w:rPr>
        <w:t>Execution of Agreement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Transmission of Original Signatures and Executing Multiple Counterparts</w:t>
      </w:r>
    </w:p>
    <w:p>
      <w:pPr>
        <w:spacing w:after="0" w:line="121"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Original signatures transmitted and received via facsimile or other electronic transmission of a scanned document (e.g., pdf or similar format) are true and valid signatures for all purposes hereunder and shall bind the Parties to the same extent as that of original signatures. This Agreement may be executed in multiple counterparts, each of which shall be deemed to constitute an original but all of which together shall constitute only one document.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CONTAINS A BINDING ARBITRATION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 WHICH MAY BE ENFORCED BY THE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360" w:type="dxa"/>
            <w:vAlign w:val="bottom"/>
          </w:tcPr>
          <w:p>
            <w:pPr>
              <w:spacing w:after="0"/>
              <w:rPr>
                <w:sz w:val="20"/>
                <w:szCs w:val="20"/>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b w:val="1"/>
                <w:bCs w:val="1"/>
                <w:color w:val="auto"/>
              </w:rPr>
              <w:t>AT&amp;T Services, Inc.</w:t>
            </w:r>
          </w:p>
        </w:tc>
      </w:tr>
      <w:tr>
        <w:trPr>
          <w:trHeight w:val="446"/>
        </w:trPr>
        <w:tc>
          <w:tcPr>
            <w:tcW w:w="7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Saeger</w:t>
            </w:r>
          </w:p>
        </w:tc>
        <w:tc>
          <w:tcPr>
            <w:tcW w:w="2360" w:type="dxa"/>
            <w:vAlign w:val="bottom"/>
            <w:tcBorders>
              <w:bottom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Deidre D. Byer</w:t>
            </w:r>
          </w:p>
        </w:tc>
      </w:tr>
      <w:tr>
        <w:trPr>
          <w:trHeight w:val="331"/>
        </w:trPr>
        <w:tc>
          <w:tcPr>
            <w:tcW w:w="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tcPr>
          <w:p>
            <w:pPr>
              <w:spacing w:after="0"/>
              <w:rPr>
                <w:sz w:val="20"/>
                <w:szCs w:val="20"/>
                <w:color w:val="auto"/>
              </w:rPr>
            </w:pPr>
            <w:r>
              <w:rPr>
                <w:rFonts w:ascii="Arial" w:cs="Arial" w:eastAsia="Arial" w:hAnsi="Arial"/>
                <w:sz w:val="18"/>
                <w:szCs w:val="18"/>
                <w:color w:val="auto"/>
              </w:rPr>
              <w:t>Michael Saeger</w:t>
            </w:r>
          </w:p>
        </w:tc>
        <w:tc>
          <w:tcPr>
            <w:tcW w:w="23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Deidre D. Byer</w:t>
            </w:r>
          </w:p>
        </w:tc>
      </w:tr>
      <w:tr>
        <w:trPr>
          <w:trHeight w:val="310"/>
        </w:trPr>
        <w:tc>
          <w:tcPr>
            <w:tcW w:w="72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2780" w:type="dxa"/>
            <w:vAlign w:val="bottom"/>
          </w:tcPr>
          <w:p>
            <w:pPr>
              <w:spacing w:after="0"/>
              <w:rPr>
                <w:sz w:val="20"/>
                <w:szCs w:val="20"/>
                <w:color w:val="auto"/>
              </w:rPr>
            </w:pPr>
            <w:r>
              <w:rPr>
                <w:rFonts w:ascii="Arial" w:cs="Arial" w:eastAsia="Arial" w:hAnsi="Arial"/>
                <w:sz w:val="18"/>
                <w:szCs w:val="18"/>
                <w:color w:val="auto"/>
              </w:rPr>
              <w:t>President and Secretary</w:t>
            </w:r>
          </w:p>
        </w:tc>
        <w:tc>
          <w:tcPr>
            <w:tcW w:w="23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Sr. Sourcing Manager,</w:t>
            </w:r>
          </w:p>
        </w:tc>
      </w:tr>
      <w:tr>
        <w:trPr>
          <w:trHeight w:val="230"/>
        </w:trPr>
        <w:tc>
          <w:tcPr>
            <w:tcW w:w="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Global Supply Chain</w:t>
            </w:r>
          </w:p>
        </w:tc>
      </w:tr>
      <w:tr>
        <w:trPr>
          <w:trHeight w:val="338"/>
        </w:trPr>
        <w:tc>
          <w:tcPr>
            <w:tcW w:w="7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780" w:type="dxa"/>
            <w:vAlign w:val="bottom"/>
          </w:tcPr>
          <w:p>
            <w:pPr>
              <w:spacing w:after="0"/>
              <w:rPr>
                <w:sz w:val="20"/>
                <w:szCs w:val="20"/>
                <w:color w:val="auto"/>
              </w:rPr>
            </w:pPr>
            <w:r>
              <w:rPr>
                <w:rFonts w:ascii="Arial" w:cs="Arial" w:eastAsia="Arial" w:hAnsi="Arial"/>
                <w:sz w:val="18"/>
                <w:szCs w:val="18"/>
                <w:color w:val="auto"/>
              </w:rPr>
              <w:t>2/28/2017</w:t>
            </w:r>
          </w:p>
        </w:tc>
        <w:tc>
          <w:tcPr>
            <w:tcW w:w="23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2/28/2017</w:t>
            </w:r>
          </w:p>
        </w:tc>
      </w:tr>
      <w:tr>
        <w:trPr>
          <w:trHeight w:val="365"/>
        </w:trPr>
        <w:tc>
          <w:tcPr>
            <w:tcW w:w="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920" w:type="dxa"/>
            <w:vAlign w:val="bottom"/>
            <w:gridSpan w:val="3"/>
          </w:tcPr>
          <w:p>
            <w:pPr>
              <w:ind w:left="1100"/>
              <w:spacing w:after="0"/>
              <w:rPr>
                <w:sz w:val="20"/>
                <w:szCs w:val="20"/>
                <w:color w:val="auto"/>
              </w:rPr>
            </w:pPr>
            <w:r>
              <w:rPr>
                <w:rFonts w:ascii="Arial" w:cs="Arial" w:eastAsia="Arial" w:hAnsi="Arial"/>
                <w:sz w:val="18"/>
                <w:szCs w:val="18"/>
                <w:b w:val="1"/>
                <w:bCs w:val="1"/>
                <w:color w:val="auto"/>
              </w:rPr>
              <w:t>Proprietary and Confidential</w:t>
            </w:r>
          </w:p>
        </w:tc>
      </w:tr>
    </w:tbl>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APPENDICES</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220"/>
          </w:cols>
          <w:pgMar w:left="1440" w:top="274"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 – Supplier’s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Supplier shall provide Services, if any, including any applicable deliverables, for the prices defined within this Appendix A.</w:t>
      </w:r>
    </w:p>
    <w:p>
      <w:pPr>
        <w:spacing w:after="0" w:line="127" w:lineRule="exact"/>
        <w:rPr>
          <w:sz w:val="20"/>
          <w:szCs w:val="20"/>
          <w:color w:val="auto"/>
        </w:rPr>
      </w:pPr>
    </w:p>
    <w:p>
      <w:pPr>
        <w:ind w:left="680" w:hanging="672"/>
        <w:spacing w:after="0"/>
        <w:tabs>
          <w:tab w:leader="none" w:pos="6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Job Classification Descriptions</w:t>
      </w:r>
    </w:p>
    <w:p>
      <w:pPr>
        <w:spacing w:after="0" w:line="117" w:lineRule="exact"/>
        <w:rPr>
          <w:rFonts w:ascii="Arial" w:cs="Arial" w:eastAsia="Arial" w:hAnsi="Arial"/>
          <w:sz w:val="18"/>
          <w:szCs w:val="18"/>
          <w:b w:val="1"/>
          <w:bCs w:val="1"/>
          <w:color w:val="auto"/>
        </w:rPr>
      </w:pPr>
    </w:p>
    <w:p>
      <w:pPr>
        <w:ind w:left="7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Senior Project Manager/Senior Team Lead</w:t>
      </w:r>
      <w:r>
        <w:rPr>
          <w:rFonts w:ascii="Arial" w:cs="Arial" w:eastAsia="Arial" w:hAnsi="Arial"/>
          <w:sz w:val="18"/>
          <w:szCs w:val="18"/>
          <w:color w:val="auto"/>
        </w:rPr>
        <w:t>: [***] or more years’ experience in information technology with at least [***] in a Project Manager or</w:t>
      </w:r>
      <w:r>
        <w:rPr>
          <w:rFonts w:ascii="Arial" w:cs="Arial" w:eastAsia="Arial" w:hAnsi="Arial"/>
          <w:sz w:val="18"/>
          <w:szCs w:val="18"/>
          <w:b w:val="1"/>
          <w:bCs w:val="1"/>
          <w:color w:val="auto"/>
        </w:rPr>
        <w:t xml:space="preserve"> </w:t>
      </w:r>
      <w:r>
        <w:rPr>
          <w:rFonts w:ascii="Arial" w:cs="Arial" w:eastAsia="Arial" w:hAnsi="Arial"/>
          <w:sz w:val="18"/>
          <w:szCs w:val="18"/>
          <w:color w:val="auto"/>
        </w:rPr>
        <w:t>Team Lead role. Proven ability to manage and lead projects of a large scale. Project Management Certification or Degree. Leadership and communication skills.</w:t>
      </w:r>
    </w:p>
    <w:p>
      <w:pPr>
        <w:spacing w:after="0" w:line="68" w:lineRule="exact"/>
        <w:rPr>
          <w:rFonts w:ascii="Arial" w:cs="Arial" w:eastAsia="Arial" w:hAnsi="Arial"/>
          <w:sz w:val="18"/>
          <w:szCs w:val="18"/>
          <w:b w:val="1"/>
          <w:bCs w:val="1"/>
          <w:color w:val="auto"/>
        </w:rPr>
      </w:pPr>
    </w:p>
    <w:p>
      <w:pPr>
        <w:jc w:val="both"/>
        <w:ind w:left="700" w:right="1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Project Manager/Team Leader</w:t>
      </w:r>
      <w:r>
        <w:rPr>
          <w:rFonts w:ascii="Arial" w:cs="Arial" w:eastAsia="Arial" w:hAnsi="Arial"/>
          <w:sz w:val="18"/>
          <w:szCs w:val="18"/>
          <w:color w:val="auto"/>
        </w:rPr>
        <w:t>: [***] or more years’ experience in information technology with at least [***]in a Project Manager or Team Lead</w:t>
      </w:r>
      <w:r>
        <w:rPr>
          <w:rFonts w:ascii="Arial" w:cs="Arial" w:eastAsia="Arial" w:hAnsi="Arial"/>
          <w:sz w:val="18"/>
          <w:szCs w:val="18"/>
          <w:b w:val="1"/>
          <w:bCs w:val="1"/>
          <w:color w:val="auto"/>
        </w:rPr>
        <w:t xml:space="preserve"> </w:t>
      </w:r>
      <w:r>
        <w:rPr>
          <w:rFonts w:ascii="Arial" w:cs="Arial" w:eastAsia="Arial" w:hAnsi="Arial"/>
          <w:sz w:val="18"/>
          <w:szCs w:val="18"/>
          <w:color w:val="auto"/>
        </w:rPr>
        <w:t>role. Supplier Certified as a specialist in at least two applications or systems areas relevant to the project. Demonstrated leadership experience, and solid communication skills; able to work independently and manage other employees.</w:t>
      </w:r>
    </w:p>
    <w:p>
      <w:pPr>
        <w:spacing w:after="0" w:line="68" w:lineRule="exact"/>
        <w:rPr>
          <w:rFonts w:ascii="Arial" w:cs="Arial" w:eastAsia="Arial" w:hAnsi="Arial"/>
          <w:sz w:val="18"/>
          <w:szCs w:val="18"/>
          <w:b w:val="1"/>
          <w:bCs w:val="1"/>
          <w:color w:val="auto"/>
        </w:rPr>
      </w:pPr>
    </w:p>
    <w:p>
      <w:pPr>
        <w:ind w:left="700" w:right="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Senior Developer /Analyst</w:t>
      </w:r>
      <w:r>
        <w:rPr>
          <w:rFonts w:ascii="Arial" w:cs="Arial" w:eastAsia="Arial" w:hAnsi="Arial"/>
          <w:sz w:val="18"/>
          <w:szCs w:val="18"/>
          <w:color w:val="auto"/>
        </w:rPr>
        <w:t>: [***] or more years’ programming or equivalent technical experience; good communication skills; application design</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Supplier Certified as a specialist in at least one application or system relevant to the project. Ability to create clear, concise and detailed design documents.</w:t>
      </w:r>
    </w:p>
    <w:p>
      <w:pPr>
        <w:spacing w:after="0" w:line="68" w:lineRule="exact"/>
        <w:rPr>
          <w:rFonts w:ascii="Arial" w:cs="Arial" w:eastAsia="Arial" w:hAnsi="Arial"/>
          <w:sz w:val="18"/>
          <w:szCs w:val="18"/>
          <w:b w:val="1"/>
          <w:bCs w:val="1"/>
          <w:color w:val="auto"/>
        </w:rPr>
      </w:pPr>
    </w:p>
    <w:p>
      <w:pPr>
        <w:ind w:left="700" w:right="1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Developer/Analyst</w:t>
      </w:r>
      <w:r>
        <w:rPr>
          <w:rFonts w:ascii="Arial" w:cs="Arial" w:eastAsia="Arial" w:hAnsi="Arial"/>
          <w:sz w:val="18"/>
          <w:szCs w:val="18"/>
          <w:color w:val="auto"/>
        </w:rPr>
        <w:t>: [***] or more years’ experience, program design and development experience; knowledge of applications or systems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project; ability to write documentation and conduct unit and system level tests.</w:t>
      </w:r>
    </w:p>
    <w:p>
      <w:pPr>
        <w:spacing w:after="0" w:line="53" w:lineRule="exact"/>
        <w:rPr>
          <w:rFonts w:ascii="Arial" w:cs="Arial" w:eastAsia="Arial" w:hAnsi="Arial"/>
          <w:sz w:val="18"/>
          <w:szCs w:val="18"/>
          <w:b w:val="1"/>
          <w:bCs w:val="1"/>
          <w:color w:val="auto"/>
        </w:rPr>
      </w:pPr>
    </w:p>
    <w:p>
      <w:pPr>
        <w:ind w:left="700" w:right="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Entry Level Developer</w:t>
      </w:r>
      <w:r>
        <w:rPr>
          <w:rFonts w:ascii="Arial" w:cs="Arial" w:eastAsia="Arial" w:hAnsi="Arial"/>
          <w:sz w:val="18"/>
          <w:szCs w:val="18"/>
          <w:color w:val="auto"/>
        </w:rPr>
        <w:t>: Entry Level, typically with a university degree or equivalent qualifications, with one year or less programming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of structured programming and computer science principles require to meet the needs of AT&amp;T.</w:t>
      </w:r>
    </w:p>
    <w:p>
      <w:pPr>
        <w:spacing w:after="0" w:line="53" w:lineRule="exact"/>
        <w:rPr>
          <w:rFonts w:ascii="Arial" w:cs="Arial" w:eastAsia="Arial" w:hAnsi="Arial"/>
          <w:sz w:val="18"/>
          <w:szCs w:val="18"/>
          <w:b w:val="1"/>
          <w:bCs w:val="1"/>
          <w:color w:val="auto"/>
        </w:rPr>
      </w:pPr>
    </w:p>
    <w:p>
      <w:pPr>
        <w:ind w:left="700" w:right="100"/>
        <w:spacing w:after="0" w:line="292" w:lineRule="auto"/>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Senior System Architect</w:t>
      </w:r>
      <w:r>
        <w:rPr>
          <w:rFonts w:ascii="Arial" w:cs="Arial" w:eastAsia="Arial" w:hAnsi="Arial"/>
          <w:sz w:val="16"/>
          <w:szCs w:val="16"/>
          <w:color w:val="auto"/>
        </w:rPr>
        <w:t>: The Senior System Architect is responsible for the same activities as the Technical Architect but has a broader scope of</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and more in-depth business and technical knowledge. Responsible for multiple projects or large complex projects with cross-functional teams and business processes. Demonstrate expert knowledge in multiple technical and business functional areas as well as performing a larger leadership role in the organization. Apply broad in-depth business and technical knowledge to establish technical direction and priorities. Resolve and work on issues across multiple functional areas. Effectively monitor and take action to ensure coordination and effectiveness of all components and activities and decide on issues requiring escalation. Incumbents understand the system flow for a project throughout an entire functional area (e.g., Billing, Customer Care) not just a subsystem area. They have medium to long range planning responsibilities.</w:t>
      </w:r>
    </w:p>
    <w:p>
      <w:pPr>
        <w:spacing w:after="0" w:line="53" w:lineRule="exact"/>
        <w:rPr>
          <w:rFonts w:ascii="Arial" w:cs="Arial" w:eastAsia="Arial" w:hAnsi="Arial"/>
          <w:sz w:val="18"/>
          <w:szCs w:val="18"/>
          <w:b w:val="1"/>
          <w:bCs w:val="1"/>
          <w:color w:val="auto"/>
        </w:rPr>
      </w:pPr>
    </w:p>
    <w:p>
      <w:pPr>
        <w:ind w:left="700" w:right="10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System Architect</w:t>
      </w:r>
      <w:r>
        <w:rPr>
          <w:rFonts w:ascii="Arial" w:cs="Arial" w:eastAsia="Arial" w:hAnsi="Arial"/>
          <w:sz w:val="16"/>
          <w:szCs w:val="16"/>
          <w:color w:val="auto"/>
        </w:rPr>
        <w:t>: Responsible for providing technical system solutions and determining overall design direction. Provide technical leadership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responsible for the technical integrity within a subsystem or application. Also provide technical expertise to generate maintainable, quality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199" w:name="page200"/>
    <w:bookmarkEnd w:id="199"/>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240"/>
        <w:spacing w:after="0" w:line="302" w:lineRule="auto"/>
        <w:rPr>
          <w:sz w:val="20"/>
          <w:szCs w:val="20"/>
          <w:color w:val="auto"/>
        </w:rPr>
      </w:pPr>
      <w:r>
        <w:rPr>
          <w:rFonts w:ascii="Arial" w:cs="Arial" w:eastAsia="Arial" w:hAnsi="Arial"/>
          <w:sz w:val="16"/>
          <w:szCs w:val="16"/>
          <w:color w:val="auto"/>
        </w:rPr>
        <w:t>solutions. Includes documenting system requirements, creating application designs, validating high level designs to ensure accuracy and completeness against the business requirements and programming the solutions. Attend project meetings when technical advice is needed and communicate the project design to other architects. May resolve design issues and develop strategies to make ongoing improvements that support system flexibility and performance. Assess the technical feasibility of new technologies to enable integration into existing processes.</w:t>
      </w:r>
    </w:p>
    <w:p>
      <w:pPr>
        <w:spacing w:after="0" w:line="42" w:lineRule="exact"/>
        <w:rPr>
          <w:sz w:val="20"/>
          <w:szCs w:val="20"/>
          <w:color w:val="auto"/>
        </w:rPr>
      </w:pPr>
    </w:p>
    <w:p>
      <w:pPr>
        <w:ind w:left="700" w:right="80"/>
        <w:spacing w:after="0" w:line="254" w:lineRule="auto"/>
        <w:rPr>
          <w:sz w:val="20"/>
          <w:szCs w:val="20"/>
          <w:color w:val="auto"/>
        </w:rPr>
      </w:pPr>
      <w:r>
        <w:rPr>
          <w:rFonts w:ascii="Arial" w:cs="Arial" w:eastAsia="Arial" w:hAnsi="Arial"/>
          <w:sz w:val="18"/>
          <w:szCs w:val="18"/>
          <w:b w:val="1"/>
          <w:bCs w:val="1"/>
          <w:u w:val="single" w:color="auto"/>
          <w:color w:val="auto"/>
        </w:rPr>
        <w:t>Senior Data Base Administrator</w:t>
      </w:r>
      <w:r>
        <w:rPr>
          <w:rFonts w:ascii="Arial" w:cs="Arial" w:eastAsia="Arial" w:hAnsi="Arial"/>
          <w:sz w:val="18"/>
          <w:szCs w:val="18"/>
          <w:color w:val="auto"/>
        </w:rPr>
        <w:t>: Responsible for high level database administration and related tasks on multiple DMBS platforms. Participates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evaluation, selection and implementation of appropriate DBMS based on client requirements. May create logical model and transform logical design into efficient physical databases, performing data normalization/denormalization, and considering volume, capacity and requirements for performance, data conversion, purge/archive and operation viability. Responsible for implementing database architecture strategies. Manage database administration projects that may span across parts of the enterprise and ensure that deliverables are completed on time. Strives to drive overall costs lower for database performance, data conversion, and administration services. Acts as consultant to clients and other IT organizations on database-related issues. Leads efforts to implement standards across the enterprise for ease of support and recovery in relation to database administration (database security, disaster recovery, scripts, and database documentation). Evaluates and deploys new technology to improve database efficiency and recoverability. Performs advanced problem determination and recoveries. Mentors Database Administrators and Associate Analysts.</w:t>
      </w:r>
    </w:p>
    <w:p>
      <w:pPr>
        <w:spacing w:after="0" w:line="78" w:lineRule="exact"/>
        <w:rPr>
          <w:sz w:val="20"/>
          <w:szCs w:val="20"/>
          <w:color w:val="auto"/>
        </w:rPr>
      </w:pPr>
    </w:p>
    <w:p>
      <w:pPr>
        <w:ind w:left="700"/>
        <w:spacing w:after="0" w:line="292" w:lineRule="auto"/>
        <w:rPr>
          <w:sz w:val="20"/>
          <w:szCs w:val="20"/>
          <w:color w:val="auto"/>
        </w:rPr>
      </w:pPr>
      <w:r>
        <w:rPr>
          <w:rFonts w:ascii="Arial" w:cs="Arial" w:eastAsia="Arial" w:hAnsi="Arial"/>
          <w:sz w:val="16"/>
          <w:szCs w:val="16"/>
          <w:b w:val="1"/>
          <w:bCs w:val="1"/>
          <w:u w:val="single" w:color="auto"/>
          <w:color w:val="auto"/>
        </w:rPr>
        <w:t>Database Administrator</w:t>
      </w:r>
      <w:r>
        <w:rPr>
          <w:rFonts w:ascii="Arial" w:cs="Arial" w:eastAsia="Arial" w:hAnsi="Arial"/>
          <w:sz w:val="16"/>
          <w:szCs w:val="16"/>
          <w:color w:val="auto"/>
        </w:rPr>
        <w:t>: Responsible for database administration and related tasks on one or more DMBS platforms. Under the guidance of the Sr.</w:t>
      </w:r>
      <w:r>
        <w:rPr>
          <w:rFonts w:ascii="Arial" w:cs="Arial" w:eastAsia="Arial" w:hAnsi="Arial"/>
          <w:sz w:val="16"/>
          <w:szCs w:val="16"/>
          <w:b w:val="1"/>
          <w:bCs w:val="1"/>
          <w:color w:val="auto"/>
        </w:rPr>
        <w:t xml:space="preserve"> </w:t>
      </w:r>
      <w:r>
        <w:rPr>
          <w:rFonts w:ascii="Arial" w:cs="Arial" w:eastAsia="Arial" w:hAnsi="Arial"/>
          <w:sz w:val="16"/>
          <w:szCs w:val="16"/>
          <w:color w:val="auto"/>
        </w:rPr>
        <w:t>DBA, may create logical model and transform logical design into efficient physical databases, performing data normalization/denormalization, and considering volume, capacity and requirements for performance, data conversion, purge/archive and operation viability. Responsible for meeting assigned deliverables. Responsible for assisting in driving overall costs lower for database performance, data conversion, and administration services. Works with clients and other IT organizations to ensure positive impact. May consult with clients on database admin-related issues and design considerations. Implements standards across the enterprise for ease of support and recovery in relation to database administration (database security, disaster recovery, scripts, and database documentation standards).</w:t>
      </w:r>
    </w:p>
    <w:p>
      <w:pPr>
        <w:spacing w:after="0" w:line="67" w:lineRule="exact"/>
        <w:rPr>
          <w:sz w:val="20"/>
          <w:szCs w:val="20"/>
          <w:color w:val="auto"/>
        </w:rPr>
      </w:pPr>
    </w:p>
    <w:p>
      <w:pPr>
        <w:ind w:left="680" w:hanging="672"/>
        <w:spacing w:after="0"/>
        <w:tabs>
          <w:tab w:leader="none" w:pos="6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Rates</w:t>
      </w:r>
    </w:p>
    <w:p>
      <w:pPr>
        <w:spacing w:after="0" w:line="135" w:lineRule="exact"/>
        <w:rPr>
          <w:sz w:val="20"/>
          <w:szCs w:val="20"/>
          <w:color w:val="auto"/>
        </w:rPr>
      </w:pPr>
    </w:p>
    <w:p>
      <w:pPr>
        <w:ind w:left="2160" w:right="120" w:hanging="680"/>
        <w:spacing w:after="0" w:line="264" w:lineRule="auto"/>
        <w:tabs>
          <w:tab w:leader="none" w:pos="2160"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All rates defined below are based on a fixed price monthly amount of [***], and are applicable to new Work Orders, additions of scope to existing Work Orders, and extensions of existing Work Orders executed between the Parties against this Agreement after the Effective Date of the Letter of Agreement No. 20150505.066.C.</w:t>
      </w:r>
    </w:p>
    <w:p>
      <w:pPr>
        <w:spacing w:after="0" w:line="82" w:lineRule="exact"/>
        <w:rPr>
          <w:rFonts w:ascii="Arial" w:cs="Arial" w:eastAsia="Arial" w:hAnsi="Arial"/>
          <w:sz w:val="18"/>
          <w:szCs w:val="18"/>
          <w:b w:val="1"/>
          <w:bCs w:val="1"/>
          <w:color w:val="auto"/>
        </w:rPr>
      </w:pPr>
    </w:p>
    <w:p>
      <w:pPr>
        <w:ind w:left="2160" w:hanging="680"/>
        <w:spacing w:after="0"/>
        <w:tabs>
          <w:tab w:leader="none" w:pos="21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Services</w:t>
      </w:r>
    </w:p>
    <w:p>
      <w:pPr>
        <w:spacing w:after="0" w:line="12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The fixed price for Consulting Services is a [***] of [***].</w:t>
      </w:r>
    </w:p>
    <w:p>
      <w:pPr>
        <w:spacing w:after="0" w:line="127" w:lineRule="exact"/>
        <w:rPr>
          <w:sz w:val="20"/>
          <w:szCs w:val="20"/>
          <w:color w:val="auto"/>
        </w:rPr>
      </w:pPr>
    </w:p>
    <w:p>
      <w:pPr>
        <w:ind w:left="2160" w:hanging="680"/>
        <w:spacing w:after="0"/>
        <w:tabs>
          <w:tab w:leader="none" w:pos="21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Non-Consulting and Requirements Services</w:t>
      </w:r>
    </w:p>
    <w:p>
      <w:pPr>
        <w:spacing w:after="0" w:line="12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The fixed price for Non-Consulting and Requirements Services is a [***] of [***].</w:t>
      </w:r>
    </w:p>
    <w:p>
      <w:pPr>
        <w:spacing w:after="0" w:line="127" w:lineRule="exact"/>
        <w:rPr>
          <w:sz w:val="20"/>
          <w:szCs w:val="20"/>
          <w:color w:val="auto"/>
        </w:rPr>
      </w:pPr>
    </w:p>
    <w:p>
      <w:pPr>
        <w:ind w:left="2160" w:hanging="680"/>
        <w:spacing w:after="0"/>
        <w:tabs>
          <w:tab w:leader="none" w:pos="21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Support Services</w:t>
      </w:r>
    </w:p>
    <w:p>
      <w:pPr>
        <w:spacing w:after="0" w:line="12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The fixed price for Production Support Services is a [***] of [***].</w:t>
      </w:r>
    </w:p>
    <w:p>
      <w:pPr>
        <w:spacing w:after="0" w:line="15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960" w:hanging="680"/>
        <w:spacing w:after="0"/>
        <w:tabs>
          <w:tab w:leader="none" w:pos="9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Services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fixed price for Development Services is a [***] of [***].</w:t>
      </w:r>
    </w:p>
    <w:p>
      <w:pPr>
        <w:spacing w:after="0" w:line="127" w:lineRule="exact"/>
        <w:rPr>
          <w:sz w:val="20"/>
          <w:szCs w:val="20"/>
          <w:color w:val="auto"/>
        </w:rPr>
      </w:pPr>
    </w:p>
    <w:p>
      <w:pPr>
        <w:ind w:left="960" w:hanging="680"/>
        <w:spacing w:after="0"/>
        <w:tabs>
          <w:tab w:leader="none" w:pos="9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Testing Services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fixed price for Testing Services is a [***] of [***].</w:t>
      </w:r>
    </w:p>
    <w:p>
      <w:pPr>
        <w:spacing w:after="0" w:line="15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20"/>
          </w:cols>
          <w:pgMar w:left="1440" w:top="274"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Appendix B – Forms of Order</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220"/>
          </w:cols>
          <w:pgMar w:left="1440" w:top="274"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Appendix B, Exhibit 1 – For Orders requiring signature</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20"/>
          </w:cols>
          <w:pgMar w:left="1440" w:top="274"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Order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 53258.W.&lt;XXX&gt;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220"/>
          </w:cols>
          <w:pgMar w:left="1440" w:top="274"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Order</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Order is by and between Amdocs, Inc., a Delaware corporation (“Supplier” or “Amdocs”), and AT&amp;T Services, Inc., a Delaware corporation (“AT&amp;T”), and shall be governed pursuant to the terms and conditions of Master Services Agreement Number 53258.C (the “Master Services Agreement”), which by this reference are incorporated as if fully set forth herein. Any terms and conditions in this Order that vary from or are inconsistent with the terms and conditions of the Software Master Agreement Number 24340.C, formerly 03032360, (the “Software Master Agreement”) or the Master Services Agreement shall apply to this Order only, and shall survive the termination or expiration of the Master Services Agreement or the Software Master Agreement.</w:t>
      </w:r>
    </w:p>
    <w:p>
      <w:pPr>
        <w:spacing w:after="0" w:line="60" w:lineRule="exact"/>
        <w:rPr>
          <w:sz w:val="20"/>
          <w:szCs w:val="20"/>
          <w:color w:val="auto"/>
        </w:rPr>
      </w:pPr>
    </w:p>
    <w:p>
      <w:pPr>
        <w:ind w:left="680" w:hanging="672"/>
        <w:spacing w:after="0"/>
        <w:tabs>
          <w:tab w:leader="none" w:pos="6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Agreement Number: 53258.W.&lt;XXX&gt; </w:t>
      </w:r>
      <w:r>
        <w:rPr>
          <w:rFonts w:ascii="Arial" w:cs="Arial" w:eastAsia="Arial" w:hAnsi="Arial"/>
          <w:sz w:val="18"/>
          <w:szCs w:val="18"/>
          <w:color w:val="auto"/>
        </w:rPr>
        <w:t>must appear on all invoices</w:t>
      </w:r>
    </w:p>
    <w:p>
      <w:pPr>
        <w:spacing w:after="0" w:line="27"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Amdocs Order Number: &lt;Enter No.&gt;</w:t>
      </w:r>
    </w:p>
    <w:p>
      <w:pPr>
        <w:spacing w:after="0" w:line="112" w:lineRule="exact"/>
        <w:rPr>
          <w:rFonts w:ascii="Arial" w:cs="Arial" w:eastAsia="Arial" w:hAnsi="Arial"/>
          <w:sz w:val="18"/>
          <w:szCs w:val="18"/>
          <w:b w:val="1"/>
          <w:bCs w:val="1"/>
          <w:color w:val="auto"/>
        </w:rPr>
      </w:pPr>
    </w:p>
    <w:p>
      <w:pPr>
        <w:ind w:left="680" w:hanging="672"/>
        <w:spacing w:after="0"/>
        <w:tabs>
          <w:tab w:leader="none" w:pos="6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Term of Services</w:t>
      </w:r>
      <w:r>
        <w:rPr>
          <w:rFonts w:ascii="Arial" w:cs="Arial" w:eastAsia="Arial" w:hAnsi="Arial"/>
          <w:sz w:val="18"/>
          <w:szCs w:val="18"/>
          <w:color w:val="auto"/>
        </w:rPr>
        <w:t>: Effective dates are &lt;Month, DD, YYYY&gt;, through &lt;Month, DD, YYYY&gt;.</w:t>
      </w:r>
    </w:p>
    <w:p>
      <w:pPr>
        <w:spacing w:after="0" w:line="130" w:lineRule="exact"/>
        <w:rPr>
          <w:rFonts w:ascii="Arial" w:cs="Arial" w:eastAsia="Arial" w:hAnsi="Arial"/>
          <w:sz w:val="18"/>
          <w:szCs w:val="18"/>
          <w:b w:val="1"/>
          <w:bCs w:val="1"/>
          <w:color w:val="auto"/>
        </w:rPr>
      </w:pPr>
    </w:p>
    <w:p>
      <w:pPr>
        <w:ind w:left="680" w:hanging="672"/>
        <w:spacing w:after="0"/>
        <w:tabs>
          <w:tab w:leader="none" w:pos="6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Project Name and Description: &lt;</w:t>
      </w:r>
      <w:r>
        <w:rPr>
          <w:rFonts w:ascii="Arial" w:cs="Arial" w:eastAsia="Arial" w:hAnsi="Arial"/>
          <w:sz w:val="18"/>
          <w:szCs w:val="18"/>
          <w:color w:val="auto"/>
        </w:rPr>
        <w:t>Enter Details&gt;</w:t>
      </w:r>
    </w:p>
    <w:p>
      <w:pPr>
        <w:spacing w:after="0" w:line="130" w:lineRule="exact"/>
        <w:rPr>
          <w:rFonts w:ascii="Arial" w:cs="Arial" w:eastAsia="Arial" w:hAnsi="Arial"/>
          <w:sz w:val="18"/>
          <w:szCs w:val="18"/>
          <w:b w:val="1"/>
          <w:bCs w:val="1"/>
          <w:color w:val="auto"/>
        </w:rPr>
      </w:pPr>
    </w:p>
    <w:p>
      <w:pPr>
        <w:ind w:left="700" w:right="4100" w:hanging="692"/>
        <w:spacing w:after="0" w:line="282" w:lineRule="auto"/>
        <w:tabs>
          <w:tab w:leader="none" w:pos="691"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Custom Software and Program Material and/or Scope of Other Services Ordered: </w:t>
      </w:r>
      <w:r>
        <w:rPr>
          <w:rFonts w:ascii="Arial" w:cs="Arial" w:eastAsia="Arial" w:hAnsi="Arial"/>
          <w:sz w:val="18"/>
          <w:szCs w:val="18"/>
          <w:color w:val="auto"/>
        </w:rPr>
        <w:t>This Order is to &lt;Enter specific details&gt;</w:t>
      </w:r>
    </w:p>
    <w:p>
      <w:pPr>
        <w:spacing w:after="0" w:line="67" w:lineRule="exact"/>
        <w:rPr>
          <w:rFonts w:ascii="Arial" w:cs="Arial" w:eastAsia="Arial" w:hAnsi="Arial"/>
          <w:sz w:val="18"/>
          <w:szCs w:val="18"/>
          <w:b w:val="1"/>
          <w:bCs w:val="1"/>
          <w:color w:val="auto"/>
        </w:rPr>
      </w:pPr>
    </w:p>
    <w:p>
      <w:pPr>
        <w:ind w:left="680" w:hanging="672"/>
        <w:spacing w:after="0"/>
        <w:tabs>
          <w:tab w:leader="none" w:pos="6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Software: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680" w:hanging="672"/>
        <w:spacing w:after="0"/>
        <w:tabs>
          <w:tab w:leader="none" w:pos="6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Items Ordered: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680" w:hanging="672"/>
        <w:spacing w:after="0"/>
        <w:tabs>
          <w:tab w:leader="none" w:pos="6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Milestones/Resources:</w:t>
      </w:r>
    </w:p>
    <w:p>
      <w:pPr>
        <w:spacing w:after="0" w:line="130"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Milestones:</w:t>
      </w:r>
    </w:p>
    <w:p>
      <w:pPr>
        <w:spacing w:after="0" w:line="121" w:lineRule="exact"/>
        <w:rPr>
          <w:rFonts w:ascii="Arial" w:cs="Arial" w:eastAsia="Arial" w:hAnsi="Arial"/>
          <w:sz w:val="18"/>
          <w:szCs w:val="18"/>
          <w:b w:val="1"/>
          <w:bCs w:val="1"/>
          <w:color w:val="auto"/>
        </w:rPr>
      </w:pPr>
    </w:p>
    <w:p>
      <w:pPr>
        <w:ind w:left="1500" w:right="47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Planned milestones as of the Effective Date of this Order are as follows: &lt;Table below is an example and may be modified as required&gt;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80" w:type="dxa"/>
            <w:vAlign w:val="bottom"/>
          </w:tcPr>
          <w:p>
            <w:pPr>
              <w:spacing w:after="0"/>
              <w:rPr>
                <w:sz w:val="16"/>
                <w:szCs w:val="16"/>
                <w:color w:val="auto"/>
              </w:rPr>
            </w:pPr>
          </w:p>
        </w:tc>
        <w:tc>
          <w:tcPr>
            <w:tcW w:w="25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4"/>
              </w:rPr>
              <w:t>Milestone No.</w:t>
            </w:r>
          </w:p>
        </w:tc>
        <w:tc>
          <w:tcPr>
            <w:tcW w:w="3780" w:type="dxa"/>
            <w:vAlign w:val="bottom"/>
            <w:gridSpan w:val="2"/>
          </w:tcPr>
          <w:p>
            <w:pPr>
              <w:ind w:left="1480"/>
              <w:spacing w:after="0"/>
              <w:rPr>
                <w:sz w:val="20"/>
                <w:szCs w:val="20"/>
                <w:color w:val="auto"/>
              </w:rPr>
            </w:pPr>
            <w:r>
              <w:rPr>
                <w:rFonts w:ascii="Arial" w:cs="Arial" w:eastAsia="Arial" w:hAnsi="Arial"/>
                <w:sz w:val="14"/>
                <w:szCs w:val="14"/>
                <w:b w:val="1"/>
                <w:bCs w:val="1"/>
                <w:color w:val="auto"/>
              </w:rPr>
              <w:t>Description</w:t>
            </w:r>
          </w:p>
        </w:tc>
        <w:tc>
          <w:tcPr>
            <w:tcW w:w="3520" w:type="dxa"/>
            <w:vAlign w:val="bottom"/>
          </w:tcPr>
          <w:p>
            <w:pPr>
              <w:ind w:left="1620"/>
              <w:spacing w:after="0"/>
              <w:rPr>
                <w:sz w:val="20"/>
                <w:szCs w:val="20"/>
                <w:color w:val="auto"/>
              </w:rPr>
            </w:pPr>
            <w:r>
              <w:rPr>
                <w:rFonts w:ascii="Arial" w:cs="Arial" w:eastAsia="Arial" w:hAnsi="Arial"/>
                <w:sz w:val="14"/>
                <w:szCs w:val="14"/>
                <w:b w:val="1"/>
                <w:bCs w:val="1"/>
                <w:color w:val="auto"/>
              </w:rPr>
              <w:t>Date</w:t>
            </w:r>
          </w:p>
        </w:tc>
      </w:tr>
      <w:tr>
        <w:trPr>
          <w:trHeight w:val="160"/>
        </w:trPr>
        <w:tc>
          <w:tcPr>
            <w:tcW w:w="15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308"/>
              <w:spacing w:after="0" w:line="160" w:lineRule="exact"/>
              <w:rPr>
                <w:sz w:val="20"/>
                <w:szCs w:val="20"/>
                <w:color w:val="auto"/>
              </w:rPr>
            </w:pPr>
            <w:r>
              <w:rPr>
                <w:rFonts w:ascii="Arial" w:cs="Arial" w:eastAsia="Arial" w:hAnsi="Arial"/>
                <w:sz w:val="14"/>
                <w:szCs w:val="14"/>
                <w:b w:val="1"/>
                <w:bCs w:val="1"/>
                <w:color w:val="auto"/>
              </w:rPr>
              <w:t>1</w:t>
            </w:r>
          </w:p>
        </w:tc>
        <w:tc>
          <w:tcPr>
            <w:tcW w:w="1700" w:type="dxa"/>
            <w:vAlign w:val="bottom"/>
            <w:tcBorders>
              <w:top w:val="single" w:sz="8" w:color="CCEEFF"/>
            </w:tcBorders>
            <w:shd w:val="clear" w:color="auto" w:fill="CCEEFF"/>
          </w:tcPr>
          <w:p>
            <w:pPr>
              <w:spacing w:after="0"/>
              <w:rPr>
                <w:sz w:val="13"/>
                <w:szCs w:val="13"/>
                <w:color w:val="auto"/>
              </w:rPr>
            </w:pPr>
          </w:p>
        </w:tc>
        <w:tc>
          <w:tcPr>
            <w:tcW w:w="3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520" w:type="dxa"/>
            <w:vAlign w:val="bottom"/>
            <w:tcBorders>
              <w:top w:val="single" w:sz="8" w:color="auto"/>
            </w:tcBorders>
            <w:shd w:val="clear" w:color="auto" w:fill="CCEEFF"/>
          </w:tcPr>
          <w:p>
            <w:pPr>
              <w:spacing w:after="0"/>
              <w:rPr>
                <w:sz w:val="13"/>
                <w:szCs w:val="13"/>
                <w:color w:val="auto"/>
              </w:rPr>
            </w:pPr>
          </w:p>
        </w:tc>
      </w:tr>
      <w:tr>
        <w:trPr>
          <w:trHeight w:val="30"/>
        </w:trPr>
        <w:tc>
          <w:tcPr>
            <w:tcW w:w="1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1480" w:hanging="797"/>
        <w:spacing w:after="0"/>
        <w:tabs>
          <w:tab w:leader="none" w:pos="14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Offshore Resources:</w:t>
      </w:r>
    </w:p>
    <w:p>
      <w:pPr>
        <w:spacing w:after="0" w:line="121" w:lineRule="exact"/>
        <w:rPr>
          <w:rFonts w:ascii="Arial" w:cs="Arial" w:eastAsia="Arial" w:hAnsi="Arial"/>
          <w:sz w:val="18"/>
          <w:szCs w:val="18"/>
          <w:b w:val="1"/>
          <w:bCs w:val="1"/>
          <w:color w:val="auto"/>
        </w:rPr>
      </w:pPr>
    </w:p>
    <w:p>
      <w:pPr>
        <w:ind w:left="15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Offshore resources working on this Order may be located at AT&amp;T-approved locations found in the Master Services Agreement, and at the following address(es):</w:t>
      </w:r>
    </w:p>
    <w:p>
      <w:pPr>
        <w:spacing w:after="0" w:line="6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&lt;Address Number Street and Room&gt;</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&lt;City, State/Province Zip&gt;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&lt;Country&gt;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205" w:name="page206"/>
    <w:bookmarkEnd w:id="205"/>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500" w:right="520"/>
        <w:spacing w:after="0" w:line="277" w:lineRule="auto"/>
        <w:rPr>
          <w:sz w:val="20"/>
          <w:szCs w:val="20"/>
          <w:color w:val="auto"/>
        </w:rPr>
      </w:pPr>
      <w:r>
        <w:rPr>
          <w:rFonts w:ascii="Arial" w:cs="Arial" w:eastAsia="Arial" w:hAnsi="Arial"/>
          <w:sz w:val="18"/>
          <w:szCs w:val="18"/>
          <w:color w:val="auto"/>
        </w:rPr>
        <w:t>Amdocs Offshore resources can only access AT&amp;T Systems/data in accordance with the Master Services Agreement, Appendix D, “Security and Offshore Requirements”.</w:t>
      </w:r>
    </w:p>
    <w:p>
      <w:pPr>
        <w:spacing w:after="0" w:line="72" w:lineRule="exact"/>
        <w:rPr>
          <w:sz w:val="20"/>
          <w:szCs w:val="20"/>
          <w:color w:val="auto"/>
        </w:rPr>
      </w:pPr>
    </w:p>
    <w:p>
      <w:pPr>
        <w:ind w:left="1480" w:hanging="797"/>
        <w:spacing w:after="0"/>
        <w:tabs>
          <w:tab w:leader="none" w:pos="14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USA-Based Resources:</w:t>
      </w:r>
    </w:p>
    <w:p>
      <w:pPr>
        <w:spacing w:after="0" w:line="121" w:lineRule="exact"/>
        <w:rPr>
          <w:rFonts w:ascii="Arial" w:cs="Arial" w:eastAsia="Arial" w:hAnsi="Arial"/>
          <w:sz w:val="18"/>
          <w:szCs w:val="18"/>
          <w:b w:val="1"/>
          <w:bCs w:val="1"/>
          <w:color w:val="auto"/>
        </w:rPr>
      </w:pPr>
    </w:p>
    <w:p>
      <w:pPr>
        <w:ind w:left="150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USA-based resources shall work pursuant to the general directions provided by AT&amp;T to Amdocs towards the assigned milestones but shall not in any way be deemed to be employees of AT&amp;T.</w:t>
      </w:r>
    </w:p>
    <w:p>
      <w:pPr>
        <w:spacing w:after="0" w:line="71"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Staffing Details:</w:t>
      </w:r>
    </w:p>
    <w:p>
      <w:pPr>
        <w:spacing w:after="0" w:line="121" w:lineRule="exact"/>
        <w:rPr>
          <w:rFonts w:ascii="Arial" w:cs="Arial" w:eastAsia="Arial" w:hAnsi="Arial"/>
          <w:sz w:val="18"/>
          <w:szCs w:val="18"/>
          <w:b w:val="1"/>
          <w:bCs w:val="1"/>
          <w:color w:val="auto"/>
        </w:rPr>
      </w:pPr>
    </w:p>
    <w:p>
      <w:pPr>
        <w:ind w:left="1500" w:right="5220"/>
        <w:spacing w:after="0" w:line="483" w:lineRule="auto"/>
        <w:rPr>
          <w:rFonts w:ascii="Arial" w:cs="Arial" w:eastAsia="Arial" w:hAnsi="Arial"/>
          <w:sz w:val="18"/>
          <w:szCs w:val="18"/>
          <w:b w:val="1"/>
          <w:bCs w:val="1"/>
          <w:color w:val="auto"/>
        </w:rPr>
      </w:pPr>
      <w:r>
        <w:rPr>
          <w:rFonts w:ascii="Arial" w:cs="Arial" w:eastAsia="Arial" w:hAnsi="Arial"/>
          <w:sz w:val="16"/>
          <w:szCs w:val="16"/>
          <w:color w:val="auto"/>
        </w:rPr>
        <w:t>Planned roles and full time equivalent (“FTE”) resources needed: &lt;Table below is an example and may be modified as required&gt;</w:t>
      </w:r>
    </w:p>
    <w:p>
      <w:pPr>
        <w:spacing w:after="0" w:line="34" w:lineRule="exact"/>
        <w:rPr>
          <w:sz w:val="20"/>
          <w:szCs w:val="20"/>
          <w:color w:val="auto"/>
        </w:rPr>
      </w:pPr>
    </w:p>
    <w:p>
      <w:pPr>
        <w:ind w:left="1360"/>
        <w:spacing w:after="0"/>
        <w:tabs>
          <w:tab w:leader="none" w:pos="3960" w:val="left"/>
          <w:tab w:leader="none" w:pos="6920" w:val="left"/>
          <w:tab w:leader="none" w:pos="10000" w:val="left"/>
        </w:tabs>
        <w:rPr>
          <w:sz w:val="20"/>
          <w:szCs w:val="20"/>
          <w:color w:val="auto"/>
        </w:rPr>
      </w:pPr>
      <w:r>
        <w:rPr>
          <w:rFonts w:ascii="Arial" w:cs="Arial" w:eastAsia="Arial" w:hAnsi="Arial"/>
          <w:sz w:val="14"/>
          <w:szCs w:val="14"/>
          <w:b w:val="1"/>
          <w:bCs w:val="1"/>
          <w:u w:val="single" w:color="auto"/>
          <w:color w:val="auto"/>
        </w:rPr>
        <w:t>Role</w:t>
      </w:r>
      <w:r>
        <w:rPr>
          <w:sz w:val="20"/>
          <w:szCs w:val="20"/>
          <w:color w:val="auto"/>
        </w:rPr>
        <w:tab/>
      </w:r>
      <w:r>
        <w:rPr>
          <w:rFonts w:ascii="Arial" w:cs="Arial" w:eastAsia="Arial" w:hAnsi="Arial"/>
          <w:sz w:val="14"/>
          <w:szCs w:val="14"/>
          <w:b w:val="1"/>
          <w:bCs w:val="1"/>
          <w:color w:val="auto"/>
        </w:rPr>
        <w:t>USA-Based FTEs</w:t>
      </w:r>
      <w:r>
        <w:rPr>
          <w:sz w:val="20"/>
          <w:szCs w:val="20"/>
          <w:color w:val="auto"/>
        </w:rPr>
        <w:tab/>
      </w:r>
      <w:r>
        <w:rPr>
          <w:rFonts w:ascii="Arial" w:cs="Arial" w:eastAsia="Arial" w:hAnsi="Arial"/>
          <w:sz w:val="14"/>
          <w:szCs w:val="14"/>
          <w:b w:val="1"/>
          <w:bCs w:val="1"/>
          <w:color w:val="auto"/>
        </w:rPr>
        <w:t>Offshore FTEs</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15240</wp:posOffset>
            </wp:positionV>
            <wp:extent cx="52139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64" w:lineRule="exact"/>
        <w:rPr>
          <w:sz w:val="20"/>
          <w:szCs w:val="20"/>
          <w:color w:val="auto"/>
        </w:rPr>
      </w:pPr>
    </w:p>
    <w:p>
      <w:pPr>
        <w:ind w:left="680" w:hanging="672"/>
        <w:spacing w:after="0"/>
        <w:tabs>
          <w:tab w:leader="none" w:pos="6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Deliverables/Release Items:</w:t>
      </w:r>
    </w:p>
    <w:p>
      <w:pPr>
        <w:spacing w:after="0" w:line="121" w:lineRule="exact"/>
        <w:rPr>
          <w:rFonts w:ascii="Arial" w:cs="Arial" w:eastAsia="Arial" w:hAnsi="Arial"/>
          <w:sz w:val="18"/>
          <w:szCs w:val="18"/>
          <w:b w:val="1"/>
          <w:bCs w:val="1"/>
          <w:color w:val="auto"/>
        </w:rPr>
      </w:pPr>
    </w:p>
    <w:p>
      <w:pPr>
        <w:ind w:left="1500" w:right="2140" w:hanging="799"/>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Amdocs will provide the deliverables and/or release items for the Project as defined in this Section and the table below. &lt;Table below is an example and may be modified as required&gt;</w:t>
      </w:r>
    </w:p>
    <w:p>
      <w:pPr>
        <w:spacing w:after="0" w:line="82" w:lineRule="exact"/>
        <w:rPr>
          <w:sz w:val="20"/>
          <w:szCs w:val="20"/>
          <w:color w:val="auto"/>
        </w:rPr>
      </w:pPr>
    </w:p>
    <w:p>
      <w:pPr>
        <w:ind w:left="1080"/>
        <w:spacing w:after="0"/>
        <w:tabs>
          <w:tab w:leader="none" w:pos="4160" w:val="left"/>
          <w:tab w:leader="none" w:pos="7020" w:val="left"/>
          <w:tab w:leader="none" w:pos="9400" w:val="left"/>
        </w:tabs>
        <w:rPr>
          <w:sz w:val="20"/>
          <w:szCs w:val="20"/>
          <w:color w:val="auto"/>
        </w:rPr>
      </w:pPr>
      <w:r>
        <w:rPr>
          <w:rFonts w:ascii="Arial" w:cs="Arial" w:eastAsia="Arial" w:hAnsi="Arial"/>
          <w:sz w:val="14"/>
          <w:szCs w:val="14"/>
          <w:b w:val="1"/>
          <w:bCs w:val="1"/>
          <w:u w:val="single" w:color="auto"/>
          <w:color w:val="auto"/>
        </w:rPr>
        <w:t>Milestone No.</w:t>
      </w:r>
      <w:r>
        <w:rPr>
          <w:sz w:val="20"/>
          <w:szCs w:val="20"/>
          <w:color w:val="auto"/>
        </w:rPr>
        <w:tab/>
      </w:r>
      <w:r>
        <w:rPr>
          <w:rFonts w:ascii="Arial" w:cs="Arial" w:eastAsia="Arial" w:hAnsi="Arial"/>
          <w:sz w:val="14"/>
          <w:szCs w:val="14"/>
          <w:b w:val="1"/>
          <w:bCs w:val="1"/>
          <w:color w:val="auto"/>
        </w:rPr>
        <w:t>Deliverable</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Estimated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15240</wp:posOffset>
            </wp:positionV>
            <wp:extent cx="52139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64" w:lineRule="exact"/>
        <w:rPr>
          <w:sz w:val="20"/>
          <w:szCs w:val="20"/>
          <w:color w:val="auto"/>
        </w:rPr>
      </w:pPr>
    </w:p>
    <w:p>
      <w:pPr>
        <w:ind w:left="700" w:right="4360" w:hanging="692"/>
        <w:spacing w:after="0" w:line="407" w:lineRule="auto"/>
        <w:tabs>
          <w:tab w:leader="none" w:pos="691"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Components: </w:t>
      </w:r>
      <w:r>
        <w:rPr>
          <w:rFonts w:ascii="Arial" w:cs="Arial" w:eastAsia="Arial" w:hAnsi="Arial"/>
          <w:sz w:val="18"/>
          <w:szCs w:val="18"/>
          <w:color w:val="auto"/>
        </w:rPr>
        <w:t>&lt;Enter details below, “None” is acceptable and delete table&gt;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applications are included in the scope of this Order.</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MOTS ID</w:t>
            </w:r>
          </w:p>
        </w:tc>
        <w:tc>
          <w:tcPr>
            <w:tcW w:w="1800" w:type="dxa"/>
            <w:vAlign w:val="bottom"/>
          </w:tcPr>
          <w:p>
            <w:pPr>
              <w:spacing w:after="0"/>
              <w:rPr>
                <w:sz w:val="16"/>
                <w:szCs w:val="16"/>
                <w:color w:val="auto"/>
              </w:rPr>
            </w:pPr>
          </w:p>
        </w:tc>
        <w:tc>
          <w:tcPr>
            <w:tcW w:w="3780" w:type="dxa"/>
            <w:vAlign w:val="bottom"/>
            <w:gridSpan w:val="2"/>
          </w:tcPr>
          <w:p>
            <w:pPr>
              <w:ind w:left="1280"/>
              <w:spacing w:after="0"/>
              <w:rPr>
                <w:sz w:val="20"/>
                <w:szCs w:val="20"/>
                <w:color w:val="auto"/>
              </w:rPr>
            </w:pPr>
            <w:r>
              <w:rPr>
                <w:rFonts w:ascii="Arial" w:cs="Arial" w:eastAsia="Arial" w:hAnsi="Arial"/>
                <w:sz w:val="14"/>
                <w:szCs w:val="14"/>
                <w:b w:val="1"/>
                <w:bCs w:val="1"/>
                <w:color w:val="auto"/>
              </w:rPr>
              <w:t>Application Name</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3"/>
              </w:rPr>
              <w:t>% of time spent on Application</w:t>
            </w:r>
          </w:p>
        </w:tc>
      </w:tr>
      <w:tr>
        <w:trPr>
          <w:trHeight w:val="203"/>
        </w:trPr>
        <w:tc>
          <w:tcPr>
            <w:tcW w:w="1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8"/>
              </w:rPr>
              <w:t>Total</w:t>
            </w:r>
          </w:p>
        </w:tc>
        <w:tc>
          <w:tcPr>
            <w:tcW w:w="180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auto"/>
            </w:tcBorders>
            <w:shd w:val="clear" w:color="auto" w:fill="CCEEFF"/>
          </w:tcPr>
          <w:p>
            <w:pPr>
              <w:jc w:val="right"/>
              <w:ind w:right="1459"/>
              <w:spacing w:after="0" w:line="203" w:lineRule="exact"/>
              <w:rPr>
                <w:sz w:val="20"/>
                <w:szCs w:val="20"/>
                <w:color w:val="auto"/>
              </w:rPr>
            </w:pPr>
            <w:r>
              <w:rPr>
                <w:rFonts w:ascii="Arial" w:cs="Arial" w:eastAsia="Arial" w:hAnsi="Arial"/>
                <w:sz w:val="18"/>
                <w:szCs w:val="18"/>
                <w:b w:val="1"/>
                <w:bCs w:val="1"/>
                <w:color w:val="auto"/>
              </w:rPr>
              <w:t>100%</w:t>
            </w:r>
          </w:p>
        </w:tc>
      </w:tr>
    </w:tbl>
    <w:p>
      <w:pPr>
        <w:spacing w:after="0" w:line="346" w:lineRule="exact"/>
        <w:rPr>
          <w:sz w:val="20"/>
          <w:szCs w:val="20"/>
          <w:color w:val="auto"/>
        </w:rPr>
      </w:pPr>
    </w:p>
    <w:p>
      <w:pPr>
        <w:ind w:left="680" w:hanging="672"/>
        <w:spacing w:after="0"/>
        <w:tabs>
          <w:tab w:leader="none" w:pos="6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Amdocs Responsibilities: </w:t>
      </w:r>
      <w:r>
        <w:rPr>
          <w:rFonts w:ascii="Arial" w:cs="Arial" w:eastAsia="Arial" w:hAnsi="Arial"/>
          <w:sz w:val="18"/>
          <w:szCs w:val="18"/>
          <w:color w:val="auto"/>
        </w:rPr>
        <w:t>&lt;Enter details below, “None” is acceptable&gt;</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 addition to providing the deliverables herein, Amdocs will be responsible for the following:</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&lt;List additional Amdocs Responsibilities&gt;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680" w:hanging="672"/>
        <w:spacing w:after="0"/>
        <w:tabs>
          <w:tab w:leader="none" w:pos="6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AT&amp;T Responsibilities: &lt;Enter details below, “None” is acceptable&gt;</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In addition to AT&amp;T Responsibilities defined in Section 3.43f of the Master Services Agreement, AT&amp;T will be responsible for the following:</w:t>
      </w:r>
    </w:p>
    <w:p>
      <w:pPr>
        <w:spacing w:after="0" w:line="142"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&lt;List additional AT&amp;T Responsibilities&gt;</w:t>
      </w:r>
    </w:p>
    <w:p>
      <w:pPr>
        <w:spacing w:after="0" w:line="126" w:lineRule="exact"/>
        <w:rPr>
          <w:rFonts w:ascii="Arial" w:cs="Arial" w:eastAsia="Arial" w:hAnsi="Arial"/>
          <w:sz w:val="18"/>
          <w:szCs w:val="18"/>
          <w:color w:val="auto"/>
        </w:rPr>
      </w:pPr>
    </w:p>
    <w:p>
      <w:pPr>
        <w:ind w:left="680" w:hanging="672"/>
        <w:spacing w:after="0"/>
        <w:tabs>
          <w:tab w:leader="none" w:pos="6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rFonts w:ascii="Arial" w:cs="Arial" w:eastAsia="Arial" w:hAnsi="Arial"/>
          <w:sz w:val="18"/>
          <w:szCs w:val="18"/>
          <w:b w:val="1"/>
          <w:bCs w:val="1"/>
          <w:color w:val="auto"/>
        </w:rPr>
      </w:pPr>
    </w:p>
    <w:p>
      <w:pPr>
        <w:ind w:left="7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is a &lt;fixed price or Time and Materials (“T&amp;M”)&gt; Order for the total amount of &lt;Enter amount&gt; for the Work effort. The total price is based on &lt;Enter basis for pricing, e.g. rate, monthly or hourly, any proration, and/or assumed hours&gt;.</w:t>
      </w:r>
    </w:p>
    <w:p>
      <w:pPr>
        <w:spacing w:after="0" w:line="62" w:lineRule="exact"/>
        <w:rPr>
          <w:rFonts w:ascii="Arial" w:cs="Arial" w:eastAsia="Arial" w:hAnsi="Arial"/>
          <w:sz w:val="18"/>
          <w:szCs w:val="18"/>
          <w:b w:val="1"/>
          <w:bCs w:val="1"/>
          <w:color w:val="auto"/>
        </w:rPr>
      </w:pPr>
    </w:p>
    <w:p>
      <w:pPr>
        <w:ind w:left="700" w:right="2760"/>
        <w:spacing w:after="0" w:line="373" w:lineRule="auto"/>
        <w:rPr>
          <w:rFonts w:ascii="Arial" w:cs="Arial" w:eastAsia="Arial" w:hAnsi="Arial"/>
          <w:sz w:val="18"/>
          <w:szCs w:val="18"/>
          <w:b w:val="1"/>
          <w:bCs w:val="1"/>
          <w:color w:val="auto"/>
        </w:rPr>
      </w:pPr>
      <w:r>
        <w:rPr>
          <w:rFonts w:ascii="Arial" w:cs="Arial" w:eastAsia="Arial" w:hAnsi="Arial"/>
          <w:sz w:val="18"/>
          <w:szCs w:val="18"/>
          <w:color w:val="auto"/>
        </w:rPr>
        <w:t>&lt;Enter Travel and living expenses language in accordance with the Master Services Agreement, if applicable&gt; The following table represents the payment schedule for this Order:</w:t>
      </w: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Payment Schedule:</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&lt;Table below is an example and may be modified as required&gt;</w:t>
      </w:r>
    </w:p>
    <w:p>
      <w:pPr>
        <w:spacing w:after="0" w:line="244"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Activity</w:t>
      </w:r>
    </w:p>
    <w:p>
      <w:pPr>
        <w:sectPr>
          <w:pgSz w:w="11900" w:h="16838" w:orient="portrait"/>
          <w:cols w:equalWidth="0" w:num="1">
            <w:col w:w="11420"/>
          </w:cols>
          <w:pgMar w:left="240" w:top="274" w:right="239" w:bottom="1440" w:gutter="0" w:footer="0" w:header="0"/>
        </w:sectPr>
      </w:pPr>
    </w:p>
    <w:p>
      <w:pPr>
        <w:spacing w:after="0" w:line="24" w:lineRule="exact"/>
        <w:rPr>
          <w:sz w:val="20"/>
          <w:szCs w:val="20"/>
          <w:color w:val="auto"/>
        </w:rPr>
      </w:pPr>
    </w:p>
    <w:p>
      <w:pPr>
        <w:ind w:left="2860"/>
        <w:spacing w:after="0"/>
        <w:rPr>
          <w:sz w:val="20"/>
          <w:szCs w:val="20"/>
          <w:color w:val="auto"/>
        </w:rPr>
      </w:pPr>
      <w:r>
        <w:rPr>
          <w:rFonts w:ascii="Arial" w:cs="Arial" w:eastAsia="Arial" w:hAnsi="Arial"/>
          <w:sz w:val="13"/>
          <w:szCs w:val="13"/>
          <w:b w:val="1"/>
          <w:bCs w:val="1"/>
          <w:u w:val="single" w:color="auto"/>
          <w:color w:val="auto"/>
        </w:rPr>
        <w:t>During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FTEs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15875</wp:posOffset>
            </wp:positionV>
            <wp:extent cx="361886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Invoice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Invoice Date</w:t>
      </w:r>
    </w:p>
    <w:p>
      <w:pPr>
        <w:spacing w:after="0" w:line="37" w:lineRule="exact"/>
        <w:rPr>
          <w:sz w:val="20"/>
          <w:szCs w:val="20"/>
          <w:color w:val="auto"/>
        </w:rPr>
      </w:pPr>
    </w:p>
    <w:p>
      <w:pPr>
        <w:sectPr>
          <w:pgSz w:w="11900" w:h="16838" w:orient="portrait"/>
          <w:cols w:equalWidth="0" w:num="5">
            <w:col w:w="3820" w:space="720"/>
            <w:col w:w="440" w:space="720"/>
            <w:col w:w="300" w:space="600"/>
            <w:col w:w="780" w:space="320"/>
            <w:col w:w="3720"/>
          </w:cols>
          <w:pgMar w:left="240" w:top="274" w:right="239" w:bottom="1440" w:gutter="0" w:footer="0" w:header="0"/>
          <w:type w:val="continuous"/>
        </w:sectPr>
      </w:pPr>
    </w:p>
    <w:p>
      <w:pPr>
        <w:ind w:left="2860"/>
        <w:spacing w:after="0"/>
        <w:rPr>
          <w:sz w:val="20"/>
          <w:szCs w:val="20"/>
          <w:color w:val="auto"/>
        </w:rPr>
      </w:pPr>
      <w:r>
        <w:rPr>
          <w:rFonts w:ascii="Arial" w:cs="Arial" w:eastAsia="Arial" w:hAnsi="Arial"/>
          <w:sz w:val="18"/>
          <w:szCs w:val="18"/>
          <w:b w:val="1"/>
          <w:bCs w:val="1"/>
          <w:color w:val="auto"/>
        </w:rPr>
        <w:t>Total</w:t>
      </w:r>
    </w:p>
    <w:p>
      <w:pPr>
        <w:spacing w:after="0" w:line="354" w:lineRule="exact"/>
        <w:rPr>
          <w:sz w:val="20"/>
          <w:szCs w:val="20"/>
          <w:color w:val="auto"/>
        </w:rPr>
      </w:pPr>
    </w:p>
    <w:p>
      <w:pPr>
        <w:ind w:left="680" w:hanging="672"/>
        <w:spacing w:after="0"/>
        <w:tabs>
          <w:tab w:leader="none" w:pos="6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Managers:</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AT&amp;T:</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&lt;AT&amp;T Contact Name&gt;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99"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Amdocs:</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&lt;Amdocs PM Contact Name&gt;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email@amdocs.com</w:t>
      </w:r>
      <w:r>
        <w:rPr>
          <w:rFonts w:ascii="Arial" w:cs="Arial" w:eastAsia="Arial" w:hAnsi="Arial"/>
          <w:sz w:val="18"/>
          <w:szCs w:val="18"/>
          <w:color w:val="auto"/>
        </w:rPr>
        <w:t>&gt;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680" w:hanging="672"/>
        <w:spacing w:after="0"/>
        <w:tabs>
          <w:tab w:leader="none" w:pos="6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Liquidated Damages for Delay in Delivery And/Or Error Severity Level Description And Resolution Plan</w:t>
      </w:r>
    </w:p>
    <w:p>
      <w:pPr>
        <w:spacing w:after="0" w:line="117" w:lineRule="exact"/>
        <w:rPr>
          <w:rFonts w:ascii="Arial" w:cs="Arial" w:eastAsia="Arial" w:hAnsi="Arial"/>
          <w:sz w:val="18"/>
          <w:szCs w:val="18"/>
          <w:b w:val="1"/>
          <w:bCs w:val="1"/>
          <w:color w:val="auto"/>
        </w:rPr>
      </w:pPr>
    </w:p>
    <w:p>
      <w:pPr>
        <w:ind w:left="700" w:right="20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&lt;</w:t>
      </w:r>
      <w:r>
        <w:rPr>
          <w:rFonts w:ascii="Arial" w:cs="Arial" w:eastAsia="Arial" w:hAnsi="Arial"/>
          <w:sz w:val="18"/>
          <w:szCs w:val="18"/>
          <w:b w:val="1"/>
          <w:bCs w:val="1"/>
          <w:color w:val="auto"/>
        </w:rPr>
        <w:t>Note</w:t>
      </w:r>
      <w:r>
        <w:rPr>
          <w:rFonts w:ascii="Arial" w:cs="Arial" w:eastAsia="Arial" w:hAnsi="Arial"/>
          <w:sz w:val="18"/>
          <w:szCs w:val="18"/>
          <w:color w:val="auto"/>
        </w:rPr>
        <w:t>: the following paragraph contains the instructions and agreed upon general use of this section between the Parties. Which clause to use will be dependent on the Project.&gt;</w:t>
      </w:r>
    </w:p>
    <w:p>
      <w:pPr>
        <w:spacing w:after="0" w:line="57" w:lineRule="exact"/>
        <w:rPr>
          <w:rFonts w:ascii="Arial" w:cs="Arial" w:eastAsia="Arial" w:hAnsi="Arial"/>
          <w:sz w:val="18"/>
          <w:szCs w:val="18"/>
          <w:b w:val="1"/>
          <w:bCs w:val="1"/>
          <w:color w:val="auto"/>
        </w:rPr>
      </w:pPr>
    </w:p>
    <w:p>
      <w:pPr>
        <w:jc w:val="both"/>
        <w:ind w:left="7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Parties agree that applying Liquidated Damages for Delay in Delivery and/or the Error Severity Level Description And Resolution Plan may be applied based on the Custom Software development Services provided in the Order. The Parties also agree that the Error Severity Level Description And Resolution Plan may apply to OnGoing Support Orders following Warranty.</w:t>
      </w:r>
    </w:p>
    <w:p>
      <w:pPr>
        <w:spacing w:after="0" w:line="83" w:lineRule="exact"/>
        <w:rPr>
          <w:sz w:val="20"/>
          <w:szCs w:val="20"/>
          <w:color w:val="auto"/>
        </w:rPr>
      </w:pPr>
    </w:p>
    <w:p>
      <w:pPr>
        <w:ind w:left="2160" w:hanging="680"/>
        <w:spacing w:after="0"/>
        <w:tabs>
          <w:tab w:leader="none" w:pos="21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Liquidated Damages for Delay in Delivery</w:t>
      </w:r>
    </w:p>
    <w:p>
      <w:pPr>
        <w:spacing w:after="0" w:line="121" w:lineRule="exact"/>
        <w:rPr>
          <w:sz w:val="20"/>
          <w:szCs w:val="20"/>
          <w:color w:val="auto"/>
        </w:rPr>
      </w:pPr>
    </w:p>
    <w:p>
      <w:pPr>
        <w:ind w:left="1500" w:right="40"/>
        <w:spacing w:after="0" w:line="253" w:lineRule="auto"/>
        <w:rPr>
          <w:sz w:val="20"/>
          <w:szCs w:val="20"/>
          <w:color w:val="auto"/>
        </w:rPr>
      </w:pPr>
      <w:r>
        <w:rPr>
          <w:rFonts w:ascii="Arial" w:cs="Arial" w:eastAsia="Arial" w:hAnsi="Arial"/>
          <w:sz w:val="18"/>
          <w:szCs w:val="18"/>
          <w:color w:val="auto"/>
        </w:rPr>
        <w:t>Upon discovery of anything indicating a reasonable certainty that Software and/or Services will not be delivered by the scheduled Delivery Date, Supplier shall notify AT&amp;T and provide the estimated length of delay. The Parties shall work jointly toward resolving the delayed delivery. If the Parties reach agreement on an extended Delivery Date and Supplier fails to meet the extended Delivery Date, then AT&amp;T may (i) if such delay amounts to a material breach, exercise AT&amp;T’s termination rights under the Master Services Agreement with respect to the applicable Order, (ii) exercise its right to recover Liquidated Damages specified hereunder, and/or (iii) further extend the Delivery Date. No payments, progress or otherwise, made by AT&amp;T to Supplier after any scheduled Delivery Date shall constitute a waiver of Liquidated Damages. Delivery Dates shall be extended as and to the extent Supplier is unable to meet the original Delivery Date due to causes outside of Supplier’s control. Such extension shall be proportionate to the delay caused by factors outside Supplier’s control.</w:t>
      </w:r>
    </w:p>
    <w:p>
      <w:pPr>
        <w:spacing w:after="0" w:line="89" w:lineRule="exact"/>
        <w:rPr>
          <w:sz w:val="20"/>
          <w:szCs w:val="20"/>
          <w:color w:val="auto"/>
        </w:rPr>
      </w:pPr>
    </w:p>
    <w:p>
      <w:pPr>
        <w:jc w:val="both"/>
        <w:ind w:left="1500" w:right="40"/>
        <w:spacing w:after="0" w:line="264" w:lineRule="auto"/>
        <w:rPr>
          <w:sz w:val="20"/>
          <w:szCs w:val="20"/>
          <w:color w:val="auto"/>
        </w:rPr>
      </w:pPr>
      <w:r>
        <w:rPr>
          <w:rFonts w:ascii="Arial" w:cs="Arial" w:eastAsia="Arial" w:hAnsi="Arial"/>
          <w:sz w:val="18"/>
          <w:szCs w:val="18"/>
          <w:color w:val="auto"/>
        </w:rPr>
        <w:t>Notwithstanding anything to the contrary in the Master Services Agreement, in the event of Supplier’s failure to meet a Delivery Date as defined in the Order (as it may have been extended in accordance with the terms as set forth herein) AT&amp;T shall be entitled to Liquidated Damages according to the following schedule:</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Days Late</w:t>
            </w:r>
          </w:p>
        </w:tc>
        <w:tc>
          <w:tcPr>
            <w:tcW w:w="6880" w:type="dxa"/>
            <w:vAlign w:val="bottom"/>
            <w:gridSpan w:val="2"/>
          </w:tcPr>
          <w:p>
            <w:pPr>
              <w:ind w:left="260"/>
              <w:spacing w:after="0"/>
              <w:rPr>
                <w:sz w:val="20"/>
                <w:szCs w:val="20"/>
                <w:color w:val="auto"/>
              </w:rPr>
            </w:pPr>
            <w:r>
              <w:rPr>
                <w:rFonts w:ascii="Arial" w:cs="Arial" w:eastAsia="Arial" w:hAnsi="Arial"/>
                <w:sz w:val="14"/>
                <w:szCs w:val="14"/>
                <w:b w:val="1"/>
                <w:bCs w:val="1"/>
                <w:color w:val="auto"/>
              </w:rPr>
              <w:t>Liquidated Damages</w:t>
            </w:r>
          </w:p>
        </w:tc>
      </w:tr>
      <w:tr>
        <w:trPr>
          <w:trHeight w:val="203"/>
        </w:trPr>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0-14</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15-44</w:t>
            </w:r>
          </w:p>
        </w:tc>
        <w:tc>
          <w:tcPr>
            <w:tcW w:w="260" w:type="dxa"/>
            <w:vAlign w:val="bottom"/>
          </w:tcPr>
          <w:p>
            <w:pPr>
              <w:spacing w:after="0"/>
              <w:rPr>
                <w:sz w:val="18"/>
                <w:szCs w:val="18"/>
                <w:color w:val="auto"/>
              </w:rPr>
            </w:pPr>
          </w:p>
        </w:tc>
        <w:tc>
          <w:tcPr>
            <w:tcW w:w="6880" w:type="dxa"/>
            <w:vAlign w:val="bottom"/>
            <w:gridSpan w:val="2"/>
          </w:tcPr>
          <w:p>
            <w:pPr>
              <w:ind w:left="260"/>
              <w:spacing w:after="0"/>
              <w:rPr>
                <w:sz w:val="20"/>
                <w:szCs w:val="20"/>
                <w:color w:val="auto"/>
              </w:rPr>
            </w:pPr>
            <w:r>
              <w:rPr>
                <w:rFonts w:ascii="Arial" w:cs="Arial" w:eastAsia="Arial" w:hAnsi="Arial"/>
                <w:sz w:val="18"/>
                <w:szCs w:val="18"/>
                <w:color w:val="auto"/>
              </w:rPr>
              <w:t>10% of fees under the Order</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45-74</w:t>
            </w:r>
          </w:p>
        </w:tc>
        <w:tc>
          <w:tcPr>
            <w:tcW w:w="2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 of fees under the Order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6880" w:type="dxa"/>
            <w:vAlign w:val="bottom"/>
            <w:gridSpan w:val="2"/>
          </w:tcPr>
          <w:p>
            <w:pPr>
              <w:ind w:left="260"/>
              <w:spacing w:after="0"/>
              <w:rPr>
                <w:sz w:val="20"/>
                <w:szCs w:val="20"/>
                <w:color w:val="auto"/>
              </w:rPr>
            </w:pPr>
            <w:r>
              <w:rPr>
                <w:rFonts w:ascii="Arial" w:cs="Arial" w:eastAsia="Arial" w:hAnsi="Arial"/>
                <w:sz w:val="18"/>
                <w:szCs w:val="18"/>
                <w:color w:val="auto"/>
              </w:rPr>
              <w:t>10% of fees under the Order</w:t>
            </w:r>
          </w:p>
        </w:tc>
      </w:tr>
    </w:tbl>
    <w:p>
      <w:pPr>
        <w:spacing w:after="0" w:line="79" w:lineRule="exact"/>
        <w:rPr>
          <w:sz w:val="20"/>
          <w:szCs w:val="20"/>
          <w:color w:val="auto"/>
        </w:rPr>
      </w:pPr>
    </w:p>
    <w:p>
      <w:pPr>
        <w:jc w:val="both"/>
        <w:ind w:left="1500" w:right="380"/>
        <w:spacing w:after="0" w:line="264" w:lineRule="auto"/>
        <w:rPr>
          <w:sz w:val="20"/>
          <w:szCs w:val="20"/>
          <w:color w:val="auto"/>
        </w:rPr>
      </w:pPr>
      <w:r>
        <w:rPr>
          <w:rFonts w:ascii="Arial" w:cs="Arial" w:eastAsia="Arial" w:hAnsi="Arial"/>
          <w:sz w:val="18"/>
          <w:szCs w:val="18"/>
          <w:color w:val="auto"/>
        </w:rPr>
        <w:t>The foregoing Liquidated Damages shall be calculated cumulatively and shall be capped at a total of thirty percent (30%) of the fees under the Order. AT&amp;T’s taking of Liquidated Damages for failure to meet a Delivery Date shall not preclude AT&amp;T from claiming actual damages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208" w:name="page209"/>
    <w:bookmarkEnd w:id="208"/>
    <w:p>
      <w:pPr>
        <w:ind w:left="803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92" w:right="220"/>
        <w:spacing w:after="0" w:line="264" w:lineRule="auto"/>
        <w:rPr>
          <w:sz w:val="20"/>
          <w:szCs w:val="20"/>
          <w:color w:val="auto"/>
        </w:rPr>
      </w:pPr>
      <w:r>
        <w:rPr>
          <w:rFonts w:ascii="Arial" w:cs="Arial" w:eastAsia="Arial" w:hAnsi="Arial"/>
          <w:sz w:val="18"/>
          <w:szCs w:val="18"/>
          <w:color w:val="auto"/>
        </w:rPr>
        <w:t>excess of the Liquidated Damages; provided, however, that the amount of Liquidated Damages taken by AT&amp;T shall be deducted from any damages awarded to AT&amp;T. Liquidated Damages taken by AT&amp;T for failure to meet a Delivery Date shall be excluded from the limitations of liability set forth in the Master Services Agreement</w:t>
      </w:r>
    </w:p>
    <w:p>
      <w:pPr>
        <w:spacing w:after="0" w:line="83" w:lineRule="exact"/>
        <w:rPr>
          <w:sz w:val="20"/>
          <w:szCs w:val="20"/>
          <w:color w:val="auto"/>
        </w:rPr>
      </w:pPr>
    </w:p>
    <w:p>
      <w:pPr>
        <w:ind w:left="2152" w:hanging="680"/>
        <w:spacing w:after="0"/>
        <w:tabs>
          <w:tab w:leader="none" w:pos="215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Error Severity Level Description And Resolution Plan</w:t>
      </w:r>
    </w:p>
    <w:p>
      <w:pPr>
        <w:spacing w:after="0" w:line="135" w:lineRule="exact"/>
        <w:rPr>
          <w:sz w:val="20"/>
          <w:szCs w:val="20"/>
          <w:color w:val="auto"/>
        </w:rPr>
      </w:pPr>
    </w:p>
    <w:p>
      <w:pPr>
        <w:ind w:left="2152" w:right="560" w:hanging="680"/>
        <w:spacing w:after="0" w:line="308" w:lineRule="auto"/>
        <w:tabs>
          <w:tab w:leader="none" w:pos="2152" w:val="left"/>
        </w:tabs>
        <w:numPr>
          <w:ilvl w:val="0"/>
          <w:numId w:val="223"/>
        </w:numPr>
        <w:rPr>
          <w:rFonts w:ascii="Arial" w:cs="Arial" w:eastAsia="Arial" w:hAnsi="Arial"/>
          <w:sz w:val="17"/>
          <w:szCs w:val="17"/>
          <w:color w:val="auto"/>
        </w:rPr>
      </w:pPr>
      <w:r>
        <w:rPr>
          <w:rFonts w:ascii="Arial" w:cs="Arial" w:eastAsia="Arial" w:hAnsi="Arial"/>
          <w:sz w:val="17"/>
          <w:szCs w:val="17"/>
          <w:color w:val="auto"/>
        </w:rPr>
        <w:t>During the term of the applicable Order and, if Software fails to operate in conformance with the Specifications, or if the following specified errors (“Error”) occur, Supplier agrees to respond and perform as follows:</w:t>
      </w:r>
    </w:p>
    <w:p>
      <w:pPr>
        <w:sectPr>
          <w:pgSz w:w="11900" w:h="16838" w:orient="portrait"/>
          <w:cols w:equalWidth="0" w:num="1">
            <w:col w:w="11412"/>
          </w:cols>
          <w:pgMar w:left="248" w:top="274" w:right="239" w:bottom="1440" w:gutter="0" w:footer="0" w:header="0"/>
        </w:sectPr>
      </w:pPr>
    </w:p>
    <w:p>
      <w:pPr>
        <w:spacing w:after="0" w:line="170" w:lineRule="exact"/>
        <w:rPr>
          <w:sz w:val="20"/>
          <w:szCs w:val="20"/>
          <w:color w:val="auto"/>
        </w:rPr>
      </w:pPr>
    </w:p>
    <w:p>
      <w:pPr>
        <w:ind w:left="652" w:right="40" w:hanging="652"/>
        <w:spacing w:after="0" w:line="261" w:lineRule="auto"/>
        <w:tabs>
          <w:tab w:leader="none" w:pos="652"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 xml:space="preserve">FATAL: </w:t>
      </w:r>
      <w:r>
        <w:rPr>
          <w:rFonts w:ascii="Arial" w:cs="Arial" w:eastAsia="Arial" w:hAnsi="Arial"/>
          <w:sz w:val="18"/>
          <w:szCs w:val="18"/>
          <w:color w:val="auto"/>
        </w:rPr>
        <w:t>Reported problems preventing all useful work from</w:t>
      </w:r>
      <w:r>
        <w:rPr>
          <w:rFonts w:ascii="Arial" w:cs="Arial" w:eastAsia="Arial" w:hAnsi="Arial"/>
          <w:sz w:val="18"/>
          <w:szCs w:val="18"/>
          <w:b w:val="1"/>
          <w:bCs w:val="1"/>
          <w:color w:val="auto"/>
        </w:rPr>
        <w:t xml:space="preserve"> </w:t>
      </w:r>
      <w:r>
        <w:rPr>
          <w:rFonts w:ascii="Arial" w:cs="Arial" w:eastAsia="Arial" w:hAnsi="Arial"/>
          <w:sz w:val="18"/>
          <w:szCs w:val="18"/>
          <w:color w:val="auto"/>
        </w:rPr>
        <w:t>being done or potential data loss or corruption, or Software functionality is inoperative; inability to use has a critical impact to AT&amp;T’s operations.</w:t>
      </w:r>
    </w:p>
    <w:p>
      <w:pPr>
        <w:spacing w:after="0" w:line="86" w:lineRule="exact"/>
        <w:rPr>
          <w:sz w:val="20"/>
          <w:szCs w:val="20"/>
          <w:color w:val="auto"/>
        </w:rPr>
      </w:pPr>
    </w:p>
    <w:p>
      <w:pPr>
        <w:ind w:left="652" w:hanging="652"/>
        <w:spacing w:after="0" w:line="289" w:lineRule="auto"/>
        <w:tabs>
          <w:tab w:leader="none" w:pos="652" w:val="left"/>
        </w:tabs>
        <w:numPr>
          <w:ilvl w:val="0"/>
          <w:numId w:val="225"/>
        </w:numPr>
        <w:rPr>
          <w:rFonts w:ascii="Arial" w:cs="Arial" w:eastAsia="Arial" w:hAnsi="Arial"/>
          <w:sz w:val="17"/>
          <w:szCs w:val="17"/>
          <w:color w:val="auto"/>
        </w:rPr>
      </w:pPr>
      <w:r>
        <w:rPr>
          <w:rFonts w:ascii="Arial" w:cs="Arial" w:eastAsia="Arial" w:hAnsi="Arial"/>
          <w:sz w:val="17"/>
          <w:szCs w:val="17"/>
          <w:b w:val="1"/>
          <w:bCs w:val="1"/>
          <w:color w:val="auto"/>
        </w:rPr>
        <w:t xml:space="preserve">SEVERE IMPACT: </w:t>
      </w:r>
      <w:r>
        <w:rPr>
          <w:rFonts w:ascii="Arial" w:cs="Arial" w:eastAsia="Arial" w:hAnsi="Arial"/>
          <w:sz w:val="17"/>
          <w:szCs w:val="17"/>
          <w:color w:val="auto"/>
        </w:rPr>
        <w:t>Problems disable major functions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do productive work or Software is partially inoperative and is considered as severely restrictive by AT&amp;T.</w:t>
      </w:r>
    </w:p>
    <w:p>
      <w:pPr>
        <w:spacing w:after="0" w:line="280" w:lineRule="exact"/>
        <w:rPr>
          <w:sz w:val="20"/>
          <w:szCs w:val="20"/>
          <w:color w:val="auto"/>
        </w:rPr>
      </w:pPr>
    </w:p>
    <w:p>
      <w:pPr>
        <w:ind w:left="652" w:right="60" w:hanging="652"/>
        <w:spacing w:after="0" w:line="261" w:lineRule="auto"/>
        <w:tabs>
          <w:tab w:leader="none" w:pos="652"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DEGRADED OPERATIONS: </w:t>
      </w:r>
      <w:r>
        <w:rPr>
          <w:rFonts w:ascii="Arial" w:cs="Arial" w:eastAsia="Arial" w:hAnsi="Arial"/>
          <w:sz w:val="18"/>
          <w:szCs w:val="18"/>
          <w:color w:val="auto"/>
        </w:rPr>
        <w:t>Reported problems disabling</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non-essential functions; Error condition is not critical to continuing operation and/or AT&amp;T has determined a work-around for the Error condition.</w:t>
      </w:r>
    </w:p>
    <w:p>
      <w:pPr>
        <w:spacing w:after="0" w:line="86" w:lineRule="exact"/>
        <w:rPr>
          <w:sz w:val="20"/>
          <w:szCs w:val="20"/>
          <w:color w:val="auto"/>
        </w:rPr>
      </w:pPr>
    </w:p>
    <w:p>
      <w:pPr>
        <w:ind w:left="652" w:right="340" w:hanging="652"/>
        <w:spacing w:after="0" w:line="282" w:lineRule="auto"/>
        <w:tabs>
          <w:tab w:leader="none" w:pos="65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MINIMAL IMPACT: </w:t>
      </w:r>
      <w:r>
        <w:rPr>
          <w:rFonts w:ascii="Arial" w:cs="Arial" w:eastAsia="Arial" w:hAnsi="Arial"/>
          <w:sz w:val="18"/>
          <w:szCs w:val="18"/>
          <w:color w:val="auto"/>
        </w:rPr>
        <w:t>Any deviation from Specifications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included in a Severity 1, 2, or 3 category.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Acknowledgment</w:t>
      </w:r>
    </w:p>
    <w:p>
      <w:pPr>
        <w:spacing w:after="0" w:line="23"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Work Around, temporary fix</w:t>
      </w:r>
    </w:p>
    <w:p>
      <w:pPr>
        <w:spacing w:after="0" w:line="9"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Final fix, update, or new release</w:t>
      </w:r>
    </w:p>
    <w:p>
      <w:pPr>
        <w:spacing w:after="0" w:line="32" w:lineRule="exact"/>
        <w:rPr>
          <w:rFonts w:ascii="Arial" w:cs="Arial" w:eastAsia="Arial" w:hAnsi="Arial"/>
          <w:sz w:val="16"/>
          <w:szCs w:val="16"/>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116"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Acknowledgment</w:t>
      </w:r>
    </w:p>
    <w:p>
      <w:pPr>
        <w:spacing w:after="0" w:line="23"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Work around, temporary fix</w:t>
      </w:r>
    </w:p>
    <w:p>
      <w:pPr>
        <w:spacing w:after="0" w:line="9"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Final fix, update, or new release</w:t>
      </w:r>
    </w:p>
    <w:p>
      <w:pPr>
        <w:spacing w:after="0" w:line="32" w:lineRule="exact"/>
        <w:rPr>
          <w:rFonts w:ascii="Arial" w:cs="Arial" w:eastAsia="Arial" w:hAnsi="Arial"/>
          <w:sz w:val="16"/>
          <w:szCs w:val="16"/>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116"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Acknowledgment</w:t>
      </w:r>
    </w:p>
    <w:p>
      <w:pPr>
        <w:spacing w:after="0" w:line="23"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Work around, temporary fix</w:t>
      </w:r>
    </w:p>
    <w:p>
      <w:pPr>
        <w:spacing w:after="0" w:line="9"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Final fix, update, or new release</w:t>
      </w:r>
    </w:p>
    <w:p>
      <w:pPr>
        <w:spacing w:after="0" w:line="32" w:lineRule="exact"/>
        <w:rPr>
          <w:rFonts w:ascii="Arial" w:cs="Arial" w:eastAsia="Arial" w:hAnsi="Arial"/>
          <w:sz w:val="16"/>
          <w:szCs w:val="16"/>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116"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Acknowledgment</w:t>
      </w:r>
    </w:p>
    <w:p>
      <w:pPr>
        <w:spacing w:after="0" w:line="23"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Work around, temporary fix</w:t>
      </w:r>
    </w:p>
    <w:p>
      <w:pPr>
        <w:spacing w:after="0" w:line="9" w:lineRule="exact"/>
        <w:rPr>
          <w:rFonts w:ascii="Arial" w:cs="Arial" w:eastAsia="Arial" w:hAnsi="Arial"/>
          <w:sz w:val="18"/>
          <w:szCs w:val="18"/>
          <w:color w:val="auto"/>
        </w:rPr>
      </w:pPr>
    </w:p>
    <w:p>
      <w:pPr>
        <w:ind w:left="553" w:hanging="553"/>
        <w:spacing w:after="0"/>
        <w:tabs>
          <w:tab w:leader="none" w:pos="55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Final Fix, update, or new release</w:t>
      </w:r>
    </w:p>
    <w:p>
      <w:pPr>
        <w:spacing w:after="0" w:line="32" w:lineRule="exact"/>
        <w:rPr>
          <w:rFonts w:ascii="Arial" w:cs="Arial" w:eastAsia="Arial" w:hAnsi="Arial"/>
          <w:sz w:val="16"/>
          <w:szCs w:val="16"/>
          <w:color w:val="auto"/>
        </w:rPr>
      </w:pPr>
    </w:p>
    <w:p>
      <w:pPr>
        <w:ind w:left="553" w:hanging="553"/>
        <w:spacing w:after="0"/>
        <w:tabs>
          <w:tab w:leader="none" w:pos="5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9" w:hanging="559"/>
        <w:spacing w:after="0"/>
        <w:tabs>
          <w:tab w:leader="none" w:pos="5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sz w:val="20"/>
          <w:szCs w:val="20"/>
          <w:color w:val="auto"/>
        </w:rPr>
      </w:pPr>
    </w:p>
    <w:p>
      <w:pPr>
        <w:sectPr>
          <w:pgSz w:w="11900" w:h="16838" w:orient="portrait"/>
          <w:cols w:equalWidth="0" w:num="3">
            <w:col w:w="5472" w:space="227"/>
            <w:col w:w="4034" w:space="720"/>
            <w:col w:w="959"/>
          </w:cols>
          <w:pgMar w:left="248" w:top="274" w:right="239" w:bottom="1440" w:gutter="0" w:footer="0" w:header="0"/>
          <w:type w:val="continuous"/>
        </w:sectPr>
      </w:pPr>
    </w:p>
    <w:p>
      <w:pPr>
        <w:ind w:left="2152" w:right="140" w:hanging="680"/>
        <w:spacing w:after="0" w:line="277" w:lineRule="auto"/>
        <w:tabs>
          <w:tab w:leader="none" w:pos="215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the case of a FATAL or SEVERE IMPACT Error condition, Supplier shall use its best efforts to acknowledge notification of such Error condition within the time frames indicated.</w:t>
      </w:r>
    </w:p>
    <w:p>
      <w:pPr>
        <w:spacing w:after="0" w:line="75" w:lineRule="exact"/>
        <w:rPr>
          <w:rFonts w:ascii="Arial" w:cs="Arial" w:eastAsia="Arial" w:hAnsi="Arial"/>
          <w:sz w:val="18"/>
          <w:szCs w:val="18"/>
          <w:color w:val="auto"/>
        </w:rPr>
      </w:pPr>
    </w:p>
    <w:p>
      <w:pPr>
        <w:jc w:val="both"/>
        <w:ind w:left="2152" w:right="160" w:hanging="680"/>
        <w:spacing w:after="0" w:line="342" w:lineRule="auto"/>
        <w:tabs>
          <w:tab w:leader="none" w:pos="215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Supplier shall correct any and all Errors in the Software in accordance with Error Severity Levels specified above. In addition, at any time during the Error correction or technical support process, AT&amp;T may invoke the below listed escalation procedure:</w:t>
      </w:r>
    </w:p>
    <w:p>
      <w:pPr>
        <w:spacing w:after="0" w:line="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12"/>
          </w:cols>
          <w:pgMar w:left="248" w:top="274" w:right="239" w:bottom="1440" w:gutter="0" w:footer="0" w:header="0"/>
          <w:type w:val="continuous"/>
        </w:sectPr>
      </w:pPr>
    </w:p>
    <w:bookmarkStart w:id="209" w:name="page210"/>
    <w:bookmarkEnd w:id="2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760" w:right="60" w:hanging="791"/>
        <w:spacing w:after="0" w:line="259" w:lineRule="auto"/>
        <w:tabs>
          <w:tab w:leader="none" w:pos="17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Supplier’s escalation process is to ensure that when a problem is not being resolved in a satisfactory manner, (i) both AT&amp;T and Supplier have a common perception of the nature and criticality of the problem, (ii) the visibility of the problem is raised within Supplier’s organization, and (iii) appropriate Supplier resources are allocated toward solving the problem.</w:t>
      </w:r>
    </w:p>
    <w:p>
      <w:pPr>
        <w:spacing w:after="0" w:line="92" w:lineRule="exact"/>
        <w:rPr>
          <w:rFonts w:ascii="Arial" w:cs="Arial" w:eastAsia="Arial" w:hAnsi="Arial"/>
          <w:sz w:val="18"/>
          <w:szCs w:val="18"/>
          <w:color w:val="auto"/>
        </w:rPr>
      </w:pPr>
    </w:p>
    <w:p>
      <w:pPr>
        <w:ind w:left="1760" w:right="80" w:hanging="791"/>
        <w:spacing w:after="0" w:line="264" w:lineRule="auto"/>
        <w:tabs>
          <w:tab w:leader="none" w:pos="17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The following escalation process may be invoked by AT&amp;T when an Error, defect, non-conformity or technical support issue has been reported to Supplier, the Error substantially affects AT&amp;T’s use of the Software, and Supplier has not yet provided a patch or bypass around the Error.</w:t>
      </w:r>
    </w:p>
    <w:p>
      <w:pPr>
        <w:spacing w:after="0" w:line="86" w:lineRule="exact"/>
        <w:rPr>
          <w:rFonts w:ascii="Arial" w:cs="Arial" w:eastAsia="Arial" w:hAnsi="Arial"/>
          <w:sz w:val="18"/>
          <w:szCs w:val="18"/>
          <w:color w:val="auto"/>
        </w:rPr>
      </w:pPr>
    </w:p>
    <w:p>
      <w:pPr>
        <w:ind w:left="1760" w:right="480" w:hanging="791"/>
        <w:spacing w:after="0" w:line="257" w:lineRule="auto"/>
        <w:tabs>
          <w:tab w:leader="none" w:pos="17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The escalation processes can be initiated by contacting the next higher management level within Supplier’s organization. Such Supplier designate will work with AT&amp;T’s designated contact and management to bring a satisfactory solution to the situation. The effort will be focused on developing an action plan and coordinating whatever Supplier resources are required to meet AT&amp;T’s needs as rapidly as possible, within the policy stated above.</w:t>
      </w:r>
    </w:p>
    <w:p>
      <w:pPr>
        <w:spacing w:after="0" w:line="93" w:lineRule="exact"/>
        <w:rPr>
          <w:rFonts w:ascii="Arial" w:cs="Arial" w:eastAsia="Arial" w:hAnsi="Arial"/>
          <w:sz w:val="18"/>
          <w:szCs w:val="18"/>
          <w:color w:val="auto"/>
        </w:rPr>
      </w:pPr>
    </w:p>
    <w:p>
      <w:pPr>
        <w:ind w:left="1760" w:right="400" w:hanging="791"/>
        <w:spacing w:after="0" w:line="277" w:lineRule="auto"/>
        <w:tabs>
          <w:tab w:leader="none" w:pos="17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During the period of the action plan, regular status update communications will be established between AT&amp;T’s designate and Supplier’s designate.</w:t>
      </w:r>
    </w:p>
    <w:p>
      <w:pPr>
        <w:spacing w:after="0" w:line="75" w:lineRule="exact"/>
        <w:rPr>
          <w:rFonts w:ascii="Arial" w:cs="Arial" w:eastAsia="Arial" w:hAnsi="Arial"/>
          <w:sz w:val="18"/>
          <w:szCs w:val="18"/>
          <w:color w:val="auto"/>
        </w:rPr>
      </w:pPr>
    </w:p>
    <w:p>
      <w:pPr>
        <w:ind w:left="1760" w:right="440" w:hanging="791"/>
        <w:spacing w:after="0" w:line="342" w:lineRule="auto"/>
        <w:tabs>
          <w:tab w:leader="none" w:pos="1760" w:val="left"/>
        </w:tabs>
        <w:numPr>
          <w:ilvl w:val="2"/>
          <w:numId w:val="231"/>
        </w:numPr>
        <w:rPr>
          <w:rFonts w:ascii="Arial" w:cs="Arial" w:eastAsia="Arial" w:hAnsi="Arial"/>
          <w:sz w:val="16"/>
          <w:szCs w:val="16"/>
          <w:color w:val="auto"/>
        </w:rPr>
      </w:pPr>
      <w:r>
        <w:rPr>
          <w:rFonts w:ascii="Arial" w:cs="Arial" w:eastAsia="Arial" w:hAnsi="Arial"/>
          <w:sz w:val="16"/>
          <w:szCs w:val="16"/>
          <w:color w:val="auto"/>
        </w:rPr>
        <w:t>If an action plan cannot be agreed to, or if the action plan fails to provide a satisfactory solution within the time frame defined in the action plan, the problem will be escalated to Supplier’s highest management level.</w:t>
      </w:r>
    </w:p>
    <w:p>
      <w:pPr>
        <w:spacing w:after="0" w:line="29" w:lineRule="exact"/>
        <w:rPr>
          <w:rFonts w:ascii="Arial" w:cs="Arial" w:eastAsia="Arial" w:hAnsi="Arial"/>
          <w:sz w:val="16"/>
          <w:szCs w:val="16"/>
          <w:color w:val="auto"/>
        </w:rPr>
      </w:pPr>
    </w:p>
    <w:p>
      <w:pPr>
        <w:ind w:left="960" w:right="160" w:hanging="680"/>
        <w:spacing w:after="0" w:line="264" w:lineRule="auto"/>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any FATAL or SEVERE IMPACT Software Error cannot be corrected by Supplier within the indicated timeframes, Supplier shall provide [***] or a portion thereof, that the FATAL or SEVERE IMPACT Error remains unresolved after the work around/temporary fix resolution period specified above. [***].</w:t>
      </w:r>
    </w:p>
    <w:p>
      <w:pPr>
        <w:spacing w:after="0" w:line="86" w:lineRule="exact"/>
        <w:rPr>
          <w:rFonts w:ascii="Arial" w:cs="Arial" w:eastAsia="Arial" w:hAnsi="Arial"/>
          <w:sz w:val="18"/>
          <w:szCs w:val="18"/>
          <w:color w:val="auto"/>
        </w:rPr>
      </w:pPr>
    </w:p>
    <w:p>
      <w:pPr>
        <w:ind w:left="960" w:right="500" w:hanging="680"/>
        <w:spacing w:after="0" w:line="264" w:lineRule="auto"/>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addition, if a FATAL Error remains unresolved [***] after reporting thereof by AT&amp;T, or, if a SEVERE IMPACT Error remains unresolved [***] after reporting by AT&amp;T, upon AT&amp;T’s request, Supplier shall provide a Software engineer at AT&amp;T’s site(s), at no additional charge, to resolve the Software Error.</w:t>
      </w:r>
    </w:p>
    <w:p>
      <w:pPr>
        <w:spacing w:after="0" w:line="86" w:lineRule="exact"/>
        <w:rPr>
          <w:rFonts w:ascii="Arial" w:cs="Arial" w:eastAsia="Arial" w:hAnsi="Arial"/>
          <w:sz w:val="18"/>
          <w:szCs w:val="18"/>
          <w:color w:val="auto"/>
        </w:rPr>
      </w:pPr>
    </w:p>
    <w:p>
      <w:pPr>
        <w:ind w:left="960" w:right="40" w:hanging="680"/>
        <w:spacing w:after="0" w:line="288" w:lineRule="auto"/>
        <w:tabs>
          <w:tab w:leader="none" w:pos="9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Parties acknowledge that DEGRADED OPERATIONS and/or MINIMAL IMPACT Errors are generally less serious than FATAL or SEVERE IMPACT Errors. The Parties further acknowledge and agree that elongated resolution of such Errors can be detrimental to AT&amp;T’s use of the Software. Therefore, in the event that DEGRADED OPERATIONS Errors remain unresolved</w:t>
      </w:r>
    </w:p>
    <w:p>
      <w:pPr>
        <w:ind w:left="960" w:right="60" w:hanging="5"/>
        <w:spacing w:after="0" w:line="254" w:lineRule="auto"/>
        <w:tabs>
          <w:tab w:leader="none" w:pos="139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after AT&amp;T’s initial report of the Error and AT&amp;T’s notice of required resolution to Supplier, or MINIMAL IMPACT Errors remain unresolved [***] after AT&amp;T’s report of the Error and AT&amp;T’s notice of required resolution to Supplier, Supplier shall issue [***], for each day beyond [***]for DEGRADED OPERATIONS Errors and/or [***] days for MINIMAL IMPACT Errors that the Error remains unresolved. [***].</w:t>
      </w:r>
    </w:p>
    <w:p>
      <w:pPr>
        <w:spacing w:after="0" w:line="95" w:lineRule="exact"/>
        <w:rPr>
          <w:rFonts w:ascii="Arial" w:cs="Arial" w:eastAsia="Arial" w:hAnsi="Arial"/>
          <w:sz w:val="18"/>
          <w:szCs w:val="18"/>
          <w:color w:val="auto"/>
        </w:rPr>
      </w:pPr>
    </w:p>
    <w:p>
      <w:pPr>
        <w:ind w:left="960" w:right="20" w:hanging="680"/>
        <w:spacing w:after="0" w:line="257" w:lineRule="auto"/>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Supplier shall provide AT&amp;T with toll-free telephone hotline assistance related to operation of the Software, including questions about individual features or suspected malfunctions. In addition, Supplier shall provide AT&amp;T with emergency after-hours or weekend contact numbers wherein support can be obtained in the event of unavailability of the Software due to a FATAL or SEVERE IMPACT Error. If a FATAL Error is reported after hours, or during the weekend, Supplier shall begin workaround/temporary fix activities as soon as possible</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20"/>
          </w:cols>
          <w:pgMar w:left="1440" w:top="274"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680" w:hanging="672"/>
        <w:spacing w:after="0"/>
        <w:tabs>
          <w:tab w:leader="none" w:pos="68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Special Terms and Conditions:</w:t>
      </w:r>
    </w:p>
    <w:p>
      <w:pPr>
        <w:spacing w:after="0" w:line="130"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Invoice/Billing</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Invoices and billing information are to be sent electronically to:</w:t>
      </w:r>
    </w:p>
    <w:p>
      <w:pPr>
        <w:spacing w:after="0" w:line="117" w:lineRule="exact"/>
        <w:rPr>
          <w:rFonts w:ascii="Arial" w:cs="Arial" w:eastAsia="Arial" w:hAnsi="Arial"/>
          <w:sz w:val="18"/>
          <w:szCs w:val="18"/>
          <w:b w:val="1"/>
          <w:bCs w:val="1"/>
          <w:color w:val="auto"/>
        </w:rPr>
      </w:pPr>
    </w:p>
    <w:p>
      <w:pPr>
        <w:ind w:left="1500" w:right="3800" w:firstLine="685"/>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&lt;Enter applicable AT&amp;T Business Unit/Finance Name&gt;: &lt;</w:t>
      </w:r>
      <w:r>
        <w:rPr>
          <w:rFonts w:ascii="Arial" w:cs="Arial" w:eastAsia="Arial" w:hAnsi="Arial"/>
          <w:sz w:val="18"/>
          <w:szCs w:val="18"/>
          <w:u w:val="single" w:color="auto"/>
          <w:color w:val="auto"/>
        </w:rPr>
        <w:t>email@att.com</w:t>
      </w:r>
      <w:r>
        <w:rPr>
          <w:rFonts w:ascii="Arial" w:cs="Arial" w:eastAsia="Arial" w:hAnsi="Arial"/>
          <w:sz w:val="18"/>
          <w:szCs w:val="18"/>
          <w:color w:val="auto"/>
        </w:rPr>
        <w:t>&gt; Copies of all invoices are to be sent to:</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AT&amp;T will notify Amdocs of any changes regarding invoices and billing information at &lt;Enter Phone Number (xxx)xxx-xxxx&gt; or email:</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NAME@amdocs.com</w:t>
      </w:r>
      <w:r>
        <w:rPr>
          <w:rFonts w:ascii="Arial" w:cs="Arial" w:eastAsia="Arial" w:hAnsi="Arial"/>
          <w:sz w:val="18"/>
          <w:szCs w:val="18"/>
          <w:color w:val="auto"/>
        </w:rPr>
        <w:t>&gt;.</w:t>
      </w:r>
    </w:p>
    <w:p>
      <w:pPr>
        <w:spacing w:after="0" w:line="112" w:lineRule="exact"/>
        <w:rPr>
          <w:sz w:val="20"/>
          <w:szCs w:val="20"/>
          <w:color w:val="auto"/>
        </w:rPr>
      </w:pPr>
    </w:p>
    <w:p>
      <w:pPr>
        <w:ind w:left="680" w:hanging="672"/>
        <w:spacing w:after="0"/>
        <w:tabs>
          <w:tab w:leader="none" w:pos="6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21" w:lineRule="exact"/>
        <w:rPr>
          <w:rFonts w:ascii="Arial" w:cs="Arial" w:eastAsia="Arial" w:hAnsi="Arial"/>
          <w:sz w:val="18"/>
          <w:szCs w:val="18"/>
          <w:b w:val="1"/>
          <w:bCs w:val="1"/>
          <w:color w:val="auto"/>
        </w:rPr>
      </w:pPr>
    </w:p>
    <w:p>
      <w:pPr>
        <w:ind w:left="70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Payment terms for invoices issued under this Order shall be in accordance with Section 3.19, “Invoicing and Payment” of the Master Services Agreement, which is, as of the Effective Date of this Order, net [***] days from the date of receipt of the invoice.</w:t>
      </w:r>
    </w:p>
    <w:p>
      <w:pPr>
        <w:spacing w:after="0" w:line="71" w:lineRule="exact"/>
        <w:rPr>
          <w:rFonts w:ascii="Arial" w:cs="Arial" w:eastAsia="Arial" w:hAnsi="Arial"/>
          <w:sz w:val="18"/>
          <w:szCs w:val="18"/>
          <w:b w:val="1"/>
          <w:bCs w:val="1"/>
          <w:color w:val="auto"/>
        </w:rPr>
      </w:pPr>
    </w:p>
    <w:p>
      <w:pPr>
        <w:ind w:left="680" w:hanging="672"/>
        <w:spacing w:after="0"/>
        <w:tabs>
          <w:tab w:leader="none" w:pos="6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Paid-For Development:</w:t>
      </w:r>
    </w:p>
    <w:p>
      <w:pPr>
        <w:spacing w:after="0" w:line="121" w:lineRule="exact"/>
        <w:rPr>
          <w:rFonts w:ascii="Arial" w:cs="Arial" w:eastAsia="Arial" w:hAnsi="Arial"/>
          <w:sz w:val="18"/>
          <w:szCs w:val="18"/>
          <w:b w:val="1"/>
          <w:bCs w:val="1"/>
          <w:color w:val="auto"/>
        </w:rPr>
      </w:pPr>
    </w:p>
    <w:p>
      <w:pPr>
        <w:ind w:left="70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avoidance of doubt, and for purposes of interpreting AT&amp;T’s right to Program Material and Documentation created hereunder, title to all Work output hereunder shall be determined in accordance with the Master Services Agreement, Section 3.27, “Ownership of Paid-For Development, Use and Reservation of Rights”.</w:t>
      </w:r>
    </w:p>
    <w:p>
      <w:pPr>
        <w:spacing w:after="0" w:line="82" w:lineRule="exact"/>
        <w:rPr>
          <w:rFonts w:ascii="Arial" w:cs="Arial" w:eastAsia="Arial" w:hAnsi="Arial"/>
          <w:sz w:val="18"/>
          <w:szCs w:val="18"/>
          <w:b w:val="1"/>
          <w:bCs w:val="1"/>
          <w:color w:val="auto"/>
        </w:rPr>
      </w:pPr>
    </w:p>
    <w:p>
      <w:pPr>
        <w:ind w:left="680" w:hanging="672"/>
        <w:spacing w:after="0"/>
        <w:tabs>
          <w:tab w:leader="none" w:pos="6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21" w:lineRule="exact"/>
        <w:rPr>
          <w:rFonts w:ascii="Arial" w:cs="Arial" w:eastAsia="Arial" w:hAnsi="Arial"/>
          <w:sz w:val="18"/>
          <w:szCs w:val="18"/>
          <w:b w:val="1"/>
          <w:bCs w:val="1"/>
          <w:color w:val="auto"/>
        </w:rPr>
      </w:pPr>
    </w:p>
    <w:p>
      <w:pPr>
        <w:ind w:left="70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addition to all other rights provided by Section 3.16, “Information”, pursuant to the Master Services Agreement, any Information received by Amdocs from AT&amp;T or other parties engaged in this Work shall be considered and treated as confidential Information under the Order, regardless of any requirement to put it in writing under the Master Services Agreement or separate Non-Disclosure Agreement (NDA).</w:t>
      </w:r>
    </w:p>
    <w:p>
      <w:pPr>
        <w:spacing w:after="0" w:line="66" w:lineRule="exact"/>
        <w:rPr>
          <w:rFonts w:ascii="Arial" w:cs="Arial" w:eastAsia="Arial" w:hAnsi="Arial"/>
          <w:sz w:val="18"/>
          <w:szCs w:val="18"/>
          <w:b w:val="1"/>
          <w:bCs w:val="1"/>
          <w:color w:val="auto"/>
        </w:rPr>
      </w:pPr>
    </w:p>
    <w:p>
      <w:pPr>
        <w:ind w:left="680" w:hanging="672"/>
        <w:spacing w:after="0"/>
        <w:tabs>
          <w:tab w:leader="none" w:pos="6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7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Termination and Partial Termination provisions applicable to this Order are contained in Section 3.36, “Termination”, of the Master Services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40" w:type="dxa"/>
            <w:vAlign w:val="bottom"/>
            <w:gridSpan w:val="3"/>
          </w:tcPr>
          <w:p>
            <w:pPr>
              <w:ind w:left="440"/>
              <w:spacing w:after="0"/>
              <w:rPr>
                <w:sz w:val="20"/>
                <w:szCs w:val="20"/>
                <w:color w:val="auto"/>
              </w:rPr>
            </w:pPr>
            <w:r>
              <w:rPr>
                <w:rFonts w:ascii="Arial" w:cs="Arial" w:eastAsia="Arial" w:hAnsi="Arial"/>
                <w:sz w:val="18"/>
                <w:szCs w:val="18"/>
                <w:color w:val="auto"/>
                <w:w w:val="89"/>
              </w:rPr>
              <w:t>Software and Professional Services Agreement</w:t>
            </w:r>
          </w:p>
        </w:tc>
      </w:tr>
      <w:tr>
        <w:trPr>
          <w:trHeight w:val="581"/>
        </w:trPr>
        <w:tc>
          <w:tcPr>
            <w:tcW w:w="760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IN WITNESS WHEREOF</w:t>
            </w:r>
            <w:r>
              <w:rPr>
                <w:rFonts w:ascii="Arial" w:cs="Arial" w:eastAsia="Arial" w:hAnsi="Arial"/>
                <w:sz w:val="18"/>
                <w:szCs w:val="18"/>
                <w:color w:val="auto"/>
                <w:w w:val="93"/>
              </w:rPr>
              <w:t>, the Parties have caused this Order to be executed as of the Effective Date.</w:t>
            </w:r>
          </w:p>
        </w:tc>
        <w:tc>
          <w:tcPr>
            <w:tcW w:w="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Amdocs, Inc.</w:t>
            </w:r>
          </w:p>
        </w:tc>
        <w:tc>
          <w:tcPr>
            <w:tcW w:w="3840" w:type="dxa"/>
            <w:vAlign w:val="bottom"/>
            <w:gridSpan w:val="3"/>
          </w:tcPr>
          <w:p>
            <w:pPr>
              <w:ind w:left="14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7600" w:type="dxa"/>
            <w:vAlign w:val="bottom"/>
            <w:gridSpan w:val="3"/>
          </w:tcPr>
          <w:p>
            <w:pPr>
              <w:spacing w:after="0"/>
              <w:rPr>
                <w:sz w:val="20"/>
                <w:szCs w:val="20"/>
                <w:color w:val="auto"/>
              </w:rPr>
            </w:pPr>
            <w:r>
              <w:rPr>
                <w:rFonts w:ascii="Arial" w:cs="Arial" w:eastAsia="Arial" w:hAnsi="Arial"/>
                <w:sz w:val="18"/>
                <w:szCs w:val="18"/>
                <w:color w:val="auto"/>
              </w:rPr>
              <w:t>By:</w:t>
            </w: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By: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&lt;Supplier Signatory Name&gt;</w:t>
            </w:r>
          </w:p>
        </w:tc>
        <w:tc>
          <w:tcPr>
            <w:tcW w:w="3480" w:type="dxa"/>
            <w:vAlign w:val="bottom"/>
          </w:tcPr>
          <w:p>
            <w:pPr>
              <w:spacing w:after="0"/>
              <w:rPr>
                <w:sz w:val="19"/>
                <w:szCs w:val="19"/>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Name:</w:t>
            </w:r>
          </w:p>
        </w:tc>
        <w:tc>
          <w:tcPr>
            <w:tcW w:w="3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&lt;AT&amp;T Signatory Name&gt;</w:t>
            </w:r>
          </w:p>
        </w:tc>
        <w:tc>
          <w:tcPr>
            <w:tcW w:w="20" w:type="dxa"/>
            <w:vAlign w:val="bottom"/>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&lt;Supplier Signatory Title&gt;</w:t>
            </w:r>
          </w:p>
        </w:tc>
        <w:tc>
          <w:tcPr>
            <w:tcW w:w="3480" w:type="dxa"/>
            <w:vAlign w:val="bottom"/>
          </w:tcPr>
          <w:p>
            <w:pPr>
              <w:spacing w:after="0"/>
              <w:rPr>
                <w:sz w:val="19"/>
                <w:szCs w:val="19"/>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Title:</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&lt;AT&amp;T Signatory Title&gt;</w:t>
            </w:r>
          </w:p>
        </w:tc>
        <w:tc>
          <w:tcPr>
            <w:tcW w:w="20" w:type="dxa"/>
            <w:vAlign w:val="bottom"/>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Borders>
              <w:bottom w:val="single" w:sz="8" w:color="auto"/>
            </w:tcBorders>
          </w:tcPr>
          <w:p>
            <w:pPr>
              <w:spacing w:after="0"/>
              <w:rPr>
                <w:sz w:val="19"/>
                <w:szCs w:val="19"/>
                <w:color w:val="auto"/>
              </w:rPr>
            </w:pPr>
          </w:p>
        </w:tc>
        <w:tc>
          <w:tcPr>
            <w:tcW w:w="3480" w:type="dxa"/>
            <w:vAlign w:val="bottom"/>
          </w:tcPr>
          <w:p>
            <w:pPr>
              <w:spacing w:after="0"/>
              <w:rPr>
                <w:sz w:val="19"/>
                <w:szCs w:val="19"/>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Date:</w:t>
            </w:r>
          </w:p>
        </w:tc>
        <w:tc>
          <w:tcPr>
            <w:tcW w:w="3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Appendix B, Exhibit 2 – For use when issuing a Purchase Order</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220"/>
          </w:cols>
          <w:pgMar w:left="1440" w:top="274"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Statement of Work</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 53258.&lt;X&gt;.&lt;XXX&gt;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220"/>
          </w:cols>
          <w:pgMar w:left="1440" w:top="274"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Statement of Work (“SOW”) is by and between Amdocs, Inc., a Delaware corporation (“Supplier” or “Amdocs”), and AT&amp;T Services, Inc., a Delaware corporation (“AT&amp;T”), and shall become a part of a Purchase Order which is governed pursuant to the terms and conditions of Master Services Agreement Number 53258.C (the “Master Services Agreement”), which by this reference are incorporated as if fully set forth herein. Any terms and conditions in this SOW that vary from or are inconsistent with the terms and conditions of the Software Master Agreement Number 24340.C, formerly 03032360 (the “Software Master Agreement”) or the Master Services Agreement shall apply to this SOW only, and shall survive the Termination or expiration of the Master Services Agreement or the Software Master Agreement.</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avoidance of doubt, terms and conditions preprinted on any Purchase Order, Purchase Order acceptance or acknowledgement (if any) shall not be given any effect as they are superseded by the terms and conditions herein.</w:t>
      </w:r>
    </w:p>
    <w:p>
      <w:pPr>
        <w:spacing w:after="0" w:line="72" w:lineRule="exact"/>
        <w:rPr>
          <w:sz w:val="20"/>
          <w:szCs w:val="20"/>
          <w:color w:val="auto"/>
        </w:rPr>
      </w:pPr>
    </w:p>
    <w:p>
      <w:pPr>
        <w:ind w:left="680" w:hanging="672"/>
        <w:spacing w:after="0"/>
        <w:tabs>
          <w:tab w:leader="none" w:pos="6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Agreement Number: 53258.&lt;X&gt;.&lt;XXX&gt; </w:t>
      </w:r>
      <w:r>
        <w:rPr>
          <w:rFonts w:ascii="Arial" w:cs="Arial" w:eastAsia="Arial" w:hAnsi="Arial"/>
          <w:sz w:val="18"/>
          <w:szCs w:val="18"/>
          <w:color w:val="auto"/>
        </w:rPr>
        <w:t>must appear on all invoices</w:t>
      </w:r>
    </w:p>
    <w:p>
      <w:pPr>
        <w:spacing w:after="0" w:line="27"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Amdocs Order Number: &lt;Enter No.&gt;</w:t>
      </w:r>
    </w:p>
    <w:p>
      <w:pPr>
        <w:spacing w:after="0" w:line="112" w:lineRule="exact"/>
        <w:rPr>
          <w:rFonts w:ascii="Arial" w:cs="Arial" w:eastAsia="Arial" w:hAnsi="Arial"/>
          <w:sz w:val="18"/>
          <w:szCs w:val="18"/>
          <w:b w:val="1"/>
          <w:bCs w:val="1"/>
          <w:color w:val="auto"/>
        </w:rPr>
      </w:pPr>
    </w:p>
    <w:p>
      <w:pPr>
        <w:ind w:left="680" w:hanging="672"/>
        <w:spacing w:after="0"/>
        <w:tabs>
          <w:tab w:leader="none" w:pos="6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Term of Services</w:t>
      </w:r>
      <w:r>
        <w:rPr>
          <w:rFonts w:ascii="Arial" w:cs="Arial" w:eastAsia="Arial" w:hAnsi="Arial"/>
          <w:sz w:val="18"/>
          <w:szCs w:val="18"/>
          <w:color w:val="auto"/>
        </w:rPr>
        <w:t>: Effective dates are &lt;Month, DD, YYYY&gt;, through &lt;Month, DD, YYYY&gt;.</w:t>
      </w:r>
    </w:p>
    <w:p>
      <w:pPr>
        <w:spacing w:after="0" w:line="130" w:lineRule="exact"/>
        <w:rPr>
          <w:rFonts w:ascii="Arial" w:cs="Arial" w:eastAsia="Arial" w:hAnsi="Arial"/>
          <w:sz w:val="18"/>
          <w:szCs w:val="18"/>
          <w:b w:val="1"/>
          <w:bCs w:val="1"/>
          <w:color w:val="auto"/>
        </w:rPr>
      </w:pPr>
    </w:p>
    <w:p>
      <w:pPr>
        <w:ind w:left="680" w:hanging="672"/>
        <w:spacing w:after="0"/>
        <w:tabs>
          <w:tab w:leader="none" w:pos="6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Project Name and Description: &lt;</w:t>
      </w:r>
      <w:r>
        <w:rPr>
          <w:rFonts w:ascii="Arial" w:cs="Arial" w:eastAsia="Arial" w:hAnsi="Arial"/>
          <w:sz w:val="18"/>
          <w:szCs w:val="18"/>
          <w:color w:val="auto"/>
        </w:rPr>
        <w:t>Enter Details&gt;</w:t>
      </w:r>
    </w:p>
    <w:p>
      <w:pPr>
        <w:spacing w:after="0" w:line="130" w:lineRule="exact"/>
        <w:rPr>
          <w:rFonts w:ascii="Arial" w:cs="Arial" w:eastAsia="Arial" w:hAnsi="Arial"/>
          <w:sz w:val="18"/>
          <w:szCs w:val="18"/>
          <w:b w:val="1"/>
          <w:bCs w:val="1"/>
          <w:color w:val="auto"/>
        </w:rPr>
      </w:pPr>
    </w:p>
    <w:p>
      <w:pPr>
        <w:ind w:left="700" w:right="4100" w:hanging="692"/>
        <w:spacing w:after="0" w:line="282" w:lineRule="auto"/>
        <w:tabs>
          <w:tab w:leader="none" w:pos="691"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Custom Software and Program Material and/or Scope of Other Services Ordered: </w:t>
      </w:r>
      <w:r>
        <w:rPr>
          <w:rFonts w:ascii="Arial" w:cs="Arial" w:eastAsia="Arial" w:hAnsi="Arial"/>
          <w:sz w:val="18"/>
          <w:szCs w:val="18"/>
          <w:color w:val="auto"/>
        </w:rPr>
        <w:t>This SOW is to &lt;Enter specific details&gt;</w:t>
      </w:r>
    </w:p>
    <w:p>
      <w:pPr>
        <w:spacing w:after="0" w:line="67" w:lineRule="exact"/>
        <w:rPr>
          <w:rFonts w:ascii="Arial" w:cs="Arial" w:eastAsia="Arial" w:hAnsi="Arial"/>
          <w:sz w:val="18"/>
          <w:szCs w:val="18"/>
          <w:b w:val="1"/>
          <w:bCs w:val="1"/>
          <w:color w:val="auto"/>
        </w:rPr>
      </w:pPr>
    </w:p>
    <w:p>
      <w:pPr>
        <w:ind w:left="680" w:hanging="672"/>
        <w:spacing w:after="0"/>
        <w:tabs>
          <w:tab w:leader="none" w:pos="6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Software: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680" w:hanging="672"/>
        <w:spacing w:after="0"/>
        <w:tabs>
          <w:tab w:leader="none" w:pos="6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Items Ordered: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680" w:hanging="672"/>
        <w:spacing w:after="0"/>
        <w:tabs>
          <w:tab w:leader="none" w:pos="6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Milestones/Resources:</w:t>
      </w:r>
    </w:p>
    <w:p>
      <w:pPr>
        <w:spacing w:after="0" w:line="130"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Milestones:</w:t>
      </w:r>
    </w:p>
    <w:p>
      <w:pPr>
        <w:spacing w:after="0" w:line="121" w:lineRule="exact"/>
        <w:rPr>
          <w:rFonts w:ascii="Arial" w:cs="Arial" w:eastAsia="Arial" w:hAnsi="Arial"/>
          <w:sz w:val="18"/>
          <w:szCs w:val="18"/>
          <w:b w:val="1"/>
          <w:bCs w:val="1"/>
          <w:color w:val="auto"/>
        </w:rPr>
      </w:pPr>
    </w:p>
    <w:p>
      <w:pPr>
        <w:ind w:left="1500" w:right="4760"/>
        <w:spacing w:after="0" w:line="483" w:lineRule="auto"/>
        <w:rPr>
          <w:rFonts w:ascii="Arial" w:cs="Arial" w:eastAsia="Arial" w:hAnsi="Arial"/>
          <w:sz w:val="18"/>
          <w:szCs w:val="18"/>
          <w:b w:val="1"/>
          <w:bCs w:val="1"/>
          <w:color w:val="auto"/>
        </w:rPr>
      </w:pPr>
      <w:r>
        <w:rPr>
          <w:rFonts w:ascii="Arial" w:cs="Arial" w:eastAsia="Arial" w:hAnsi="Arial"/>
          <w:sz w:val="16"/>
          <w:szCs w:val="16"/>
          <w:color w:val="auto"/>
        </w:rPr>
        <w:t>Planned milestones as of the Effective Date of this SOW are as follows: &lt;Table below is an example and may be modified as required&gt;</w:t>
      </w:r>
    </w:p>
    <w:p>
      <w:pPr>
        <w:spacing w:after="0" w:line="34" w:lineRule="exact"/>
        <w:rPr>
          <w:sz w:val="20"/>
          <w:szCs w:val="20"/>
          <w:color w:val="auto"/>
        </w:rPr>
      </w:pPr>
    </w:p>
    <w:p>
      <w:pPr>
        <w:ind w:left="1380"/>
        <w:spacing w:after="0"/>
        <w:tabs>
          <w:tab w:leader="none" w:pos="8260" w:val="left"/>
          <w:tab w:leader="none" w:pos="9700" w:val="left"/>
        </w:tabs>
        <w:rPr>
          <w:sz w:val="20"/>
          <w:szCs w:val="20"/>
          <w:color w:val="auto"/>
        </w:rPr>
      </w:pPr>
      <w:r>
        <w:rPr>
          <w:rFonts w:ascii="Arial" w:cs="Arial" w:eastAsia="Arial" w:hAnsi="Arial"/>
          <w:sz w:val="14"/>
          <w:szCs w:val="14"/>
          <w:b w:val="1"/>
          <w:bCs w:val="1"/>
          <w:u w:val="single" w:color="auto"/>
          <w:color w:val="auto"/>
        </w:rPr>
        <w:t>Milestone No.</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2"/>
          <w:szCs w:val="12"/>
          <w:b w:val="1"/>
          <w:bCs w:val="1"/>
          <w:u w:val="single" w:color="auto"/>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15240</wp:posOffset>
            </wp:positionV>
            <wp:extent cx="550545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1480" w:hanging="797"/>
        <w:spacing w:after="0"/>
        <w:tabs>
          <w:tab w:leader="none" w:pos="14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Offshore Resources:</w:t>
      </w:r>
    </w:p>
    <w:p>
      <w:pPr>
        <w:spacing w:after="0" w:line="121" w:lineRule="exact"/>
        <w:rPr>
          <w:rFonts w:ascii="Arial" w:cs="Arial" w:eastAsia="Arial" w:hAnsi="Arial"/>
          <w:sz w:val="18"/>
          <w:szCs w:val="18"/>
          <w:b w:val="1"/>
          <w:bCs w:val="1"/>
          <w:color w:val="auto"/>
        </w:rPr>
      </w:pPr>
    </w:p>
    <w:p>
      <w:pPr>
        <w:ind w:left="15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Offshore resources working on this SOW may be located at AT&amp;T-approved locations found in the Master Services Agreement, and at the following address(es):</w:t>
      </w:r>
    </w:p>
    <w:p>
      <w:pPr>
        <w:spacing w:after="0" w:line="6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&lt;Address Number Street and Room&gt;</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&lt;City, State/Province Zip&gt;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&lt;Country&gt;</w:t>
      </w:r>
    </w:p>
    <w:p>
      <w:pPr>
        <w:spacing w:after="0" w:line="103" w:lineRule="exact"/>
        <w:rPr>
          <w:sz w:val="20"/>
          <w:szCs w:val="20"/>
          <w:color w:val="auto"/>
        </w:rPr>
      </w:pPr>
    </w:p>
    <w:p>
      <w:pPr>
        <w:ind w:left="1500" w:right="520"/>
        <w:spacing w:after="0" w:line="277" w:lineRule="auto"/>
        <w:rPr>
          <w:sz w:val="20"/>
          <w:szCs w:val="20"/>
          <w:color w:val="auto"/>
        </w:rPr>
      </w:pPr>
      <w:r>
        <w:rPr>
          <w:rFonts w:ascii="Arial" w:cs="Arial" w:eastAsia="Arial" w:hAnsi="Arial"/>
          <w:sz w:val="18"/>
          <w:szCs w:val="18"/>
          <w:color w:val="auto"/>
        </w:rPr>
        <w:t>Amdocs Offshore resources can only access AT&amp;T Systems/data in accordance with the Master Services Agreement, Appendix D, “Security and Offshore Requirements”.</w:t>
      </w:r>
    </w:p>
    <w:p>
      <w:pPr>
        <w:spacing w:after="0" w:line="72" w:lineRule="exact"/>
        <w:rPr>
          <w:sz w:val="20"/>
          <w:szCs w:val="20"/>
          <w:color w:val="auto"/>
        </w:rPr>
      </w:pPr>
    </w:p>
    <w:p>
      <w:pPr>
        <w:ind w:left="1480" w:hanging="797"/>
        <w:spacing w:after="0"/>
        <w:tabs>
          <w:tab w:leader="none" w:pos="148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USA-Based Resources:</w:t>
      </w:r>
    </w:p>
    <w:p>
      <w:pPr>
        <w:spacing w:after="0" w:line="121" w:lineRule="exact"/>
        <w:rPr>
          <w:rFonts w:ascii="Arial" w:cs="Arial" w:eastAsia="Arial" w:hAnsi="Arial"/>
          <w:sz w:val="18"/>
          <w:szCs w:val="18"/>
          <w:b w:val="1"/>
          <w:bCs w:val="1"/>
          <w:color w:val="auto"/>
        </w:rPr>
      </w:pPr>
    </w:p>
    <w:p>
      <w:pPr>
        <w:ind w:left="150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USA-based resources shall work pursuant to the general directions provided by AT&amp;T to Amdocs towards the assigned milestones but shall not in any way be deemed to be employees of AT&amp;T.</w:t>
      </w:r>
    </w:p>
    <w:p>
      <w:pPr>
        <w:spacing w:after="0" w:line="71"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Staffing Details:</w:t>
      </w:r>
    </w:p>
    <w:p>
      <w:pPr>
        <w:spacing w:after="0" w:line="121" w:lineRule="exact"/>
        <w:rPr>
          <w:rFonts w:ascii="Arial" w:cs="Arial" w:eastAsia="Arial" w:hAnsi="Arial"/>
          <w:sz w:val="18"/>
          <w:szCs w:val="18"/>
          <w:b w:val="1"/>
          <w:bCs w:val="1"/>
          <w:color w:val="auto"/>
        </w:rPr>
      </w:pPr>
    </w:p>
    <w:p>
      <w:pPr>
        <w:ind w:left="1500" w:right="5220"/>
        <w:spacing w:after="0" w:line="575" w:lineRule="auto"/>
        <w:rPr>
          <w:rFonts w:ascii="Arial" w:cs="Arial" w:eastAsia="Arial" w:hAnsi="Arial"/>
          <w:sz w:val="18"/>
          <w:szCs w:val="18"/>
          <w:b w:val="1"/>
          <w:bCs w:val="1"/>
          <w:color w:val="auto"/>
        </w:rPr>
      </w:pPr>
      <w:r>
        <w:rPr>
          <w:rFonts w:ascii="Arial" w:cs="Arial" w:eastAsia="Arial" w:hAnsi="Arial"/>
          <w:sz w:val="16"/>
          <w:szCs w:val="16"/>
          <w:color w:val="auto"/>
        </w:rPr>
        <w:t>Planned roles and full time equivalent (“FTE”) resources needed: &lt;Table below is an example and may be modified as required&gt;</w:t>
      </w:r>
    </w:p>
    <w:p>
      <w:pPr>
        <w:spacing w:after="0" w:line="1" w:lineRule="exact"/>
        <w:rPr>
          <w:sz w:val="20"/>
          <w:szCs w:val="20"/>
          <w:color w:val="auto"/>
        </w:rPr>
      </w:pPr>
    </w:p>
    <w:p>
      <w:pPr>
        <w:ind w:left="920"/>
        <w:spacing w:after="0"/>
        <w:tabs>
          <w:tab w:leader="none" w:pos="6560" w:val="left"/>
          <w:tab w:leader="none" w:pos="8440" w:val="left"/>
          <w:tab w:leader="none" w:pos="10160" w:val="left"/>
        </w:tabs>
        <w:rPr>
          <w:sz w:val="20"/>
          <w:szCs w:val="20"/>
          <w:color w:val="auto"/>
        </w:rPr>
      </w:pPr>
      <w:r>
        <w:rPr>
          <w:rFonts w:ascii="Arial" w:cs="Arial" w:eastAsia="Arial" w:hAnsi="Arial"/>
          <w:sz w:val="14"/>
          <w:szCs w:val="14"/>
          <w:b w:val="1"/>
          <w:bCs w:val="1"/>
          <w:u w:val="single" w:color="auto"/>
          <w:color w:val="auto"/>
        </w:rPr>
        <w:t>Role</w:t>
      </w:r>
      <w:r>
        <w:rPr>
          <w:sz w:val="20"/>
          <w:szCs w:val="20"/>
          <w:color w:val="auto"/>
        </w:rPr>
        <w:tab/>
      </w:r>
      <w:r>
        <w:rPr>
          <w:rFonts w:ascii="Arial" w:cs="Arial" w:eastAsia="Arial" w:hAnsi="Arial"/>
          <w:sz w:val="14"/>
          <w:szCs w:val="14"/>
          <w:b w:val="1"/>
          <w:bCs w:val="1"/>
          <w:u w:val="single" w:color="auto"/>
          <w:color w:val="auto"/>
        </w:rPr>
        <w:t>USA-Based FTEs</w:t>
      </w:r>
      <w:r>
        <w:rPr>
          <w:sz w:val="20"/>
          <w:szCs w:val="20"/>
          <w:color w:val="auto"/>
        </w:rPr>
        <w:tab/>
      </w:r>
      <w:r>
        <w:rPr>
          <w:rFonts w:ascii="Arial" w:cs="Arial" w:eastAsia="Arial" w:hAnsi="Arial"/>
          <w:sz w:val="14"/>
          <w:szCs w:val="14"/>
          <w:b w:val="1"/>
          <w:bCs w:val="1"/>
          <w:u w:val="single" w:color="auto"/>
          <w:color w:val="auto"/>
        </w:rPr>
        <w:t>Offshore FTEs</w:t>
      </w:r>
      <w:r>
        <w:rPr>
          <w:sz w:val="20"/>
          <w:szCs w:val="20"/>
          <w:color w:val="auto"/>
        </w:rPr>
        <w:tab/>
      </w:r>
      <w:r>
        <w:rPr>
          <w:rFonts w:ascii="Arial" w:cs="Arial" w:eastAsia="Arial" w:hAnsi="Arial"/>
          <w:sz w:val="13"/>
          <w:szCs w:val="13"/>
          <w:b w:val="1"/>
          <w:bCs w:val="1"/>
          <w:u w:val="single" w:color="auto"/>
          <w:color w:val="auto"/>
        </w:rPr>
        <w:t>Total</w:t>
      </w:r>
    </w:p>
    <w:p>
      <w:pPr>
        <w:spacing w:after="0" w:line="200" w:lineRule="exact"/>
        <w:rPr>
          <w:sz w:val="20"/>
          <w:szCs w:val="20"/>
          <w:color w:val="auto"/>
        </w:rPr>
      </w:pPr>
    </w:p>
    <w:p>
      <w:pPr>
        <w:spacing w:after="0" w:line="359" w:lineRule="exact"/>
        <w:rPr>
          <w:sz w:val="20"/>
          <w:szCs w:val="20"/>
          <w:color w:val="auto"/>
        </w:rPr>
      </w:pPr>
    </w:p>
    <w:p>
      <w:pPr>
        <w:ind w:left="680" w:hanging="672"/>
        <w:spacing w:after="0"/>
        <w:tabs>
          <w:tab w:leader="none" w:pos="6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Deliverables/Release Items:</w:t>
      </w:r>
    </w:p>
    <w:p>
      <w:pPr>
        <w:spacing w:after="0" w:line="121" w:lineRule="exact"/>
        <w:rPr>
          <w:rFonts w:ascii="Arial" w:cs="Arial" w:eastAsia="Arial" w:hAnsi="Arial"/>
          <w:sz w:val="18"/>
          <w:szCs w:val="18"/>
          <w:b w:val="1"/>
          <w:bCs w:val="1"/>
          <w:color w:val="auto"/>
        </w:rPr>
      </w:pPr>
    </w:p>
    <w:p>
      <w:pPr>
        <w:ind w:left="700" w:right="214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Amdocs will provide the deliverables and/or release items for the Project as defined in this Section and the table below. &lt;Table below is an example and may be modified as required&gt;</w:t>
      </w:r>
    </w:p>
    <w:p>
      <w:pPr>
        <w:spacing w:after="0" w:line="6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2"/>
              </w:rPr>
              <w:t>Milestone No.</w:t>
            </w:r>
          </w:p>
        </w:tc>
        <w:tc>
          <w:tcPr>
            <w:tcW w:w="43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3"/>
              </w:rPr>
              <w:t>Deliverable</w:t>
            </w:r>
          </w:p>
        </w:tc>
        <w:tc>
          <w:tcPr>
            <w:tcW w:w="88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00" w:type="dxa"/>
            <w:vAlign w:val="bottom"/>
            <w:vMerge w:val="restart"/>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Delivery</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4"/>
                <w:szCs w:val="14"/>
                <w:color w:val="auto"/>
              </w:rPr>
            </w:pPr>
          </w:p>
        </w:tc>
        <w:tc>
          <w:tcPr>
            <w:tcW w:w="43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700" w:right="4360" w:hanging="692"/>
        <w:spacing w:after="0" w:line="407" w:lineRule="auto"/>
        <w:tabs>
          <w:tab w:leader="none" w:pos="691"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Components: </w:t>
      </w:r>
      <w:r>
        <w:rPr>
          <w:rFonts w:ascii="Arial" w:cs="Arial" w:eastAsia="Arial" w:hAnsi="Arial"/>
          <w:sz w:val="18"/>
          <w:szCs w:val="18"/>
          <w:color w:val="auto"/>
        </w:rPr>
        <w:t>&lt;Enter details below, “None” is acceptable and delete table&gt;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applications are included in the scope of this SOW.</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MOTS ID</w:t>
            </w:r>
          </w:p>
        </w:tc>
        <w:tc>
          <w:tcPr>
            <w:tcW w:w="1800" w:type="dxa"/>
            <w:vAlign w:val="bottom"/>
          </w:tcPr>
          <w:p>
            <w:pPr>
              <w:spacing w:after="0"/>
              <w:rPr>
                <w:sz w:val="14"/>
                <w:szCs w:val="14"/>
                <w:color w:val="auto"/>
              </w:rPr>
            </w:pPr>
          </w:p>
        </w:tc>
        <w:tc>
          <w:tcPr>
            <w:tcW w:w="2920" w:type="dxa"/>
            <w:vAlign w:val="bottom"/>
            <w:gridSpan w:val="2"/>
          </w:tcPr>
          <w:p>
            <w:pPr>
              <w:ind w:left="1800"/>
              <w:spacing w:after="0"/>
              <w:rPr>
                <w:sz w:val="20"/>
                <w:szCs w:val="20"/>
                <w:color w:val="auto"/>
              </w:rPr>
            </w:pPr>
            <w:r>
              <w:rPr>
                <w:rFonts w:ascii="Arial" w:cs="Arial" w:eastAsia="Arial" w:hAnsi="Arial"/>
                <w:sz w:val="14"/>
                <w:szCs w:val="14"/>
                <w:b w:val="1"/>
                <w:bCs w:val="1"/>
                <w:color w:val="auto"/>
                <w:w w:val="92"/>
              </w:rPr>
              <w:t>Application Name</w:t>
            </w:r>
          </w:p>
        </w:tc>
        <w:tc>
          <w:tcPr>
            <w:tcW w:w="33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of time spent on Application</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gridSpan w:val="2"/>
            <w:vMerge w:val="continue"/>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1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680" w:hanging="672"/>
        <w:spacing w:after="0"/>
        <w:tabs>
          <w:tab w:leader="none" w:pos="6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Amdocs Responsibilities: &lt;Enter details below, “None” is acceptable&gt;</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 addition to providing the deliverables herein, Amdocs will be responsible for the following:</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&lt;List additional Amdocs Responsibilities&gt;</w:t>
      </w:r>
    </w:p>
    <w:p>
      <w:pPr>
        <w:spacing w:after="0" w:line="126" w:lineRule="exact"/>
        <w:rPr>
          <w:rFonts w:ascii="Arial" w:cs="Arial" w:eastAsia="Arial" w:hAnsi="Arial"/>
          <w:sz w:val="18"/>
          <w:szCs w:val="18"/>
          <w:color w:val="auto"/>
        </w:rPr>
      </w:pPr>
    </w:p>
    <w:p>
      <w:pPr>
        <w:ind w:left="680" w:hanging="672"/>
        <w:spacing w:after="0"/>
        <w:tabs>
          <w:tab w:leader="none" w:pos="6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Responsibilities: </w:t>
      </w:r>
      <w:r>
        <w:rPr>
          <w:rFonts w:ascii="Arial" w:cs="Arial" w:eastAsia="Arial" w:hAnsi="Arial"/>
          <w:sz w:val="18"/>
          <w:szCs w:val="18"/>
          <w:color w:val="auto"/>
        </w:rPr>
        <w:t>&lt;Enter details below, “None” is acceptable&gt;</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In addition to AT&amp;T Responsibilities defined in Section 3.43f of the Master Services Agreement, AT&amp;T will be responsible for the following:</w:t>
      </w:r>
    </w:p>
    <w:p>
      <w:pPr>
        <w:spacing w:after="0" w:line="142"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&lt;List additional AT&amp;T Responsibilities&gt;</w:t>
      </w:r>
    </w:p>
    <w:p>
      <w:pPr>
        <w:spacing w:after="0" w:line="126" w:lineRule="exact"/>
        <w:rPr>
          <w:rFonts w:ascii="Arial" w:cs="Arial" w:eastAsia="Arial" w:hAnsi="Arial"/>
          <w:sz w:val="18"/>
          <w:szCs w:val="18"/>
          <w:color w:val="auto"/>
        </w:rPr>
      </w:pPr>
    </w:p>
    <w:p>
      <w:pPr>
        <w:ind w:left="680" w:hanging="672"/>
        <w:spacing w:after="0"/>
        <w:tabs>
          <w:tab w:leader="none" w:pos="6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rFonts w:ascii="Arial" w:cs="Arial" w:eastAsia="Arial" w:hAnsi="Arial"/>
          <w:sz w:val="18"/>
          <w:szCs w:val="18"/>
          <w:b w:val="1"/>
          <w:bCs w:val="1"/>
          <w:color w:val="auto"/>
        </w:rPr>
      </w:pPr>
    </w:p>
    <w:p>
      <w:pPr>
        <w:ind w:left="7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is a &lt;fixed price or Time and Materials (“T&amp;M”)&gt; SOW for the total amount of &lt;Enter amount&gt; for the Work effort. The total price is based on &lt;Enter basis for pricing, e.g. rate, monthly or hourly, any proration, and/or assumed hours&gt;.</w:t>
      </w:r>
    </w:p>
    <w:p>
      <w:pPr>
        <w:spacing w:after="0" w:line="62" w:lineRule="exact"/>
        <w:rPr>
          <w:rFonts w:ascii="Arial" w:cs="Arial" w:eastAsia="Arial" w:hAnsi="Arial"/>
          <w:sz w:val="18"/>
          <w:szCs w:val="18"/>
          <w:b w:val="1"/>
          <w:bCs w:val="1"/>
          <w:color w:val="auto"/>
        </w:rPr>
      </w:pPr>
    </w:p>
    <w:p>
      <w:pPr>
        <w:ind w:left="700" w:right="276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&lt;Enter Travel and living expenses language in accordance with the Master Services Agreement, if applicable&gt; The following table represents the payment schedule for this SOW: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 Schedule: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44" w:lineRule="exact"/>
        <w:rPr>
          <w:sz w:val="20"/>
          <w:szCs w:val="20"/>
          <w:color w:val="auto"/>
        </w:rPr>
      </w:pPr>
    </w:p>
    <w:p>
      <w:pPr>
        <w:ind w:left="2800"/>
        <w:spacing w:after="0"/>
        <w:tabs>
          <w:tab w:leader="none" w:pos="6720" w:val="left"/>
          <w:tab w:leader="none" w:pos="7740" w:val="left"/>
          <w:tab w:leader="none" w:pos="8700" w:val="left"/>
          <w:tab w:leader="none" w:pos="10160" w:val="left"/>
        </w:tabs>
        <w:rPr>
          <w:sz w:val="20"/>
          <w:szCs w:val="20"/>
          <w:color w:val="auto"/>
        </w:rPr>
      </w:pPr>
      <w:r>
        <w:rPr>
          <w:rFonts w:ascii="Arial" w:cs="Arial" w:eastAsia="Arial" w:hAnsi="Arial"/>
          <w:sz w:val="14"/>
          <w:szCs w:val="14"/>
          <w:b w:val="1"/>
          <w:bCs w:val="1"/>
          <w:u w:val="single" w:color="auto"/>
          <w:color w:val="auto"/>
        </w:rPr>
        <w:t>Activity During</w:t>
      </w:r>
      <w:r>
        <w:rPr>
          <w:sz w:val="20"/>
          <w:szCs w:val="20"/>
          <w:color w:val="auto"/>
        </w:rPr>
        <w:tab/>
      </w:r>
      <w:r>
        <w:rPr>
          <w:rFonts w:ascii="Arial" w:cs="Arial" w:eastAsia="Arial" w:hAnsi="Arial"/>
          <w:sz w:val="14"/>
          <w:szCs w:val="14"/>
          <w:b w:val="1"/>
          <w:bCs w:val="1"/>
          <w:u w:val="single" w:color="auto"/>
          <w:color w:val="auto"/>
        </w:rPr>
        <w:t>FTEs</w:t>
      </w:r>
      <w:r>
        <w:rPr>
          <w:sz w:val="20"/>
          <w:szCs w:val="20"/>
          <w:color w:val="auto"/>
        </w:rPr>
        <w:tab/>
      </w:r>
      <w:r>
        <w:rPr>
          <w:rFonts w:ascii="Arial" w:cs="Arial" w:eastAsia="Arial" w:hAnsi="Arial"/>
          <w:sz w:val="14"/>
          <w:szCs w:val="14"/>
          <w:b w:val="1"/>
          <w:bCs w:val="1"/>
          <w:u w:val="single" w:color="auto"/>
          <w:color w:val="auto"/>
        </w:rPr>
        <w:t>Rate</w:t>
      </w:r>
      <w:r>
        <w:rPr>
          <w:sz w:val="20"/>
          <w:szCs w:val="20"/>
          <w:color w:val="auto"/>
        </w:rPr>
        <w:tab/>
      </w:r>
      <w:r>
        <w:rPr>
          <w:rFonts w:ascii="Arial" w:cs="Arial" w:eastAsia="Arial" w:hAnsi="Arial"/>
          <w:sz w:val="14"/>
          <w:szCs w:val="14"/>
          <w:b w:val="1"/>
          <w:bCs w:val="1"/>
          <w:u w:val="single" w:color="auto"/>
          <w:color w:val="auto"/>
        </w:rPr>
        <w:t>Total Invoice</w:t>
      </w:r>
      <w:r>
        <w:rPr>
          <w:sz w:val="20"/>
          <w:szCs w:val="20"/>
          <w:color w:val="auto"/>
        </w:rPr>
        <w:tab/>
      </w:r>
      <w:r>
        <w:rPr>
          <w:rFonts w:ascii="Arial" w:cs="Arial" w:eastAsia="Arial" w:hAnsi="Arial"/>
          <w:sz w:val="13"/>
          <w:szCs w:val="13"/>
          <w:b w:val="1"/>
          <w:bCs w:val="1"/>
          <w:u w:val="single" w:color="auto"/>
          <w:color w:val="auto"/>
        </w:rPr>
        <w:t>Invoice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15240</wp:posOffset>
            </wp:positionV>
            <wp:extent cx="666369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289560</wp:posOffset>
            </wp:positionV>
            <wp:extent cx="666369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Total</w:t>
      </w:r>
    </w:p>
    <w:p>
      <w:pPr>
        <w:spacing w:after="0" w:line="252" w:lineRule="exact"/>
        <w:rPr>
          <w:sz w:val="20"/>
          <w:szCs w:val="20"/>
          <w:color w:val="auto"/>
        </w:rPr>
      </w:pPr>
    </w:p>
    <w:p>
      <w:pPr>
        <w:ind w:left="680" w:hanging="672"/>
        <w:spacing w:after="0"/>
        <w:tabs>
          <w:tab w:leader="none" w:pos="68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Managers:</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AT&amp;T:</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&lt;AT&amp;T Contact Name&gt;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4"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Amdocs:</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&lt;Amdocs PM Contact Name&gt;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email@amdocs.com</w:t>
      </w:r>
      <w:r>
        <w:rPr>
          <w:rFonts w:ascii="Arial" w:cs="Arial" w:eastAsia="Arial" w:hAnsi="Arial"/>
          <w:sz w:val="18"/>
          <w:szCs w:val="18"/>
          <w:color w:val="auto"/>
        </w:rPr>
        <w:t>&gt;</w:t>
      </w:r>
    </w:p>
    <w:p>
      <w:pPr>
        <w:spacing w:after="0" w:line="112" w:lineRule="exact"/>
        <w:rPr>
          <w:sz w:val="20"/>
          <w:szCs w:val="20"/>
          <w:color w:val="auto"/>
        </w:rPr>
      </w:pPr>
    </w:p>
    <w:p>
      <w:pPr>
        <w:ind w:left="680" w:hanging="672"/>
        <w:spacing w:after="0"/>
        <w:tabs>
          <w:tab w:leader="none" w:pos="6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Liquidated Damages for Delay in Delivery And/Or Error Severity Level Description And Resolution Plan</w:t>
      </w:r>
    </w:p>
    <w:p>
      <w:pPr>
        <w:spacing w:after="0" w:line="117" w:lineRule="exact"/>
        <w:rPr>
          <w:rFonts w:ascii="Arial" w:cs="Arial" w:eastAsia="Arial" w:hAnsi="Arial"/>
          <w:sz w:val="18"/>
          <w:szCs w:val="18"/>
          <w:b w:val="1"/>
          <w:bCs w:val="1"/>
          <w:color w:val="auto"/>
        </w:rPr>
      </w:pPr>
    </w:p>
    <w:p>
      <w:pPr>
        <w:ind w:left="700" w:right="20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&lt;</w:t>
      </w:r>
      <w:r>
        <w:rPr>
          <w:rFonts w:ascii="Arial" w:cs="Arial" w:eastAsia="Arial" w:hAnsi="Arial"/>
          <w:sz w:val="18"/>
          <w:szCs w:val="18"/>
          <w:b w:val="1"/>
          <w:bCs w:val="1"/>
          <w:color w:val="auto"/>
        </w:rPr>
        <w:t>Note</w:t>
      </w:r>
      <w:r>
        <w:rPr>
          <w:rFonts w:ascii="Arial" w:cs="Arial" w:eastAsia="Arial" w:hAnsi="Arial"/>
          <w:sz w:val="18"/>
          <w:szCs w:val="18"/>
          <w:color w:val="auto"/>
        </w:rPr>
        <w:t>: the following paragraph contains the instructions and agreed upon general use of this section between the Parties. Which clause to use will be dependent on the Project.&gt;</w:t>
      </w:r>
    </w:p>
    <w:p>
      <w:pPr>
        <w:spacing w:after="0" w:line="57" w:lineRule="exact"/>
        <w:rPr>
          <w:rFonts w:ascii="Arial" w:cs="Arial" w:eastAsia="Arial" w:hAnsi="Arial"/>
          <w:sz w:val="18"/>
          <w:szCs w:val="18"/>
          <w:b w:val="1"/>
          <w:bCs w:val="1"/>
          <w:color w:val="auto"/>
        </w:rPr>
      </w:pPr>
    </w:p>
    <w:p>
      <w:pPr>
        <w:jc w:val="both"/>
        <w:ind w:left="7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Parties agree that applying Liquidated Damages for Delay in Delivery and/or the Error Severity Level Description And Resolution Plan may be applied based on the Custom Software development Services provided in the SOW. The Parties also agree that the Error Severity Level Description And Resolution Plan may apply to OnGoing Support SOWs following Warranty.</w:t>
      </w:r>
    </w:p>
    <w:p>
      <w:pPr>
        <w:spacing w:after="0" w:line="83" w:lineRule="exact"/>
        <w:rPr>
          <w:sz w:val="20"/>
          <w:szCs w:val="20"/>
          <w:color w:val="auto"/>
        </w:rPr>
      </w:pPr>
    </w:p>
    <w:p>
      <w:pPr>
        <w:ind w:left="2160" w:hanging="680"/>
        <w:spacing w:after="0"/>
        <w:tabs>
          <w:tab w:leader="none" w:pos="21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Liquidated Damages for Delay in Delivery</w:t>
      </w:r>
    </w:p>
    <w:p>
      <w:pPr>
        <w:spacing w:after="0" w:line="121" w:lineRule="exact"/>
        <w:rPr>
          <w:sz w:val="20"/>
          <w:szCs w:val="20"/>
          <w:color w:val="auto"/>
        </w:rPr>
      </w:pPr>
    </w:p>
    <w:p>
      <w:pPr>
        <w:ind w:left="1500" w:right="40"/>
        <w:spacing w:after="0" w:line="253" w:lineRule="auto"/>
        <w:rPr>
          <w:sz w:val="20"/>
          <w:szCs w:val="20"/>
          <w:color w:val="auto"/>
        </w:rPr>
      </w:pPr>
      <w:r>
        <w:rPr>
          <w:rFonts w:ascii="Arial" w:cs="Arial" w:eastAsia="Arial" w:hAnsi="Arial"/>
          <w:sz w:val="18"/>
          <w:szCs w:val="18"/>
          <w:color w:val="auto"/>
        </w:rPr>
        <w:t>Upon discovery of anything indicating a reasonable certainty that Software and/or Services will not be delivered by the scheduled Delivery Date, Supplier shall notify AT&amp;T and provide the estimated length of delay. The Parties shall work jointly toward resolving the delayed delivery. If the Parties reach agreement on an extended Delivery Date and Supplier fails to meet the extended Delivery Date, then AT&amp;T may (i) if such delay amounts to a material breach, exercise AT&amp;T’s termination rights under the Master Services Agreement with respect to the applicable SOW, (ii) exercise its right to recover Liquidated Damages specified hereunder, and/or (iii) further extend the Delivery Date. No payments, progress or otherwise, made by AT&amp;T to Supplier after any scheduled Delivery Date shall constitute a waiver of Liquidated Damages. Delivery Dates shall be extended as and to the extent Supplier is unable to meet the original Delivery Date due to causes outside of Supplier’s control. Such extension shall be proportionate to the delay caused by factors outside Supplier’s control.</w:t>
      </w:r>
    </w:p>
    <w:p>
      <w:pPr>
        <w:spacing w:after="0" w:line="89" w:lineRule="exact"/>
        <w:rPr>
          <w:sz w:val="20"/>
          <w:szCs w:val="20"/>
          <w:color w:val="auto"/>
        </w:rPr>
      </w:pPr>
    </w:p>
    <w:p>
      <w:pPr>
        <w:jc w:val="both"/>
        <w:ind w:left="1500" w:right="60"/>
        <w:spacing w:after="0" w:line="264" w:lineRule="auto"/>
        <w:rPr>
          <w:sz w:val="20"/>
          <w:szCs w:val="20"/>
          <w:color w:val="auto"/>
        </w:rPr>
      </w:pPr>
      <w:r>
        <w:rPr>
          <w:rFonts w:ascii="Arial" w:cs="Arial" w:eastAsia="Arial" w:hAnsi="Arial"/>
          <w:sz w:val="18"/>
          <w:szCs w:val="18"/>
          <w:color w:val="auto"/>
        </w:rPr>
        <w:t>Notwithstanding anything to the contrary in the Master Services Agreement, in the event of Supplier’s failure to meet a Delivery Date as defined in the SOW (as it may have been extended in accordance with the terms as set forth herein) AT&amp;T shall be entitled to Liquidated Damages according to the following schedule: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74"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Days Late</w:t>
            </w:r>
          </w:p>
        </w:tc>
        <w:tc>
          <w:tcPr>
            <w:tcW w:w="200" w:type="dxa"/>
            <w:vAlign w:val="bottom"/>
          </w:tcPr>
          <w:p>
            <w:pPr>
              <w:spacing w:after="0"/>
              <w:rPr>
                <w:sz w:val="16"/>
                <w:szCs w:val="16"/>
                <w:color w:val="auto"/>
              </w:rPr>
            </w:pPr>
          </w:p>
        </w:tc>
        <w:tc>
          <w:tcPr>
            <w:tcW w:w="6740" w:type="dxa"/>
            <w:vAlign w:val="bottom"/>
          </w:tcPr>
          <w:p>
            <w:pPr>
              <w:ind w:left="2720"/>
              <w:spacing w:after="0"/>
              <w:rPr>
                <w:sz w:val="20"/>
                <w:szCs w:val="20"/>
                <w:color w:val="auto"/>
              </w:rPr>
            </w:pPr>
            <w:r>
              <w:rPr>
                <w:rFonts w:ascii="Arial" w:cs="Arial" w:eastAsia="Arial" w:hAnsi="Arial"/>
                <w:sz w:val="14"/>
                <w:szCs w:val="14"/>
                <w:b w:val="1"/>
                <w:bCs w:val="1"/>
                <w:color w:val="auto"/>
              </w:rPr>
              <w:t>Liquidated Damages</w:t>
            </w:r>
          </w:p>
        </w:tc>
      </w:tr>
      <w:tr>
        <w:trPr>
          <w:trHeight w:val="203"/>
        </w:trPr>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0-14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10% of fees under the SOW</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45-74</w:t>
            </w:r>
          </w:p>
        </w:tc>
        <w:tc>
          <w:tcPr>
            <w:tcW w:w="2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 of fees under the SOW</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10% of fees under the SOW</w:t>
            </w:r>
          </w:p>
        </w:tc>
      </w:tr>
    </w:tbl>
    <w:p>
      <w:pPr>
        <w:spacing w:after="0" w:line="79"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The foregoing Liquidated Damages shall be calculated cumulatively and shall be capped at a total of thirty percent (30%) of the fees under the SOW. AT&amp;T’s taking of Liquidated Damages for failure to meet a Delivery Date shall not preclude AT&amp;T from claiming actual damages in excess of the Liquidated Damages; provided, however, that the amount of Liquidated Damages taken by AT&amp;T shall be deducted from any damages awarded to AT&amp;T. Liquidated Damages taken by AT&amp;T for failure to meet a Delivery Date shall be excluded from the limitations of liability set forth in the Master Services Agreement</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220"/>
          </w:cols>
          <w:pgMar w:left="1440" w:top="274"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2160" w:hanging="680"/>
        <w:spacing w:after="0"/>
        <w:tabs>
          <w:tab w:leader="none" w:pos="21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Error Severity Level Description And Resolution Plan</w:t>
      </w:r>
    </w:p>
    <w:p>
      <w:pPr>
        <w:spacing w:after="0" w:line="135" w:lineRule="exact"/>
        <w:rPr>
          <w:sz w:val="20"/>
          <w:szCs w:val="20"/>
          <w:color w:val="auto"/>
        </w:rPr>
      </w:pPr>
    </w:p>
    <w:p>
      <w:pPr>
        <w:ind w:left="2160" w:right="580" w:hanging="680"/>
        <w:spacing w:after="0" w:line="308" w:lineRule="auto"/>
        <w:tabs>
          <w:tab w:leader="none" w:pos="21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During the term of the applicable SOW and, if Software fails to operate in conformance with the Specifications, or if the following specified errors (“Error”) occur, Supplier agrees to respond and perform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 xml:space="preserve">FATAL: </w:t>
            </w:r>
            <w:r>
              <w:rPr>
                <w:rFonts w:ascii="Arial" w:cs="Arial" w:eastAsia="Arial" w:hAnsi="Arial"/>
                <w:sz w:val="18"/>
                <w:szCs w:val="18"/>
                <w:color w:val="auto"/>
              </w:rPr>
              <w:t>Reported problems preventing all useful work from being done or potential data loss or</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 Acknowledgment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7820" w:type="dxa"/>
            <w:vAlign w:val="bottom"/>
          </w:tcPr>
          <w:p>
            <w:pPr>
              <w:ind w:left="100"/>
              <w:spacing w:after="0"/>
              <w:rPr>
                <w:sz w:val="20"/>
                <w:szCs w:val="20"/>
                <w:color w:val="auto"/>
              </w:rPr>
            </w:pPr>
            <w:r>
              <w:rPr>
                <w:rFonts w:ascii="Arial" w:cs="Arial" w:eastAsia="Arial" w:hAnsi="Arial"/>
                <w:sz w:val="18"/>
                <w:szCs w:val="18"/>
                <w:color w:val="auto"/>
              </w:rPr>
              <w:t>corruption, or Software functionality is inoperative; inability to use has a critical impact to AT&amp;T’s</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ind w:left="40"/>
              <w:spacing w:after="0"/>
              <w:rPr>
                <w:sz w:val="20"/>
                <w:szCs w:val="20"/>
                <w:color w:val="auto"/>
              </w:rPr>
            </w:pPr>
            <w:r>
              <w:rPr>
                <w:rFonts w:ascii="Arial" w:cs="Arial" w:eastAsia="Arial" w:hAnsi="Arial"/>
                <w:sz w:val="18"/>
                <w:szCs w:val="18"/>
                <w:color w:val="auto"/>
              </w:rPr>
              <w:t>Work Around, temporary fix</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7820" w:type="dxa"/>
            <w:vAlign w:val="bottom"/>
          </w:tcPr>
          <w:p>
            <w:pPr>
              <w:ind w:left="100"/>
              <w:spacing w:after="0"/>
              <w:rPr>
                <w:sz w:val="20"/>
                <w:szCs w:val="20"/>
                <w:color w:val="auto"/>
              </w:rPr>
            </w:pPr>
            <w:r>
              <w:rPr>
                <w:rFonts w:ascii="Arial" w:cs="Arial" w:eastAsia="Arial" w:hAnsi="Arial"/>
                <w:sz w:val="18"/>
                <w:szCs w:val="18"/>
                <w:color w:val="auto"/>
              </w:rPr>
              <w:t>operations.</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w w:val="95"/>
              </w:rPr>
              <w:t>Final fix, update, or new release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 Communications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323"/>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7820" w:type="dxa"/>
            <w:vAlign w:val="bottom"/>
          </w:tcPr>
          <w:p>
            <w:pPr>
              <w:ind w:left="100"/>
              <w:spacing w:after="0"/>
              <w:rPr>
                <w:sz w:val="20"/>
                <w:szCs w:val="20"/>
                <w:color w:val="auto"/>
              </w:rPr>
            </w:pPr>
            <w:r>
              <w:rPr>
                <w:rFonts w:ascii="Arial" w:cs="Arial" w:eastAsia="Arial" w:hAnsi="Arial"/>
                <w:sz w:val="18"/>
                <w:szCs w:val="18"/>
                <w:b w:val="1"/>
                <w:bCs w:val="1"/>
                <w:color w:val="auto"/>
                <w:w w:val="98"/>
              </w:rPr>
              <w:t xml:space="preserve">SEVERE IMPACT: </w:t>
            </w:r>
            <w:r>
              <w:rPr>
                <w:rFonts w:ascii="Arial" w:cs="Arial" w:eastAsia="Arial" w:hAnsi="Arial"/>
                <w:sz w:val="18"/>
                <w:szCs w:val="18"/>
                <w:color w:val="auto"/>
                <w:w w:val="98"/>
              </w:rPr>
              <w:t>Problems disable major functions required to do productive work or Software is</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 Acknowledgment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7820" w:type="dxa"/>
            <w:vAlign w:val="bottom"/>
          </w:tcPr>
          <w:p>
            <w:pPr>
              <w:ind w:left="100"/>
              <w:spacing w:after="0"/>
              <w:rPr>
                <w:sz w:val="20"/>
                <w:szCs w:val="20"/>
                <w:color w:val="auto"/>
              </w:rPr>
            </w:pPr>
            <w:r>
              <w:rPr>
                <w:rFonts w:ascii="Arial" w:cs="Arial" w:eastAsia="Arial" w:hAnsi="Arial"/>
                <w:sz w:val="18"/>
                <w:szCs w:val="18"/>
                <w:color w:val="auto"/>
              </w:rPr>
              <w:t>partially inoperative and is considered as severely restrictive by AT&amp;T.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ind w:left="40"/>
              <w:spacing w:after="0"/>
              <w:rPr>
                <w:sz w:val="20"/>
                <w:szCs w:val="20"/>
                <w:color w:val="auto"/>
              </w:rPr>
            </w:pPr>
            <w:r>
              <w:rPr>
                <w:rFonts w:ascii="Arial" w:cs="Arial" w:eastAsia="Arial" w:hAnsi="Arial"/>
                <w:sz w:val="18"/>
                <w:szCs w:val="18"/>
                <w:color w:val="auto"/>
              </w:rPr>
              <w:t>Work around, temporary fix</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w w:val="95"/>
              </w:rPr>
              <w:t>Final fix, update, or new release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 Communications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323"/>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7820" w:type="dxa"/>
            <w:vAlign w:val="bottom"/>
          </w:tcPr>
          <w:p>
            <w:pPr>
              <w:ind w:left="100"/>
              <w:spacing w:after="0"/>
              <w:rPr>
                <w:sz w:val="20"/>
                <w:szCs w:val="20"/>
                <w:color w:val="auto"/>
              </w:rPr>
            </w:pPr>
            <w:r>
              <w:rPr>
                <w:rFonts w:ascii="Arial" w:cs="Arial" w:eastAsia="Arial" w:hAnsi="Arial"/>
                <w:sz w:val="18"/>
                <w:szCs w:val="18"/>
                <w:b w:val="1"/>
                <w:bCs w:val="1"/>
                <w:color w:val="auto"/>
                <w:w w:val="99"/>
              </w:rPr>
              <w:t xml:space="preserve">DEGRADED OPERATIONS: </w:t>
            </w:r>
            <w:r>
              <w:rPr>
                <w:rFonts w:ascii="Arial" w:cs="Arial" w:eastAsia="Arial" w:hAnsi="Arial"/>
                <w:sz w:val="18"/>
                <w:szCs w:val="18"/>
                <w:color w:val="auto"/>
                <w:w w:val="99"/>
              </w:rPr>
              <w:t>Reported problems disabling specific non-essential functions; Error</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 Acknowledgment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7820" w:type="dxa"/>
            <w:vAlign w:val="bottom"/>
          </w:tcPr>
          <w:p>
            <w:pPr>
              <w:ind w:left="100"/>
              <w:spacing w:after="0"/>
              <w:rPr>
                <w:sz w:val="20"/>
                <w:szCs w:val="20"/>
                <w:color w:val="auto"/>
              </w:rPr>
            </w:pPr>
            <w:r>
              <w:rPr>
                <w:rFonts w:ascii="Arial" w:cs="Arial" w:eastAsia="Arial" w:hAnsi="Arial"/>
                <w:sz w:val="18"/>
                <w:szCs w:val="18"/>
                <w:color w:val="auto"/>
                <w:w w:val="93"/>
              </w:rPr>
              <w:t>condition is not critical to continuing operation and/or AT&amp;T has determined a work-around for the Error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ind w:left="40"/>
              <w:spacing w:after="0"/>
              <w:rPr>
                <w:sz w:val="20"/>
                <w:szCs w:val="20"/>
                <w:color w:val="auto"/>
              </w:rPr>
            </w:pPr>
            <w:r>
              <w:rPr>
                <w:rFonts w:ascii="Arial" w:cs="Arial" w:eastAsia="Arial" w:hAnsi="Arial"/>
                <w:sz w:val="18"/>
                <w:szCs w:val="18"/>
                <w:color w:val="auto"/>
              </w:rPr>
              <w:t>Work around, temporary fix</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7820" w:type="dxa"/>
            <w:vAlign w:val="bottom"/>
          </w:tcPr>
          <w:p>
            <w:pPr>
              <w:ind w:left="100"/>
              <w:spacing w:after="0"/>
              <w:rPr>
                <w:sz w:val="20"/>
                <w:szCs w:val="20"/>
                <w:color w:val="auto"/>
              </w:rPr>
            </w:pPr>
            <w:r>
              <w:rPr>
                <w:rFonts w:ascii="Arial" w:cs="Arial" w:eastAsia="Arial" w:hAnsi="Arial"/>
                <w:sz w:val="18"/>
                <w:szCs w:val="18"/>
                <w:color w:val="auto"/>
              </w:rPr>
              <w:t>condition.</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w w:val="95"/>
              </w:rPr>
              <w:t>Final fix, update, or new release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 Communications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323"/>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7820" w:type="dxa"/>
            <w:vAlign w:val="bottom"/>
          </w:tcPr>
          <w:p>
            <w:pPr>
              <w:ind w:left="100"/>
              <w:spacing w:after="0"/>
              <w:rPr>
                <w:sz w:val="20"/>
                <w:szCs w:val="20"/>
                <w:color w:val="auto"/>
              </w:rPr>
            </w:pPr>
            <w:r>
              <w:rPr>
                <w:rFonts w:ascii="Arial" w:cs="Arial" w:eastAsia="Arial" w:hAnsi="Arial"/>
                <w:sz w:val="18"/>
                <w:szCs w:val="18"/>
                <w:b w:val="1"/>
                <w:bCs w:val="1"/>
                <w:color w:val="auto"/>
                <w:w w:val="97"/>
              </w:rPr>
              <w:t xml:space="preserve">MINIMAL IMPACT: </w:t>
            </w:r>
            <w:r>
              <w:rPr>
                <w:rFonts w:ascii="Arial" w:cs="Arial" w:eastAsia="Arial" w:hAnsi="Arial"/>
                <w:sz w:val="18"/>
                <w:szCs w:val="18"/>
                <w:color w:val="auto"/>
                <w:w w:val="97"/>
              </w:rPr>
              <w:t>Any deviation from Specifications not otherwise included in a Severity 1, 2, or 3</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 Acknowledgment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7820" w:type="dxa"/>
            <w:vAlign w:val="bottom"/>
          </w:tcPr>
          <w:p>
            <w:pPr>
              <w:ind w:left="100"/>
              <w:spacing w:after="0"/>
              <w:rPr>
                <w:sz w:val="20"/>
                <w:szCs w:val="20"/>
                <w:color w:val="auto"/>
              </w:rPr>
            </w:pPr>
            <w:r>
              <w:rPr>
                <w:rFonts w:ascii="Arial" w:cs="Arial" w:eastAsia="Arial" w:hAnsi="Arial"/>
                <w:sz w:val="18"/>
                <w:szCs w:val="18"/>
                <w:color w:val="auto"/>
              </w:rPr>
              <w:t>category.</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ind w:left="40"/>
              <w:spacing w:after="0"/>
              <w:rPr>
                <w:sz w:val="20"/>
                <w:szCs w:val="20"/>
                <w:color w:val="auto"/>
              </w:rPr>
            </w:pPr>
            <w:r>
              <w:rPr>
                <w:rFonts w:ascii="Arial" w:cs="Arial" w:eastAsia="Arial" w:hAnsi="Arial"/>
                <w:sz w:val="18"/>
                <w:szCs w:val="18"/>
                <w:color w:val="auto"/>
              </w:rPr>
              <w:t>Work around, temporary fix</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w w:val="93"/>
              </w:rPr>
              <w:t>Final Fix, update, or new release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 Communications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21" w:lineRule="exact"/>
        <w:rPr>
          <w:sz w:val="20"/>
          <w:szCs w:val="20"/>
          <w:color w:val="auto"/>
        </w:rPr>
      </w:pPr>
    </w:p>
    <w:p>
      <w:pPr>
        <w:ind w:left="2160" w:right="140" w:hanging="680"/>
        <w:spacing w:after="0" w:line="277" w:lineRule="auto"/>
        <w:tabs>
          <w:tab w:leader="none" w:pos="21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case of a FATAL or SEVERE IMPACT Error condition, Supplier shall use its best efforts to acknowledge notification of such Error condition within the time frames indicated.</w:t>
      </w:r>
    </w:p>
    <w:p>
      <w:pPr>
        <w:spacing w:after="0" w:line="75" w:lineRule="exact"/>
        <w:rPr>
          <w:rFonts w:ascii="Arial" w:cs="Arial" w:eastAsia="Arial" w:hAnsi="Arial"/>
          <w:sz w:val="18"/>
          <w:szCs w:val="18"/>
          <w:color w:val="auto"/>
        </w:rPr>
      </w:pPr>
    </w:p>
    <w:p>
      <w:pPr>
        <w:jc w:val="both"/>
        <w:ind w:left="2160" w:right="160" w:hanging="680"/>
        <w:spacing w:after="0" w:line="342" w:lineRule="auto"/>
        <w:tabs>
          <w:tab w:leader="none" w:pos="216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Supplier shall correct any and all Errors in the Software in accordance with Error Severity Levels specified above. In addition, at any time during the Error correction or technical support process, AT&amp;T may invoke the below listed escalation procedure:</w:t>
      </w:r>
    </w:p>
    <w:p>
      <w:pPr>
        <w:spacing w:after="0" w:line="29" w:lineRule="exact"/>
        <w:rPr>
          <w:rFonts w:ascii="Arial" w:cs="Arial" w:eastAsia="Arial" w:hAnsi="Arial"/>
          <w:sz w:val="16"/>
          <w:szCs w:val="16"/>
          <w:color w:val="auto"/>
        </w:rPr>
      </w:pPr>
    </w:p>
    <w:p>
      <w:pPr>
        <w:ind w:left="2960" w:right="60" w:hanging="791"/>
        <w:spacing w:after="0" w:line="259" w:lineRule="auto"/>
        <w:tabs>
          <w:tab w:leader="none" w:pos="29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Supplier’s escalation process is to ensure that when a problem is not being resolved in a satisfactory manner, (i) both AT&amp;T and Supplier have a common perception of the nature and criticality of the problem, (ii) the visibility of the problem is raised within Supplier’s organization, and (iii) appropriate Supplier resources are allocated toward solving the problem.</w:t>
      </w:r>
    </w:p>
    <w:p>
      <w:pPr>
        <w:spacing w:after="0" w:line="92" w:lineRule="exact"/>
        <w:rPr>
          <w:rFonts w:ascii="Arial" w:cs="Arial" w:eastAsia="Arial" w:hAnsi="Arial"/>
          <w:sz w:val="18"/>
          <w:szCs w:val="18"/>
          <w:color w:val="auto"/>
        </w:rPr>
      </w:pPr>
    </w:p>
    <w:p>
      <w:pPr>
        <w:ind w:left="2960" w:right="80" w:hanging="791"/>
        <w:spacing w:after="0" w:line="264" w:lineRule="auto"/>
        <w:tabs>
          <w:tab w:leader="none" w:pos="29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following escalation process may be invoked by AT&amp;T when an Error, defect, non-conformity or technical support issue has been reported to Supplier, the Error substantially affects AT&amp;T’s use of the Software, and Supplier has not yet provided a patch or bypass around the Error.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960" w:right="480" w:hanging="791"/>
        <w:spacing w:after="0" w:line="257" w:lineRule="auto"/>
        <w:tabs>
          <w:tab w:leader="none" w:pos="2960" w:val="left"/>
        </w:tabs>
        <w:numPr>
          <w:ilvl w:val="3"/>
          <w:numId w:val="247"/>
        </w:numPr>
        <w:rPr>
          <w:rFonts w:ascii="Arial" w:cs="Arial" w:eastAsia="Arial" w:hAnsi="Arial"/>
          <w:sz w:val="18"/>
          <w:szCs w:val="18"/>
          <w:color w:val="auto"/>
        </w:rPr>
      </w:pPr>
      <w:r>
        <w:rPr>
          <w:rFonts w:ascii="Arial" w:cs="Arial" w:eastAsia="Arial" w:hAnsi="Arial"/>
          <w:sz w:val="18"/>
          <w:szCs w:val="18"/>
          <w:color w:val="auto"/>
        </w:rPr>
        <w:t>The escalation processes can be initiated by contacting the next higher management level within Supplier’s organization. Such Supplier designate will work with AT&amp;T’s designated contact and management to bring a satisfactory solution to the situation. The effort will be focused on developing an action plan and coordinating whatever Supplier resources are required to meet AT&amp;T’s needs as rapidly as possible, within the policy stated above.</w:t>
      </w:r>
    </w:p>
    <w:p>
      <w:pPr>
        <w:spacing w:after="0" w:line="93" w:lineRule="exact"/>
        <w:rPr>
          <w:rFonts w:ascii="Arial" w:cs="Arial" w:eastAsia="Arial" w:hAnsi="Arial"/>
          <w:sz w:val="18"/>
          <w:szCs w:val="18"/>
          <w:color w:val="auto"/>
        </w:rPr>
      </w:pPr>
    </w:p>
    <w:p>
      <w:pPr>
        <w:ind w:left="2960" w:right="400" w:hanging="791"/>
        <w:spacing w:after="0" w:line="277" w:lineRule="auto"/>
        <w:tabs>
          <w:tab w:leader="none" w:pos="2960" w:val="left"/>
        </w:tabs>
        <w:numPr>
          <w:ilvl w:val="3"/>
          <w:numId w:val="247"/>
        </w:numPr>
        <w:rPr>
          <w:rFonts w:ascii="Arial" w:cs="Arial" w:eastAsia="Arial" w:hAnsi="Arial"/>
          <w:sz w:val="18"/>
          <w:szCs w:val="18"/>
          <w:color w:val="auto"/>
        </w:rPr>
      </w:pPr>
      <w:r>
        <w:rPr>
          <w:rFonts w:ascii="Arial" w:cs="Arial" w:eastAsia="Arial" w:hAnsi="Arial"/>
          <w:sz w:val="18"/>
          <w:szCs w:val="18"/>
          <w:color w:val="auto"/>
        </w:rPr>
        <w:t>During the period of the action plan, regular status update communications will be established between AT&amp;T’s designate and Supplier’s designate.</w:t>
      </w:r>
    </w:p>
    <w:p>
      <w:pPr>
        <w:spacing w:after="0" w:line="75" w:lineRule="exact"/>
        <w:rPr>
          <w:rFonts w:ascii="Arial" w:cs="Arial" w:eastAsia="Arial" w:hAnsi="Arial"/>
          <w:sz w:val="18"/>
          <w:szCs w:val="18"/>
          <w:color w:val="auto"/>
        </w:rPr>
      </w:pPr>
    </w:p>
    <w:p>
      <w:pPr>
        <w:ind w:left="2960" w:right="440" w:hanging="791"/>
        <w:spacing w:after="0" w:line="342" w:lineRule="auto"/>
        <w:tabs>
          <w:tab w:leader="none" w:pos="2960" w:val="left"/>
        </w:tabs>
        <w:numPr>
          <w:ilvl w:val="3"/>
          <w:numId w:val="247"/>
        </w:numPr>
        <w:rPr>
          <w:rFonts w:ascii="Arial" w:cs="Arial" w:eastAsia="Arial" w:hAnsi="Arial"/>
          <w:sz w:val="16"/>
          <w:szCs w:val="16"/>
          <w:color w:val="auto"/>
        </w:rPr>
      </w:pPr>
      <w:r>
        <w:rPr>
          <w:rFonts w:ascii="Arial" w:cs="Arial" w:eastAsia="Arial" w:hAnsi="Arial"/>
          <w:sz w:val="16"/>
          <w:szCs w:val="16"/>
          <w:color w:val="auto"/>
        </w:rPr>
        <w:t>If an action plan cannot be agreed to, or if the action plan fails to provide a satisfactory solution within the time frame defined in the action plan, the problem will be escalated to Supplier’s highest management level.</w:t>
      </w:r>
    </w:p>
    <w:p>
      <w:pPr>
        <w:spacing w:after="0" w:line="29" w:lineRule="exact"/>
        <w:rPr>
          <w:rFonts w:ascii="Arial" w:cs="Arial" w:eastAsia="Arial" w:hAnsi="Arial"/>
          <w:sz w:val="16"/>
          <w:szCs w:val="16"/>
          <w:color w:val="auto"/>
        </w:rPr>
      </w:pPr>
    </w:p>
    <w:p>
      <w:pPr>
        <w:ind w:left="2160" w:right="160" w:hanging="680"/>
        <w:spacing w:after="0" w:line="264" w:lineRule="auto"/>
        <w:tabs>
          <w:tab w:leader="none" w:pos="216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If any FATAL or SEVERE IMPACT Software Error cannot be corrected by Supplier within the indicated timeframes, Supplier shall provide [***], that the FATAL or SEVERE IMPACT Error remains unresolved after the work around/temporary fix resolution period specified above. [***].</w:t>
      </w:r>
    </w:p>
    <w:p>
      <w:pPr>
        <w:spacing w:after="0" w:line="86" w:lineRule="exact"/>
        <w:rPr>
          <w:rFonts w:ascii="Arial" w:cs="Arial" w:eastAsia="Arial" w:hAnsi="Arial"/>
          <w:sz w:val="18"/>
          <w:szCs w:val="18"/>
          <w:color w:val="auto"/>
        </w:rPr>
      </w:pPr>
    </w:p>
    <w:p>
      <w:pPr>
        <w:ind w:left="2160" w:right="40" w:hanging="680"/>
        <w:spacing w:after="0" w:line="264" w:lineRule="auto"/>
        <w:tabs>
          <w:tab w:leader="none" w:pos="216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In addition, if a FATAL Error remains unresolved [***] hours after reporting thereof by AT&amp;T, or, if a SEVERE IMPACT Error remains unresolved [***]hours after reporting by AT&amp;T, upon AT&amp;T’s request, Supplier shall provide a Software engineer at AT&amp;T’s site(s), at no additional charge, to resolve the Software Error.</w:t>
      </w:r>
    </w:p>
    <w:p>
      <w:pPr>
        <w:spacing w:after="0" w:line="86" w:lineRule="exact"/>
        <w:rPr>
          <w:rFonts w:ascii="Arial" w:cs="Arial" w:eastAsia="Arial" w:hAnsi="Arial"/>
          <w:sz w:val="18"/>
          <w:szCs w:val="18"/>
          <w:color w:val="auto"/>
        </w:rPr>
      </w:pPr>
    </w:p>
    <w:p>
      <w:pPr>
        <w:ind w:left="2160" w:right="40" w:hanging="680"/>
        <w:spacing w:after="0" w:line="272" w:lineRule="auto"/>
        <w:tabs>
          <w:tab w:leader="none" w:pos="2160" w:val="left"/>
        </w:tabs>
        <w:numPr>
          <w:ilvl w:val="2"/>
          <w:numId w:val="248"/>
        </w:numPr>
        <w:rPr>
          <w:rFonts w:ascii="Arial" w:cs="Arial" w:eastAsia="Arial" w:hAnsi="Arial"/>
          <w:sz w:val="17"/>
          <w:szCs w:val="17"/>
          <w:color w:val="auto"/>
        </w:rPr>
      </w:pPr>
      <w:r>
        <w:rPr>
          <w:rFonts w:ascii="Arial" w:cs="Arial" w:eastAsia="Arial" w:hAnsi="Arial"/>
          <w:sz w:val="17"/>
          <w:szCs w:val="17"/>
          <w:color w:val="auto"/>
        </w:rPr>
        <w:t>The Parties acknowledge that DEGRADED OPERATIONS and/or MINIMAL IMPACT Errors are generally less serious than FATAL or SEVERE IMPACT Errors. The Parties further acknowledge and agree that elongated resolution of such Errors can be detrimental to AT&amp;T’s use of the Software. Therefore, in the event that DEGRADED OPERATIONS Errors remain unresolved [***]days after AT&amp;T’s initial report of the Error and AT&amp;T’s notice of required resolution to Supplier, or MINIMAL IMPACT Errors remain unresolved [***] days after AT&amp;T’s report of the Error and AT&amp;T’s notice of required resolution to Supplier, Supplier shall [***], for each day beyond[***] days for DEGRADED OPERATIONS Errors and/or [***] days for MINIMAL IMPACT Errors that the Error remains unresolved. [***].</w:t>
      </w:r>
    </w:p>
    <w:p>
      <w:pPr>
        <w:spacing w:after="0" w:line="83" w:lineRule="exact"/>
        <w:rPr>
          <w:rFonts w:ascii="Arial" w:cs="Arial" w:eastAsia="Arial" w:hAnsi="Arial"/>
          <w:sz w:val="17"/>
          <w:szCs w:val="17"/>
          <w:color w:val="auto"/>
        </w:rPr>
      </w:pPr>
    </w:p>
    <w:p>
      <w:pPr>
        <w:ind w:left="2160" w:right="20" w:hanging="680"/>
        <w:spacing w:after="0" w:line="257" w:lineRule="auto"/>
        <w:tabs>
          <w:tab w:leader="none" w:pos="216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Supplier shall provide AT&amp;T with toll-free telephone hotline assistance related to operation of the Software, including questions about individual features or suspected malfunctions. In addition, Supplier shall provide AT&amp;T with emergency after-hours or weekend contact numbers wherein support can be obtained in the event of unavailability of the Software due to a FATAL or SEVERE IMPACT Error. If a FATAL Error is reported after hours, or during the weekend, Supplier shall begin workaround/temporary fix activities as soon as possible</w:t>
      </w:r>
    </w:p>
    <w:p>
      <w:pPr>
        <w:spacing w:after="0" w:line="89" w:lineRule="exact"/>
        <w:rPr>
          <w:rFonts w:ascii="Arial" w:cs="Arial" w:eastAsia="Arial" w:hAnsi="Arial"/>
          <w:sz w:val="18"/>
          <w:szCs w:val="18"/>
          <w:color w:val="auto"/>
        </w:rPr>
      </w:pPr>
    </w:p>
    <w:p>
      <w:pPr>
        <w:ind w:left="680" w:hanging="672"/>
        <w:spacing w:after="0"/>
        <w:tabs>
          <w:tab w:leader="none" w:pos="68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Special Terms and Conditions:</w:t>
      </w:r>
    </w:p>
    <w:p>
      <w:pPr>
        <w:spacing w:after="0" w:line="130"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Invoice/Billing</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Invoices and billing information are to be sent electronically to:</w:t>
      </w:r>
    </w:p>
    <w:p>
      <w:pPr>
        <w:spacing w:after="0" w:line="117" w:lineRule="exact"/>
        <w:rPr>
          <w:rFonts w:ascii="Arial" w:cs="Arial" w:eastAsia="Arial" w:hAnsi="Arial"/>
          <w:sz w:val="18"/>
          <w:szCs w:val="18"/>
          <w:b w:val="1"/>
          <w:bCs w:val="1"/>
          <w:color w:val="auto"/>
        </w:rPr>
      </w:pPr>
    </w:p>
    <w:p>
      <w:pPr>
        <w:ind w:left="2180"/>
        <w:spacing w:after="0"/>
        <w:rPr>
          <w:rFonts w:ascii="Arial" w:cs="Arial" w:eastAsia="Arial" w:hAnsi="Arial"/>
          <w:sz w:val="18"/>
          <w:szCs w:val="18"/>
          <w:b w:val="1"/>
          <w:bCs w:val="1"/>
          <w:color w:val="auto"/>
        </w:rPr>
      </w:pPr>
      <w:r>
        <w:rPr>
          <w:rFonts w:ascii="Arial" w:cs="Arial" w:eastAsia="Arial" w:hAnsi="Arial"/>
          <w:sz w:val="18"/>
          <w:szCs w:val="18"/>
          <w:color w:val="auto"/>
        </w:rPr>
        <w:t>&lt;Enter applicable AT&amp;T Business Unit/Finance Name&gt;: &lt;email@att.com&gt;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Copies of all invoices are to be sent to:</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AT&amp;T will notify Amdocs of any changes regarding invoices and billing information at &lt;Enter Phone Number (xxx)xxx-xxxx&gt; or email:</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NAME@amdocs.com</w:t>
      </w:r>
      <w:r>
        <w:rPr>
          <w:rFonts w:ascii="Arial" w:cs="Arial" w:eastAsia="Arial" w:hAnsi="Arial"/>
          <w:sz w:val="18"/>
          <w:szCs w:val="18"/>
          <w:color w:val="auto"/>
        </w:rPr>
        <w:t>&gt;.</w:t>
      </w:r>
    </w:p>
    <w:p>
      <w:pPr>
        <w:spacing w:after="0" w:line="112" w:lineRule="exact"/>
        <w:rPr>
          <w:sz w:val="20"/>
          <w:szCs w:val="20"/>
          <w:color w:val="auto"/>
        </w:rPr>
      </w:pPr>
    </w:p>
    <w:p>
      <w:pPr>
        <w:ind w:left="680" w:hanging="672"/>
        <w:spacing w:after="0"/>
        <w:tabs>
          <w:tab w:leader="none" w:pos="68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21" w:lineRule="exact"/>
        <w:rPr>
          <w:rFonts w:ascii="Arial" w:cs="Arial" w:eastAsia="Arial" w:hAnsi="Arial"/>
          <w:sz w:val="18"/>
          <w:szCs w:val="18"/>
          <w:b w:val="1"/>
          <w:bCs w:val="1"/>
          <w:color w:val="auto"/>
        </w:rPr>
      </w:pPr>
    </w:p>
    <w:p>
      <w:pPr>
        <w:ind w:left="70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Payment terms for invoices issued under this SOW shall be in accordance with Section 3.19, “Invoicing and Payment” of the Master Services Agreement, which is, as of the Effective Date of this SOW, net [***] days from the date of receipt of the invoice.</w:t>
      </w:r>
    </w:p>
    <w:p>
      <w:pPr>
        <w:spacing w:after="0" w:line="71" w:lineRule="exact"/>
        <w:rPr>
          <w:rFonts w:ascii="Arial" w:cs="Arial" w:eastAsia="Arial" w:hAnsi="Arial"/>
          <w:sz w:val="18"/>
          <w:szCs w:val="18"/>
          <w:b w:val="1"/>
          <w:bCs w:val="1"/>
          <w:color w:val="auto"/>
        </w:rPr>
      </w:pPr>
    </w:p>
    <w:p>
      <w:pPr>
        <w:ind w:left="680" w:hanging="672"/>
        <w:spacing w:after="0"/>
        <w:tabs>
          <w:tab w:leader="none" w:pos="68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Paid-For Development:</w:t>
      </w:r>
    </w:p>
    <w:p>
      <w:pPr>
        <w:spacing w:after="0" w:line="121" w:lineRule="exact"/>
        <w:rPr>
          <w:rFonts w:ascii="Arial" w:cs="Arial" w:eastAsia="Arial" w:hAnsi="Arial"/>
          <w:sz w:val="18"/>
          <w:szCs w:val="18"/>
          <w:b w:val="1"/>
          <w:bCs w:val="1"/>
          <w:color w:val="auto"/>
        </w:rPr>
      </w:pPr>
    </w:p>
    <w:p>
      <w:pPr>
        <w:ind w:left="70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avoidance of doubt, and for purposes of interpreting AT&amp;T’s right to Program Material and Documentation created hereunder, title to all Work output hereunder shall be determined in accordance with the Master Services Agreement, Section 3.27, “Ownership of Paid-For Development, Use and Reservation of Rights”.</w:t>
      </w:r>
    </w:p>
    <w:p>
      <w:pPr>
        <w:spacing w:after="0" w:line="82" w:lineRule="exact"/>
        <w:rPr>
          <w:rFonts w:ascii="Arial" w:cs="Arial" w:eastAsia="Arial" w:hAnsi="Arial"/>
          <w:sz w:val="18"/>
          <w:szCs w:val="18"/>
          <w:b w:val="1"/>
          <w:bCs w:val="1"/>
          <w:color w:val="auto"/>
        </w:rPr>
      </w:pPr>
    </w:p>
    <w:p>
      <w:pPr>
        <w:ind w:left="680" w:hanging="672"/>
        <w:spacing w:after="0"/>
        <w:tabs>
          <w:tab w:leader="none" w:pos="68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21" w:lineRule="exact"/>
        <w:rPr>
          <w:rFonts w:ascii="Arial" w:cs="Arial" w:eastAsia="Arial" w:hAnsi="Arial"/>
          <w:sz w:val="18"/>
          <w:szCs w:val="18"/>
          <w:b w:val="1"/>
          <w:bCs w:val="1"/>
          <w:color w:val="auto"/>
        </w:rPr>
      </w:pPr>
    </w:p>
    <w:p>
      <w:pPr>
        <w:ind w:left="7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addition to all other rights provided by Section 3.16, “Information”, pursuant to the Master Services Agreement, any Information received by Amdocs from AT&amp;T or other parties engaged in this Work shall be considered and treated as confidential Information under the SOW, regardless of any requirement to put it in writing under the Master Services Agreement or separate Non-Disclosure Agreement (NDA).</w:t>
      </w:r>
    </w:p>
    <w:p>
      <w:pPr>
        <w:spacing w:after="0" w:line="66" w:lineRule="exact"/>
        <w:rPr>
          <w:rFonts w:ascii="Arial" w:cs="Arial" w:eastAsia="Arial" w:hAnsi="Arial"/>
          <w:sz w:val="18"/>
          <w:szCs w:val="18"/>
          <w:b w:val="1"/>
          <w:bCs w:val="1"/>
          <w:color w:val="auto"/>
        </w:rPr>
      </w:pPr>
    </w:p>
    <w:p>
      <w:pPr>
        <w:ind w:left="680" w:hanging="672"/>
        <w:spacing w:after="0"/>
        <w:tabs>
          <w:tab w:leader="none" w:pos="68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70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Termination and Partial Termination provisions applicable to this SOW are contained in Section 3.36, “Termination”, of the Master Services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 – Offshore Locations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Parties agree that the following are AT&amp;T-approved locations as of the Effective Date of this Agreement and any modifications to this list shall be managed in accordance with Section 3.24.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Country(ies) where services are</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authorized by AT&amp;T to be performed</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 Supplier /</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(physical location address is also</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required if the Services involve</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Supplier Affiliate, and/or</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Information Technology-related work or</w:t>
            </w:r>
          </w:p>
        </w:tc>
        <w:tc>
          <w:tcPr>
            <w:tcW w:w="720" w:type="dxa"/>
            <w:vAlign w:val="bottom"/>
          </w:tcPr>
          <w:p>
            <w:pPr>
              <w:spacing w:after="0"/>
              <w:rPr>
                <w:sz w:val="12"/>
                <w:szCs w:val="12"/>
                <w:color w:val="auto"/>
              </w:rPr>
            </w:pPr>
          </w:p>
        </w:tc>
        <w:tc>
          <w:tcPr>
            <w:tcW w:w="2700" w:type="dxa"/>
            <w:vAlign w:val="bottom"/>
            <w:gridSpan w:val="3"/>
            <w:vMerge w:val="restart"/>
          </w:tcPr>
          <w:p>
            <w:pPr>
              <w:jc w:val="center"/>
              <w:ind w:right="820"/>
              <w:spacing w:after="0"/>
              <w:rPr>
                <w:sz w:val="20"/>
                <w:szCs w:val="20"/>
                <w:color w:val="auto"/>
              </w:rPr>
            </w:pPr>
            <w:r>
              <w:rPr>
                <w:rFonts w:ascii="Arial" w:cs="Arial" w:eastAsia="Arial" w:hAnsi="Arial"/>
                <w:sz w:val="14"/>
                <w:szCs w:val="14"/>
                <w:b w:val="1"/>
                <w:bCs w:val="1"/>
                <w:color w:val="auto"/>
                <w:w w:val="91"/>
              </w:rPr>
              <w:t>City(ies) where services will be</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Services to be performed at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Subcontractor</w:t>
            </w: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if a “virtual” or “work-from-home”</w:t>
            </w:r>
          </w:p>
        </w:tc>
        <w:tc>
          <w:tcPr>
            <w:tcW w:w="720" w:type="dxa"/>
            <w:vAlign w:val="bottom"/>
          </w:tcPr>
          <w:p>
            <w:pPr>
              <w:spacing w:after="0"/>
              <w:rPr>
                <w:sz w:val="13"/>
                <w:szCs w:val="13"/>
                <w:color w:val="auto"/>
              </w:rPr>
            </w:pPr>
          </w:p>
        </w:tc>
        <w:tc>
          <w:tcPr>
            <w:tcW w:w="2700" w:type="dxa"/>
            <w:vAlign w:val="bottom"/>
            <w:gridSpan w:val="3"/>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performing the</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address is authorized)</w:t>
            </w: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approved Physical Location</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700" w:type="dxa"/>
            <w:vAlign w:val="bottom"/>
            <w:gridSpan w:val="3"/>
          </w:tcPr>
          <w:p>
            <w:pPr>
              <w:jc w:val="center"/>
              <w:ind w:right="820"/>
              <w:spacing w:after="0" w:line="155" w:lineRule="exact"/>
              <w:rPr>
                <w:sz w:val="20"/>
                <w:szCs w:val="20"/>
                <w:color w:val="auto"/>
              </w:rPr>
            </w:pPr>
            <w:r>
              <w:rPr>
                <w:rFonts w:ascii="Arial" w:cs="Arial" w:eastAsia="Arial" w:hAnsi="Arial"/>
                <w:sz w:val="14"/>
                <w:szCs w:val="14"/>
                <w:b w:val="1"/>
                <w:bCs w:val="1"/>
                <w:color w:val="auto"/>
                <w:w w:val="99"/>
              </w:rPr>
              <w:t>performed for AT&amp;T</w:t>
            </w:r>
          </w:p>
        </w:tc>
        <w:tc>
          <w:tcPr>
            <w:tcW w:w="212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Brazil</w:t>
            </w: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3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Brazil</w:t>
            </w:r>
          </w:p>
        </w:tc>
        <w:tc>
          <w:tcPr>
            <w:tcW w:w="33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3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Brazil</w:t>
            </w:r>
          </w:p>
        </w:tc>
        <w:tc>
          <w:tcPr>
            <w:tcW w:w="33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3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Brazil</w:t>
            </w:r>
          </w:p>
        </w:tc>
        <w:tc>
          <w:tcPr>
            <w:tcW w:w="33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3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Brazil</w:t>
            </w:r>
          </w:p>
        </w:tc>
        <w:tc>
          <w:tcPr>
            <w:tcW w:w="33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3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Brazil</w:t>
            </w:r>
          </w:p>
        </w:tc>
        <w:tc>
          <w:tcPr>
            <w:tcW w:w="33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3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3"/>
          </w:tcPr>
          <w:p>
            <w:pPr>
              <w:ind w:left="400"/>
              <w:spacing w:after="0"/>
              <w:rPr>
                <w:sz w:val="20"/>
                <w:szCs w:val="20"/>
                <w:color w:val="auto"/>
              </w:rPr>
            </w:pPr>
            <w:r>
              <w:rPr>
                <w:rFonts w:ascii="Arial" w:cs="Arial" w:eastAsia="Arial" w:hAnsi="Arial"/>
                <w:sz w:val="18"/>
                <w:szCs w:val="18"/>
                <w:color w:val="auto"/>
                <w:w w:val="89"/>
              </w:rPr>
              <w:t>Software and Professional Services Agreement</w:t>
            </w:r>
          </w:p>
        </w:tc>
        <w:tc>
          <w:tcPr>
            <w:tcW w:w="0" w:type="dxa"/>
            <w:vAlign w:val="bottom"/>
          </w:tcPr>
          <w:p>
            <w:pPr>
              <w:spacing w:after="0"/>
              <w:rPr>
                <w:sz w:val="1"/>
                <w:szCs w:val="1"/>
                <w:color w:val="auto"/>
              </w:rPr>
            </w:pPr>
          </w:p>
        </w:tc>
      </w:tr>
      <w:tr>
        <w:trPr>
          <w:trHeight w:val="274"/>
        </w:trPr>
        <w:tc>
          <w:tcPr>
            <w:tcW w:w="680" w:type="dxa"/>
            <w:vAlign w:val="bottom"/>
          </w:tcPr>
          <w:p>
            <w:pPr>
              <w:spacing w:after="0"/>
              <w:rPr>
                <w:sz w:val="23"/>
                <w:szCs w:val="23"/>
                <w:color w:val="auto"/>
              </w:rPr>
            </w:pPr>
          </w:p>
        </w:tc>
        <w:tc>
          <w:tcPr>
            <w:tcW w:w="3640" w:type="dxa"/>
            <w:vAlign w:val="bottom"/>
            <w:gridSpan w:val="3"/>
          </w:tcPr>
          <w:p>
            <w:pPr>
              <w:ind w:left="120"/>
              <w:spacing w:after="0"/>
              <w:rPr>
                <w:sz w:val="20"/>
                <w:szCs w:val="20"/>
                <w:color w:val="auto"/>
              </w:rPr>
            </w:pPr>
            <w:r>
              <w:rPr>
                <w:rFonts w:ascii="Arial" w:cs="Arial" w:eastAsia="Arial" w:hAnsi="Arial"/>
                <w:sz w:val="14"/>
                <w:szCs w:val="14"/>
                <w:b w:val="1"/>
                <w:bCs w:val="1"/>
                <w:color w:val="auto"/>
              </w:rPr>
              <w:t>Country(ies) where services are</w:t>
            </w: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6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authorized by AT&amp;T to be performed</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 Supplier /</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6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(physical location address is also</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6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required if the Services involve</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Supplier Affiliate, and/or</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6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Information Technology-related work</w:t>
            </w:r>
          </w:p>
        </w:tc>
        <w:tc>
          <w:tcPr>
            <w:tcW w:w="660" w:type="dxa"/>
            <w:vAlign w:val="bottom"/>
          </w:tcPr>
          <w:p>
            <w:pPr>
              <w:spacing w:after="0"/>
              <w:rPr>
                <w:sz w:val="12"/>
                <w:szCs w:val="12"/>
                <w:color w:val="auto"/>
              </w:rPr>
            </w:pPr>
          </w:p>
        </w:tc>
        <w:tc>
          <w:tcPr>
            <w:tcW w:w="266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2"/>
              </w:rPr>
              <w:t>City(ies) where services will be</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Services to be performed at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Subcontractor</w:t>
            </w: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40" w:type="dxa"/>
            <w:vAlign w:val="bottom"/>
            <w:gridSpan w:val="3"/>
          </w:tcPr>
          <w:p>
            <w:pPr>
              <w:ind w:left="120"/>
              <w:spacing w:after="0" w:line="158" w:lineRule="exact"/>
              <w:rPr>
                <w:sz w:val="20"/>
                <w:szCs w:val="20"/>
                <w:color w:val="auto"/>
              </w:rPr>
            </w:pPr>
            <w:r>
              <w:rPr>
                <w:rFonts w:ascii="Arial" w:cs="Arial" w:eastAsia="Arial" w:hAnsi="Arial"/>
                <w:sz w:val="14"/>
                <w:szCs w:val="14"/>
                <w:b w:val="1"/>
                <w:bCs w:val="1"/>
                <w:color w:val="auto"/>
              </w:rPr>
              <w:t>or if a “virtual” or “work-from-home”</w:t>
            </w:r>
          </w:p>
        </w:tc>
        <w:tc>
          <w:tcPr>
            <w:tcW w:w="660" w:type="dxa"/>
            <w:vAlign w:val="bottom"/>
          </w:tcPr>
          <w:p>
            <w:pPr>
              <w:spacing w:after="0"/>
              <w:rPr>
                <w:sz w:val="13"/>
                <w:szCs w:val="13"/>
                <w:color w:val="auto"/>
              </w:rPr>
            </w:pPr>
          </w:p>
        </w:tc>
        <w:tc>
          <w:tcPr>
            <w:tcW w:w="2660" w:type="dxa"/>
            <w:vAlign w:val="bottom"/>
            <w:gridSpan w:val="3"/>
            <w:vMerge w:val="continue"/>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performing the</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address is authorized)</w:t>
            </w:r>
          </w:p>
        </w:tc>
        <w:tc>
          <w:tcPr>
            <w:tcW w:w="20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approved Physical Location</w:t>
            </w:r>
          </w:p>
        </w:tc>
        <w:tc>
          <w:tcPr>
            <w:tcW w:w="100" w:type="dxa"/>
            <w:vAlign w:val="bottom"/>
            <w:vMerge w:val="restart"/>
          </w:tcPr>
          <w:p>
            <w:pPr>
              <w:spacing w:after="0" w:line="20" w:lineRule="exact"/>
              <w:rPr>
                <w:sz w:val="1"/>
                <w:szCs w:val="1"/>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3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jc w:val="center"/>
              <w:ind w:right="660"/>
              <w:spacing w:after="0" w:line="155" w:lineRule="exact"/>
              <w:rPr>
                <w:sz w:val="20"/>
                <w:szCs w:val="20"/>
                <w:color w:val="auto"/>
              </w:rPr>
            </w:pPr>
            <w:r>
              <w:rPr>
                <w:rFonts w:ascii="Arial" w:cs="Arial" w:eastAsia="Arial" w:hAnsi="Arial"/>
                <w:sz w:val="14"/>
                <w:szCs w:val="14"/>
                <w:b w:val="1"/>
                <w:bCs w:val="1"/>
                <w:color w:val="auto"/>
                <w:w w:val="97"/>
              </w:rPr>
              <w:t>performed for AT&amp;T</w:t>
            </w:r>
          </w:p>
        </w:tc>
        <w:tc>
          <w:tcPr>
            <w:tcW w:w="100" w:type="dxa"/>
            <w:vAlign w:val="bottom"/>
          </w:tcPr>
          <w:p>
            <w:pPr>
              <w:spacing w:after="0"/>
              <w:rPr>
                <w:sz w:val="13"/>
                <w:szCs w:val="13"/>
                <w:color w:val="auto"/>
              </w:rPr>
            </w:pPr>
          </w:p>
        </w:tc>
        <w:tc>
          <w:tcPr>
            <w:tcW w:w="20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Brazil</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Brazil</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Canada</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Cyprus</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India</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India</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India</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India</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India</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India</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India</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3"/>
          </w:tcPr>
          <w:p>
            <w:pPr>
              <w:ind w:left="400"/>
              <w:spacing w:after="0"/>
              <w:rPr>
                <w:sz w:val="20"/>
                <w:szCs w:val="20"/>
                <w:color w:val="auto"/>
              </w:rPr>
            </w:pPr>
            <w:r>
              <w:rPr>
                <w:rFonts w:ascii="Arial" w:cs="Arial" w:eastAsia="Arial" w:hAnsi="Arial"/>
                <w:sz w:val="18"/>
                <w:szCs w:val="18"/>
                <w:color w:val="auto"/>
                <w:w w:val="89"/>
              </w:rPr>
              <w:t>Software and Professional Services Agreement</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3740" w:type="dxa"/>
            <w:vAlign w:val="bottom"/>
            <w:gridSpan w:val="3"/>
          </w:tcPr>
          <w:p>
            <w:pPr>
              <w:ind w:left="100"/>
              <w:spacing w:after="0"/>
              <w:rPr>
                <w:sz w:val="20"/>
                <w:szCs w:val="20"/>
                <w:color w:val="auto"/>
              </w:rPr>
            </w:pPr>
            <w:r>
              <w:rPr>
                <w:rFonts w:ascii="Arial" w:cs="Arial" w:eastAsia="Arial" w:hAnsi="Arial"/>
                <w:sz w:val="14"/>
                <w:szCs w:val="14"/>
                <w:b w:val="1"/>
                <w:bCs w:val="1"/>
                <w:color w:val="auto"/>
              </w:rPr>
              <w:t>Country(ies) where services are</w:t>
            </w: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7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authorized by AT&amp;T to be performed</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 Supplier /</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7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(physical location address is also</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7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required if the Services involve</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Supplier Affiliate, and/or</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7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Information Technology-related work or</w:t>
            </w:r>
          </w:p>
        </w:tc>
        <w:tc>
          <w:tcPr>
            <w:tcW w:w="700" w:type="dxa"/>
            <w:vAlign w:val="bottom"/>
            <w:vMerge w:val="restart"/>
          </w:tcPr>
          <w:p>
            <w:pPr>
              <w:spacing w:after="0"/>
              <w:rPr>
                <w:sz w:val="12"/>
                <w:szCs w:val="12"/>
                <w:color w:val="auto"/>
              </w:rPr>
            </w:pPr>
          </w:p>
        </w:tc>
        <w:tc>
          <w:tcPr>
            <w:tcW w:w="2700" w:type="dxa"/>
            <w:vAlign w:val="bottom"/>
            <w:gridSpan w:val="3"/>
            <w:vMerge w:val="restart"/>
          </w:tcPr>
          <w:p>
            <w:pPr>
              <w:jc w:val="center"/>
              <w:ind w:right="820"/>
              <w:spacing w:after="0"/>
              <w:rPr>
                <w:sz w:val="20"/>
                <w:szCs w:val="20"/>
                <w:color w:val="auto"/>
              </w:rPr>
            </w:pPr>
            <w:r>
              <w:rPr>
                <w:rFonts w:ascii="Arial" w:cs="Arial" w:eastAsia="Arial" w:hAnsi="Arial"/>
                <w:sz w:val="14"/>
                <w:szCs w:val="14"/>
                <w:b w:val="1"/>
                <w:bCs w:val="1"/>
                <w:color w:val="auto"/>
                <w:w w:val="91"/>
              </w:rPr>
              <w:t>City(ies) where services will be</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Services to be performed at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Subcontractor</w:t>
            </w: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374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if a “virtual” or “work-from-home”</w:t>
            </w:r>
          </w:p>
        </w:tc>
        <w:tc>
          <w:tcPr>
            <w:tcW w:w="700" w:type="dxa"/>
            <w:vAlign w:val="bottom"/>
            <w:vMerge w:val="continue"/>
          </w:tcPr>
          <w:p>
            <w:pPr>
              <w:spacing w:after="0"/>
              <w:rPr>
                <w:sz w:val="13"/>
                <w:szCs w:val="13"/>
                <w:color w:val="auto"/>
              </w:rPr>
            </w:pPr>
          </w:p>
        </w:tc>
        <w:tc>
          <w:tcPr>
            <w:tcW w:w="2700" w:type="dxa"/>
            <w:vAlign w:val="bottom"/>
            <w:gridSpan w:val="3"/>
            <w:vMerge w:val="continue"/>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performing the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address is authorized)</w:t>
            </w:r>
          </w:p>
        </w:tc>
        <w:tc>
          <w:tcPr>
            <w:tcW w:w="2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approved Physical Location</w:t>
            </w:r>
          </w:p>
        </w:tc>
        <w:tc>
          <w:tcPr>
            <w:tcW w:w="100" w:type="dxa"/>
            <w:vAlign w:val="bottom"/>
            <w:vMerge w:val="restart"/>
          </w:tcPr>
          <w:p>
            <w:pPr>
              <w:spacing w:after="0" w:line="20" w:lineRule="exact"/>
              <w:rPr>
                <w:sz w:val="1"/>
                <w:szCs w:val="1"/>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34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2"/>
          </w:tcPr>
          <w:p>
            <w:pPr>
              <w:jc w:val="center"/>
              <w:ind w:right="720"/>
              <w:spacing w:after="0" w:line="155" w:lineRule="exact"/>
              <w:rPr>
                <w:sz w:val="20"/>
                <w:szCs w:val="20"/>
                <w:color w:val="auto"/>
              </w:rPr>
            </w:pPr>
            <w:r>
              <w:rPr>
                <w:rFonts w:ascii="Arial" w:cs="Arial" w:eastAsia="Arial" w:hAnsi="Arial"/>
                <w:sz w:val="14"/>
                <w:szCs w:val="14"/>
                <w:b w:val="1"/>
                <w:bCs w:val="1"/>
                <w:color w:val="auto"/>
                <w:w w:val="99"/>
              </w:rPr>
              <w:t>performed for AT&amp;T</w:t>
            </w:r>
          </w:p>
        </w:tc>
        <w:tc>
          <w:tcPr>
            <w:tcW w:w="100" w:type="dxa"/>
            <w:vAlign w:val="bottom"/>
          </w:tcPr>
          <w:p>
            <w:pPr>
              <w:spacing w:after="0"/>
              <w:rPr>
                <w:sz w:val="13"/>
                <w:szCs w:val="13"/>
                <w:color w:val="auto"/>
              </w:rPr>
            </w:pPr>
          </w:p>
        </w:tc>
        <w:tc>
          <w:tcPr>
            <w:tcW w:w="20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India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3"/>
          </w:tcPr>
          <w:p>
            <w:pPr>
              <w:ind w:left="420"/>
              <w:spacing w:after="0"/>
              <w:rPr>
                <w:sz w:val="20"/>
                <w:szCs w:val="20"/>
                <w:color w:val="auto"/>
              </w:rPr>
            </w:pPr>
            <w:r>
              <w:rPr>
                <w:rFonts w:ascii="Arial" w:cs="Arial" w:eastAsia="Arial" w:hAnsi="Arial"/>
                <w:sz w:val="18"/>
                <w:szCs w:val="18"/>
                <w:color w:val="auto"/>
                <w:w w:val="89"/>
              </w:rPr>
              <w:t>Software and Professional Services Agreement</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3"/>
                <w:szCs w:val="23"/>
                <w:color w:val="auto"/>
              </w:rPr>
            </w:pPr>
          </w:p>
        </w:tc>
        <w:tc>
          <w:tcPr>
            <w:tcW w:w="3580" w:type="dxa"/>
            <w:vAlign w:val="bottom"/>
            <w:gridSpan w:val="3"/>
          </w:tcPr>
          <w:p>
            <w:pPr>
              <w:ind w:left="180"/>
              <w:spacing w:after="0"/>
              <w:rPr>
                <w:sz w:val="20"/>
                <w:szCs w:val="20"/>
                <w:color w:val="auto"/>
              </w:rPr>
            </w:pPr>
            <w:r>
              <w:rPr>
                <w:rFonts w:ascii="Arial" w:cs="Arial" w:eastAsia="Arial" w:hAnsi="Arial"/>
                <w:sz w:val="14"/>
                <w:szCs w:val="14"/>
                <w:b w:val="1"/>
                <w:bCs w:val="1"/>
                <w:color w:val="auto"/>
              </w:rPr>
              <w:t>Country(ies) where services are</w:t>
            </w: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5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authorized by AT&amp;T to be performed</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 Supplier /</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5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(physical location address is also</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5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required if the Services involve</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Supplier Affiliate, and/or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5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Information Technology-related work</w:t>
            </w:r>
          </w:p>
        </w:tc>
        <w:tc>
          <w:tcPr>
            <w:tcW w:w="660" w:type="dxa"/>
            <w:vAlign w:val="bottom"/>
          </w:tcPr>
          <w:p>
            <w:pPr>
              <w:spacing w:after="0"/>
              <w:rPr>
                <w:sz w:val="12"/>
                <w:szCs w:val="12"/>
                <w:color w:val="auto"/>
              </w:rPr>
            </w:pPr>
          </w:p>
        </w:tc>
        <w:tc>
          <w:tcPr>
            <w:tcW w:w="264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1"/>
              </w:rPr>
              <w:t>City(ies) where services will be</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Services to be performed at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Subcontractor</w:t>
            </w: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3580" w:type="dxa"/>
            <w:vAlign w:val="bottom"/>
            <w:gridSpan w:val="3"/>
          </w:tcPr>
          <w:p>
            <w:pPr>
              <w:ind w:left="180"/>
              <w:spacing w:after="0" w:line="158" w:lineRule="exact"/>
              <w:rPr>
                <w:sz w:val="20"/>
                <w:szCs w:val="20"/>
                <w:color w:val="auto"/>
              </w:rPr>
            </w:pPr>
            <w:r>
              <w:rPr>
                <w:rFonts w:ascii="Arial" w:cs="Arial" w:eastAsia="Arial" w:hAnsi="Arial"/>
                <w:sz w:val="14"/>
                <w:szCs w:val="14"/>
                <w:b w:val="1"/>
                <w:bCs w:val="1"/>
                <w:color w:val="auto"/>
              </w:rPr>
              <w:t>or if a “virtual” or “work-from-home”</w:t>
            </w:r>
          </w:p>
        </w:tc>
        <w:tc>
          <w:tcPr>
            <w:tcW w:w="660" w:type="dxa"/>
            <w:vAlign w:val="bottom"/>
          </w:tcPr>
          <w:p>
            <w:pPr>
              <w:spacing w:after="0"/>
              <w:rPr>
                <w:sz w:val="13"/>
                <w:szCs w:val="13"/>
                <w:color w:val="auto"/>
              </w:rPr>
            </w:pPr>
          </w:p>
        </w:tc>
        <w:tc>
          <w:tcPr>
            <w:tcW w:w="2640" w:type="dxa"/>
            <w:vAlign w:val="bottom"/>
            <w:gridSpan w:val="3"/>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performing the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5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address is authorized)</w:t>
            </w: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approved Physical Location</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line="20" w:lineRule="exact"/>
              <w:rPr>
                <w:sz w:val="1"/>
                <w:szCs w:val="1"/>
                <w:color w:val="auto"/>
              </w:rPr>
            </w:pPr>
          </w:p>
        </w:tc>
      </w:tr>
      <w:tr>
        <w:trPr>
          <w:trHeight w:val="156"/>
        </w:trPr>
        <w:tc>
          <w:tcPr>
            <w:tcW w:w="740" w:type="dxa"/>
            <w:vAlign w:val="bottom"/>
          </w:tcPr>
          <w:p>
            <w:pPr>
              <w:spacing w:after="0"/>
              <w:rPr>
                <w:sz w:val="13"/>
                <w:szCs w:val="13"/>
                <w:color w:val="auto"/>
              </w:rPr>
            </w:pPr>
          </w:p>
        </w:tc>
        <w:tc>
          <w:tcPr>
            <w:tcW w:w="35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2640" w:type="dxa"/>
            <w:vAlign w:val="bottom"/>
            <w:gridSpan w:val="3"/>
          </w:tcPr>
          <w:p>
            <w:pPr>
              <w:jc w:val="center"/>
              <w:ind w:right="780"/>
              <w:spacing w:after="0" w:line="155" w:lineRule="exact"/>
              <w:rPr>
                <w:sz w:val="20"/>
                <w:szCs w:val="20"/>
                <w:color w:val="auto"/>
              </w:rPr>
            </w:pPr>
            <w:r>
              <w:rPr>
                <w:rFonts w:ascii="Arial" w:cs="Arial" w:eastAsia="Arial" w:hAnsi="Arial"/>
                <w:sz w:val="14"/>
                <w:szCs w:val="14"/>
                <w:b w:val="1"/>
                <w:bCs w:val="1"/>
                <w:color w:val="auto"/>
                <w:w w:val="97"/>
              </w:rPr>
              <w:t>performed for AT&amp;T</w:t>
            </w:r>
          </w:p>
        </w:tc>
        <w:tc>
          <w:tcPr>
            <w:tcW w:w="212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India</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India</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India</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India</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Israel</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Israel</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Israel</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Israel</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Israel</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Israel</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Israel</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Israel</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Mexico</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Mexico</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Mexico</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Mexico</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74" w:right="2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3"/>
          </w:tcPr>
          <w:p>
            <w:pPr>
              <w:ind w:left="420"/>
              <w:spacing w:after="0"/>
              <w:rPr>
                <w:sz w:val="20"/>
                <w:szCs w:val="20"/>
                <w:color w:val="auto"/>
              </w:rPr>
            </w:pPr>
            <w:r>
              <w:rPr>
                <w:rFonts w:ascii="Arial" w:cs="Arial" w:eastAsia="Arial" w:hAnsi="Arial"/>
                <w:sz w:val="18"/>
                <w:szCs w:val="18"/>
                <w:color w:val="auto"/>
                <w:w w:val="89"/>
              </w:rPr>
              <w:t>Software and Professional Services Agreement</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3"/>
                <w:szCs w:val="23"/>
                <w:color w:val="auto"/>
              </w:rPr>
            </w:pPr>
          </w:p>
        </w:tc>
        <w:tc>
          <w:tcPr>
            <w:tcW w:w="3580" w:type="dxa"/>
            <w:vAlign w:val="bottom"/>
            <w:gridSpan w:val="3"/>
          </w:tcPr>
          <w:p>
            <w:pPr>
              <w:ind w:left="180"/>
              <w:spacing w:after="0"/>
              <w:rPr>
                <w:sz w:val="20"/>
                <w:szCs w:val="20"/>
                <w:color w:val="auto"/>
              </w:rPr>
            </w:pPr>
            <w:r>
              <w:rPr>
                <w:rFonts w:ascii="Arial" w:cs="Arial" w:eastAsia="Arial" w:hAnsi="Arial"/>
                <w:sz w:val="14"/>
                <w:szCs w:val="14"/>
                <w:b w:val="1"/>
                <w:bCs w:val="1"/>
                <w:color w:val="auto"/>
              </w:rPr>
              <w:t>Country(ies) where services are</w:t>
            </w: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5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authorized by AT&amp;T to be performed</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 Supplier /</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5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(physical location address is also</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5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required if the Services involve</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Supplier Affiliate, and/or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5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Information Technology-related work</w:t>
            </w:r>
          </w:p>
        </w:tc>
        <w:tc>
          <w:tcPr>
            <w:tcW w:w="660" w:type="dxa"/>
            <w:vAlign w:val="bottom"/>
          </w:tcPr>
          <w:p>
            <w:pPr>
              <w:spacing w:after="0"/>
              <w:rPr>
                <w:sz w:val="12"/>
                <w:szCs w:val="12"/>
                <w:color w:val="auto"/>
              </w:rPr>
            </w:pPr>
          </w:p>
        </w:tc>
        <w:tc>
          <w:tcPr>
            <w:tcW w:w="264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1"/>
              </w:rPr>
              <w:t>City(ies) where services will be</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Services to be performed at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Subcontractor</w:t>
            </w: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3580" w:type="dxa"/>
            <w:vAlign w:val="bottom"/>
            <w:gridSpan w:val="3"/>
          </w:tcPr>
          <w:p>
            <w:pPr>
              <w:ind w:left="180"/>
              <w:spacing w:after="0" w:line="158" w:lineRule="exact"/>
              <w:rPr>
                <w:sz w:val="20"/>
                <w:szCs w:val="20"/>
                <w:color w:val="auto"/>
              </w:rPr>
            </w:pPr>
            <w:r>
              <w:rPr>
                <w:rFonts w:ascii="Arial" w:cs="Arial" w:eastAsia="Arial" w:hAnsi="Arial"/>
                <w:sz w:val="14"/>
                <w:szCs w:val="14"/>
                <w:b w:val="1"/>
                <w:bCs w:val="1"/>
                <w:color w:val="auto"/>
              </w:rPr>
              <w:t>or if a “virtual” or “work-from-home”</w:t>
            </w:r>
          </w:p>
        </w:tc>
        <w:tc>
          <w:tcPr>
            <w:tcW w:w="660" w:type="dxa"/>
            <w:vAlign w:val="bottom"/>
          </w:tcPr>
          <w:p>
            <w:pPr>
              <w:spacing w:after="0"/>
              <w:rPr>
                <w:sz w:val="13"/>
                <w:szCs w:val="13"/>
                <w:color w:val="auto"/>
              </w:rPr>
            </w:pPr>
          </w:p>
        </w:tc>
        <w:tc>
          <w:tcPr>
            <w:tcW w:w="2640" w:type="dxa"/>
            <w:vAlign w:val="bottom"/>
            <w:gridSpan w:val="3"/>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performing the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5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address is authorized)</w:t>
            </w: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approved Physical Location</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line="20" w:lineRule="exact"/>
              <w:rPr>
                <w:sz w:val="1"/>
                <w:szCs w:val="1"/>
                <w:color w:val="auto"/>
              </w:rPr>
            </w:pPr>
          </w:p>
        </w:tc>
      </w:tr>
      <w:tr>
        <w:trPr>
          <w:trHeight w:val="156"/>
        </w:trPr>
        <w:tc>
          <w:tcPr>
            <w:tcW w:w="740" w:type="dxa"/>
            <w:vAlign w:val="bottom"/>
          </w:tcPr>
          <w:p>
            <w:pPr>
              <w:spacing w:after="0"/>
              <w:rPr>
                <w:sz w:val="13"/>
                <w:szCs w:val="13"/>
                <w:color w:val="auto"/>
              </w:rPr>
            </w:pPr>
          </w:p>
        </w:tc>
        <w:tc>
          <w:tcPr>
            <w:tcW w:w="35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2640" w:type="dxa"/>
            <w:vAlign w:val="bottom"/>
            <w:gridSpan w:val="3"/>
          </w:tcPr>
          <w:p>
            <w:pPr>
              <w:jc w:val="center"/>
              <w:ind w:right="780"/>
              <w:spacing w:after="0" w:line="155" w:lineRule="exact"/>
              <w:rPr>
                <w:sz w:val="20"/>
                <w:szCs w:val="20"/>
                <w:color w:val="auto"/>
              </w:rPr>
            </w:pPr>
            <w:r>
              <w:rPr>
                <w:rFonts w:ascii="Arial" w:cs="Arial" w:eastAsia="Arial" w:hAnsi="Arial"/>
                <w:sz w:val="14"/>
                <w:szCs w:val="14"/>
                <w:b w:val="1"/>
                <w:bCs w:val="1"/>
                <w:color w:val="auto"/>
                <w:w w:val="97"/>
              </w:rPr>
              <w:t>performed for AT&amp;T</w:t>
            </w:r>
          </w:p>
        </w:tc>
        <w:tc>
          <w:tcPr>
            <w:tcW w:w="212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Mexico</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UK</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UK</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D – Security and Offshore Requirements:</w:t>
      </w:r>
    </w:p>
    <w:p>
      <w:pPr>
        <w:spacing w:after="0" w:line="229" w:lineRule="exact"/>
        <w:rPr>
          <w:sz w:val="20"/>
          <w:szCs w:val="20"/>
          <w:color w:val="auto"/>
        </w:rPr>
      </w:pPr>
    </w:p>
    <w:p>
      <w:pPr>
        <w:jc w:val="center"/>
        <w:ind w:left="260" w:right="160"/>
        <w:spacing w:after="0" w:line="277" w:lineRule="auto"/>
        <w:rPr>
          <w:sz w:val="20"/>
          <w:szCs w:val="20"/>
          <w:color w:val="auto"/>
        </w:rPr>
      </w:pPr>
      <w:r>
        <w:rPr>
          <w:rFonts w:ascii="Arial" w:cs="Arial" w:eastAsia="Arial" w:hAnsi="Arial"/>
          <w:sz w:val="18"/>
          <w:szCs w:val="18"/>
          <w:color w:val="auto"/>
        </w:rPr>
        <w:t>Supplier Information Security Requirements (“SISR”); Offshore Information Technology Services Requirements; Requirements for Offshore Information Technology Services Requiring Elevated Rights; and Limited Offshore Remote Access (“LORA”)</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AT&amp;T Supplier Information Security Requirements (SISR) – v6.1, December 2015</w:t>
      </w:r>
    </w:p>
    <w:p>
      <w:pPr>
        <w:spacing w:after="0" w:line="121" w:lineRule="exact"/>
        <w:rPr>
          <w:sz w:val="20"/>
          <w:szCs w:val="20"/>
          <w:color w:val="auto"/>
        </w:rPr>
      </w:pPr>
    </w:p>
    <w:p>
      <w:pPr>
        <w:ind w:left="700" w:right="400"/>
        <w:spacing w:after="0" w:line="342" w:lineRule="auto"/>
        <w:rPr>
          <w:sz w:val="20"/>
          <w:szCs w:val="20"/>
          <w:color w:val="auto"/>
        </w:rPr>
      </w:pPr>
      <w:r>
        <w:rPr>
          <w:rFonts w:ascii="Arial" w:cs="Arial" w:eastAsia="Arial" w:hAnsi="Arial"/>
          <w:sz w:val="16"/>
          <w:szCs w:val="16"/>
          <w:color w:val="auto"/>
        </w:rPr>
        <w:t>The following AT&amp;T Supplier Information Security Requirements (“Security Requirements”) apply to Supplier (as previously defined) when performing any action, activity or work under the agreement where any of the following occur (</w:t>
      </w:r>
      <w:r>
        <w:rPr>
          <w:rFonts w:ascii="Arial" w:cs="Arial" w:eastAsia="Arial" w:hAnsi="Arial"/>
          <w:sz w:val="16"/>
          <w:szCs w:val="16"/>
          <w:b w:val="1"/>
          <w:bCs w:val="1"/>
          <w:color w:val="auto"/>
        </w:rPr>
        <w:t>hereinafter referred to as “In-Scope Work”</w:t>
      </w:r>
      <w:r>
        <w:rPr>
          <w:rFonts w:ascii="Arial" w:cs="Arial" w:eastAsia="Arial" w:hAnsi="Arial"/>
          <w:sz w:val="16"/>
          <w:szCs w:val="16"/>
          <w:color w:val="auto"/>
        </w:rPr>
        <w:t>):</w:t>
      </w:r>
    </w:p>
    <w:p>
      <w:pPr>
        <w:spacing w:after="0" w:line="29" w:lineRule="exact"/>
        <w:rPr>
          <w:sz w:val="20"/>
          <w:szCs w:val="20"/>
          <w:color w:val="auto"/>
        </w:rPr>
      </w:pPr>
    </w:p>
    <w:p>
      <w:pPr>
        <w:ind w:left="1480" w:right="60" w:hanging="797"/>
        <w:spacing w:after="0" w:line="308" w:lineRule="auto"/>
        <w:tabs>
          <w:tab w:leader="none" w:pos="14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collection, storage, handling, backup, disposal, and/or access to confidential, proprietary and/or trade secret data of AT&amp;T, including data of others that AT&amp;T is obligated to protect, if any (</w:t>
      </w:r>
      <w:r>
        <w:rPr>
          <w:rFonts w:ascii="Arial" w:cs="Arial" w:eastAsia="Arial" w:hAnsi="Arial"/>
          <w:sz w:val="17"/>
          <w:szCs w:val="17"/>
          <w:b w:val="1"/>
          <w:bCs w:val="1"/>
          <w:color w:val="auto"/>
        </w:rPr>
        <w:t>hereinafter collectively referred to as “In-Scope Information”</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80" w:hanging="797"/>
        <w:spacing w:after="0"/>
        <w:tabs>
          <w:tab w:leader="none" w:pos="14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Providing or supporting AT&amp;T branded applications and/or services using non-AT&amp;T Information Resources (as defined below);</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Connectivity to AT&amp;T’s Nonpublic Information Resources (as defined below);</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development of any software to AT&amp;T’s custom specifications for which AT&amp;T has been charged monies;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Website hosting and development for AT&amp;T and/or AT&amp;T’s customers.</w:t>
      </w:r>
    </w:p>
    <w:p>
      <w:pPr>
        <w:spacing w:after="0" w:line="117"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These Security Requirements are not intended to apply to products or applications acquired from the Supplier by AT&amp;T for use in AT&amp;T-controlled space by AT&amp;T.</w:t>
      </w:r>
    </w:p>
    <w:p>
      <w:pPr>
        <w:spacing w:after="0" w:line="62" w:lineRule="exact"/>
        <w:rPr>
          <w:sz w:val="20"/>
          <w:szCs w:val="20"/>
          <w:color w:val="auto"/>
        </w:rPr>
      </w:pPr>
    </w:p>
    <w:p>
      <w:pPr>
        <w:ind w:left="700" w:right="180"/>
        <w:spacing w:after="0" w:line="342" w:lineRule="auto"/>
        <w:rPr>
          <w:sz w:val="20"/>
          <w:szCs w:val="20"/>
          <w:color w:val="auto"/>
        </w:rPr>
      </w:pPr>
      <w:r>
        <w:rPr>
          <w:rFonts w:ascii="Arial" w:cs="Arial" w:eastAsia="Arial" w:hAnsi="Arial"/>
          <w:sz w:val="16"/>
          <w:szCs w:val="16"/>
          <w:color w:val="auto"/>
        </w:rPr>
        <w:t>With respect to personnel under Supplier’s direct control, Supplier shall ensure that its affiliates, employees and temporary workers performing In-Scope Work are aware of these Security Requirements and are in compliance with the Security Requirements when performing In-Scope Work.</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respect to personnel not under Supplier’s direct control, Supplier shall:</w:t>
      </w:r>
    </w:p>
    <w:p>
      <w:pPr>
        <w:spacing w:after="0" w:line="131" w:lineRule="exact"/>
        <w:rPr>
          <w:sz w:val="20"/>
          <w:szCs w:val="20"/>
          <w:color w:val="auto"/>
        </w:rPr>
      </w:pPr>
    </w:p>
    <w:p>
      <w:pPr>
        <w:ind w:left="1480" w:right="200" w:hanging="797"/>
        <w:spacing w:after="0" w:line="342" w:lineRule="auto"/>
        <w:tabs>
          <w:tab w:leader="none" w:pos="14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Include these Security Requirements into its agreements with its subcontractors performing In-Scope Work and shall perform due diligence adequate to ensure compliance by such subcontractors with these Security Requirements when performing In-Scope Work, or</w:t>
      </w:r>
    </w:p>
    <w:p>
      <w:pPr>
        <w:spacing w:after="0" w:line="29" w:lineRule="exact"/>
        <w:rPr>
          <w:rFonts w:ascii="Arial" w:cs="Arial" w:eastAsia="Arial" w:hAnsi="Arial"/>
          <w:sz w:val="16"/>
          <w:szCs w:val="16"/>
          <w:color w:val="auto"/>
        </w:rPr>
      </w:pPr>
    </w:p>
    <w:p>
      <w:pPr>
        <w:ind w:left="1480" w:right="200" w:hanging="797"/>
        <w:spacing w:after="0" w:line="342" w:lineRule="auto"/>
        <w:tabs>
          <w:tab w:leader="none" w:pos="14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Perform due diligence adequate to ensure that each such subcontractor when performing In-Scope Work implements and complies with information security controls, policies, processes and procedures substantially equivalent or similar to these Security Requirements.</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Unless otherwise set forth or expanded herein, defined terms shall have the same meaning as set forth in the main body of the Agreement.</w:t>
      </w:r>
    </w:p>
    <w:p>
      <w:pPr>
        <w:spacing w:after="0" w:line="129" w:lineRule="exact"/>
        <w:rPr>
          <w:sz w:val="20"/>
          <w:szCs w:val="20"/>
          <w:color w:val="auto"/>
        </w:rPr>
      </w:pPr>
    </w:p>
    <w:p>
      <w:pPr>
        <w:ind w:left="700" w:right="20"/>
        <w:spacing w:after="0" w:line="279" w:lineRule="auto"/>
        <w:rPr>
          <w:sz w:val="20"/>
          <w:szCs w:val="20"/>
          <w:color w:val="auto"/>
        </w:rPr>
      </w:pPr>
      <w:r>
        <w:rPr>
          <w:rFonts w:ascii="Arial" w:cs="Arial" w:eastAsia="Arial" w:hAnsi="Arial"/>
          <w:sz w:val="17"/>
          <w:szCs w:val="17"/>
          <w:color w:val="auto"/>
        </w:rPr>
        <w:t>“Demilitarized Zone” or “DMZ” is a network or sub-network that sits between a trusted internal network, such as a corporate private Local Area Network (LAN), and an untrusted external network, such as the Internet. A DMZ helps prevent outside users from gaining direct access to internal Information Resources. Inbound packets from the untrusted external network terminate within the DMZ and are not allowed to flow directly through to the trusted internal network. All inbound packets which flow to the trusted internal network originate within the DMZ.</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74" w:right="239" w:bottom="1440" w:gutter="0" w:footer="0" w:header="0"/>
        </w:sectPr>
      </w:pPr>
    </w:p>
    <w:bookmarkStart w:id="228" w:name="page229"/>
    <w:bookmarkEnd w:id="228"/>
    <w:p>
      <w:pPr>
        <w:ind w:left="7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“Information Resource(s)” means systems, applications, websites, networks, network elements, and other computing and information storage devices, including Mobile and Portable Devices (as defined below), used in conjunction with supporting AT&amp;T and/or used by Supplier in fulfillment of its obligations under the Agreement.</w:t>
      </w:r>
    </w:p>
    <w:p>
      <w:pPr>
        <w:spacing w:after="0" w:line="7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“Mobile and Portable Devices” means mobile and/or portable computers, devices, media and systems capable of being easily carried, moved, transported or conveyed that are used in connection with the Agreement. Examples of such devices include laptop computers, tablets, USB hard drives, USB memory sticks, Personal Digital Assistants (PDAs), and wireless phones, such as smartphones.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“Nonpublic Information Resources” means those Information Resources used under the Agreement to which access is restricted and requires proper authorization and authentication.</w:t>
      </w:r>
    </w:p>
    <w:p>
      <w:pPr>
        <w:spacing w:after="0" w:line="62" w:lineRule="exact"/>
        <w:rPr>
          <w:sz w:val="20"/>
          <w:szCs w:val="20"/>
          <w:color w:val="auto"/>
        </w:rPr>
      </w:pPr>
    </w:p>
    <w:p>
      <w:pPr>
        <w:jc w:val="both"/>
        <w:ind w:right="460"/>
        <w:spacing w:after="0" w:line="277" w:lineRule="auto"/>
        <w:rPr>
          <w:sz w:val="20"/>
          <w:szCs w:val="20"/>
          <w:color w:val="auto"/>
        </w:rPr>
      </w:pPr>
      <w:r>
        <w:rPr>
          <w:rFonts w:ascii="Arial" w:cs="Arial" w:eastAsia="Arial" w:hAnsi="Arial"/>
          <w:sz w:val="18"/>
          <w:szCs w:val="18"/>
          <w:color w:val="auto"/>
        </w:rPr>
        <w:t>“Sensitive Personal Information” or “SPI” means the data elements listed in the “Table of AT&amp;T SPI Data Elements” located at the end of this appendix.</w:t>
      </w:r>
    </w:p>
    <w:p>
      <w:pPr>
        <w:spacing w:after="0" w:line="62"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“Security Gateway” means a set of control mechanisms between two or more networks having different trust levels which filter and log traffic passing, or attempting to pass, between networks, and the associated administrative and management servers. Examples of Security Gateways include firewalls, firewall management servers, hop boxes, session border controllers, proxy servers, and intrusion prevention devices.</w:t>
      </w:r>
    </w:p>
    <w:p>
      <w:pPr>
        <w:spacing w:after="0" w:line="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“Strong Authentication” means the use of authentication mechanisms and authentication methodologies stronger than the passwords required by the applicable requirements herein. Examples of Strong Authentication mechanisms and methodologies include digital certificates, two-factor authentication, and one-time passwords.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“Strong Encryption” means the use of encryption technologies with minimum key lengths of 128-bits for symmetric encryption and 1024-bits for asymmetric encryption whose strength provides reasonable assurance that it will protect the encrypted information from unauthorized access and is adequate to protect the confidentiality and privacy of the encrypted information, and which incorporates a documented policy for the management of the encryption keys and associated processes adequate to protect the confidentiality and privacy of the keys and passwords used as inputs to the encryption algorithm.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“Supplier Entity” or “Supplier Entities” means Supplier, its affiliates and subcontractors.</w:t>
      </w:r>
    </w:p>
    <w:p>
      <w:pPr>
        <w:spacing w:after="0" w:line="15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720"/>
          </w:cols>
          <w:pgMar w:left="940" w:top="274"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accordance with the foregoing, Supplier shall:</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System Security</w:t>
      </w:r>
    </w:p>
    <w:p>
      <w:pPr>
        <w:spacing w:after="0" w:line="256" w:lineRule="exact"/>
        <w:rPr>
          <w:sz w:val="20"/>
          <w:szCs w:val="20"/>
          <w:color w:val="auto"/>
        </w:rPr>
      </w:pPr>
    </w:p>
    <w:p>
      <w:pPr>
        <w:jc w:val="both"/>
        <w:ind w:left="800" w:right="380" w:hanging="797"/>
        <w:spacing w:after="0" w:line="264" w:lineRule="auto"/>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Actively monitor industry resources (e.g., www.cert.org, pertinent software vendor mailing lists and websites, and information from subscriptions to automated notifications) for timely notification of all applicable security alerts that pertain to Supplier’s Information Resources and promptly take action to address them. (Security Alerts)</w:t>
      </w:r>
    </w:p>
    <w:p>
      <w:pPr>
        <w:spacing w:after="0" w:line="86" w:lineRule="exact"/>
        <w:rPr>
          <w:rFonts w:ascii="Arial" w:cs="Arial" w:eastAsia="Arial" w:hAnsi="Arial"/>
          <w:sz w:val="18"/>
          <w:szCs w:val="18"/>
          <w:color w:val="auto"/>
        </w:rPr>
      </w:pPr>
    </w:p>
    <w:p>
      <w:pPr>
        <w:ind w:left="800" w:right="840" w:hanging="797"/>
        <w:spacing w:after="0" w:line="277" w:lineRule="auto"/>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scan Supplier’s Information Resources with industry-standard security vulnerability scanning software to detect security vulnerabilities.</w:t>
      </w:r>
    </w:p>
    <w:p>
      <w:pPr>
        <w:spacing w:after="0" w:line="75" w:lineRule="exact"/>
        <w:rPr>
          <w:rFonts w:ascii="Arial" w:cs="Arial" w:eastAsia="Arial" w:hAnsi="Arial"/>
          <w:sz w:val="18"/>
          <w:szCs w:val="18"/>
          <w:color w:val="auto"/>
        </w:rPr>
      </w:pPr>
    </w:p>
    <w:p>
      <w:pPr>
        <w:ind w:left="800" w:right="140" w:hanging="797"/>
        <w:spacing w:after="0" w:line="342" w:lineRule="auto"/>
        <w:tabs>
          <w:tab w:leader="none" w:pos="8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Deploy Intrusion Detection Systems (IDS), Intrusion Prevention Systems (IPS), or Intrusion Detection and Prevention Systems (IDP) in an active mode of operation that monitors all traffic entering and leaving Information Resources in conjunction with the Agreement.</w:t>
      </w:r>
    </w:p>
    <w:p>
      <w:pPr>
        <w:spacing w:after="0" w:line="29" w:lineRule="exact"/>
        <w:rPr>
          <w:rFonts w:ascii="Arial" w:cs="Arial" w:eastAsia="Arial" w:hAnsi="Arial"/>
          <w:sz w:val="16"/>
          <w:szCs w:val="16"/>
          <w:color w:val="auto"/>
        </w:rPr>
      </w:pPr>
    </w:p>
    <w:p>
      <w:pPr>
        <w:ind w:left="800" w:right="340" w:hanging="797"/>
        <w:spacing w:after="0" w:line="277" w:lineRule="auto"/>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Have and use a documented process to remediate security vulnerabilities in the Information Resources and apply appropriate security patches promptly based on potential risk that a given vulnerability is or can be exploited.</w:t>
      </w:r>
    </w:p>
    <w:p>
      <w:pPr>
        <w:spacing w:after="0" w:line="75" w:lineRule="exact"/>
        <w:rPr>
          <w:rFonts w:ascii="Arial" w:cs="Arial" w:eastAsia="Arial" w:hAnsi="Arial"/>
          <w:sz w:val="18"/>
          <w:szCs w:val="18"/>
          <w:color w:val="auto"/>
        </w:rPr>
      </w:pPr>
    </w:p>
    <w:p>
      <w:pPr>
        <w:ind w:left="800" w:hanging="797"/>
        <w:spacing w:after="0"/>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Assign security administration responsibilities for configuring host operating systems to specific individuals.</w:t>
      </w:r>
    </w:p>
    <w:p>
      <w:pPr>
        <w:spacing w:after="0" w:line="130" w:lineRule="exact"/>
        <w:rPr>
          <w:rFonts w:ascii="Arial" w:cs="Arial" w:eastAsia="Arial" w:hAnsi="Arial"/>
          <w:sz w:val="18"/>
          <w:szCs w:val="18"/>
          <w:color w:val="auto"/>
        </w:rPr>
      </w:pPr>
    </w:p>
    <w:p>
      <w:pPr>
        <w:ind w:left="800" w:hanging="797"/>
        <w:spacing w:after="0" w:line="286" w:lineRule="auto"/>
        <w:tabs>
          <w:tab w:leader="none" w:pos="8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Ensure that all of Supplier’s Information Resources are and remain ‘hardened’ including, but not limited to, removing or disabling unused networking and other computing services (e.g., finger, rlogin, ftp, simple Transmission Control Protocol/Internet Protocol (TCP/IP) services, etc.) and installing a system firewall, Transmission Control Protocol (TCP) wrappers or similar technology.</w:t>
      </w:r>
    </w:p>
    <w:p>
      <w:pPr>
        <w:spacing w:after="0" w:line="70" w:lineRule="exact"/>
        <w:rPr>
          <w:rFonts w:ascii="Arial" w:cs="Arial" w:eastAsia="Arial" w:hAnsi="Arial"/>
          <w:sz w:val="17"/>
          <w:szCs w:val="17"/>
          <w:color w:val="auto"/>
        </w:rPr>
      </w:pPr>
    </w:p>
    <w:p>
      <w:pPr>
        <w:ind w:left="800" w:hanging="797"/>
        <w:spacing w:after="0"/>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Change all default account names and/or default passwords.</w:t>
      </w:r>
    </w:p>
    <w:p>
      <w:pPr>
        <w:spacing w:after="0" w:line="130" w:lineRule="exact"/>
        <w:rPr>
          <w:rFonts w:ascii="Arial" w:cs="Arial" w:eastAsia="Arial" w:hAnsi="Arial"/>
          <w:sz w:val="18"/>
          <w:szCs w:val="18"/>
          <w:color w:val="auto"/>
        </w:rPr>
      </w:pPr>
    </w:p>
    <w:p>
      <w:pPr>
        <w:ind w:left="800" w:right="120" w:hanging="797"/>
        <w:spacing w:after="0" w:line="277" w:lineRule="auto"/>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Limit system administrator (also known as root, privileged, or super user) access to operating systems intended for use by multiple users only to individuals requiring such high-level access in the performance of their jobs.</w:t>
      </w:r>
    </w:p>
    <w:p>
      <w:pPr>
        <w:spacing w:after="0" w:line="75" w:lineRule="exact"/>
        <w:rPr>
          <w:rFonts w:ascii="Arial" w:cs="Arial" w:eastAsia="Arial" w:hAnsi="Arial"/>
          <w:sz w:val="18"/>
          <w:szCs w:val="18"/>
          <w:color w:val="auto"/>
        </w:rPr>
      </w:pPr>
    </w:p>
    <w:p>
      <w:pPr>
        <w:ind w:left="800" w:right="20" w:hanging="797"/>
        <w:spacing w:after="0" w:line="259" w:lineRule="auto"/>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Enforce the rule of least privilege by requiring application, database, network and system administrators to restrict access by users to only the commands, data and Information Resources necessary for them to perform authorized functions. Supplier shall ensure that the use of AT&amp;T’s Information Resources by Supplier Entities shall only be for the performance of those Services or functions explicitly authorized in the Agreement.</w:t>
      </w:r>
    </w:p>
    <w:p>
      <w:pPr>
        <w:spacing w:after="0" w:line="399"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Physical Security</w:t>
      </w:r>
    </w:p>
    <w:p>
      <w:pPr>
        <w:spacing w:after="0" w:line="256" w:lineRule="exact"/>
        <w:rPr>
          <w:sz w:val="20"/>
          <w:szCs w:val="20"/>
          <w:color w:val="auto"/>
        </w:rPr>
      </w:pPr>
    </w:p>
    <w:p>
      <w:pPr>
        <w:ind w:left="800" w:right="40" w:hanging="797"/>
        <w:spacing w:after="0" w:line="277" w:lineRule="auto"/>
        <w:tabs>
          <w:tab w:leader="none" w:pos="8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Ensure that all of Supplier’s Information Resources intended for use by multiple users are located in secure physical facilities with access limited and restricted to authorized individuals only.</w:t>
      </w:r>
    </w:p>
    <w:p>
      <w:pPr>
        <w:spacing w:after="0" w:line="75" w:lineRule="exact"/>
        <w:rPr>
          <w:rFonts w:ascii="Arial" w:cs="Arial" w:eastAsia="Arial" w:hAnsi="Arial"/>
          <w:sz w:val="18"/>
          <w:szCs w:val="18"/>
          <w:color w:val="auto"/>
        </w:rPr>
      </w:pPr>
    </w:p>
    <w:p>
      <w:pPr>
        <w:ind w:left="800" w:right="280" w:hanging="797"/>
        <w:spacing w:after="0" w:line="277" w:lineRule="auto"/>
        <w:tabs>
          <w:tab w:leader="none" w:pos="8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Monitor and record, for audit purposes, access to the physical facilities containing Information Resources intended for use by multiple users used in connection with Supplier’s performance of its obligations under the Agreement.</w:t>
      </w:r>
    </w:p>
    <w:p>
      <w:pPr>
        <w:spacing w:after="0" w:line="9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740"/>
          </w:cols>
          <w:pgMar w:left="920" w:top="274"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Network Security</w:t>
      </w:r>
    </w:p>
    <w:p>
      <w:pPr>
        <w:spacing w:after="0" w:line="256" w:lineRule="exact"/>
        <w:rPr>
          <w:sz w:val="20"/>
          <w:szCs w:val="20"/>
          <w:color w:val="auto"/>
        </w:rPr>
      </w:pPr>
    </w:p>
    <w:p>
      <w:pPr>
        <w:ind w:left="800" w:right="120" w:hanging="797"/>
        <w:spacing w:after="0" w:line="312" w:lineRule="auto"/>
        <w:tabs>
          <w:tab w:leader="none" w:pos="8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When providing Internet accessible services to AT&amp;T, have Denial of Service (DoS/DDoS) protections in place. In addition, protect In-Scope Information by the implementation of a network DMZ. Web servers providing service to AT&amp;T shall reside in the DMZ. Information Resources storing In-Scope Information (such as application and database servers) shall reside in a trusted internal network.</w:t>
      </w:r>
    </w:p>
    <w:p>
      <w:pPr>
        <w:spacing w:after="0" w:line="52" w:lineRule="exact"/>
        <w:rPr>
          <w:rFonts w:ascii="Arial" w:cs="Arial" w:eastAsia="Arial" w:hAnsi="Arial"/>
          <w:sz w:val="16"/>
          <w:szCs w:val="16"/>
          <w:color w:val="auto"/>
        </w:rPr>
      </w:pPr>
    </w:p>
    <w:p>
      <w:pPr>
        <w:ind w:left="800" w:right="140" w:hanging="797"/>
        <w:spacing w:after="0" w:line="264" w:lineRule="auto"/>
        <w:tabs>
          <w:tab w:leader="none" w:pos="8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requested by AT&amp;T, provide AT&amp;T with a high-level copy of their logical network diagram. The network diagram needs to provide details about placement of information resources and security devices such as (Security Gateways, servers, DMZs, IDS/IPS, DoS/DDoS protections, etc.) within the Supplier’s network that are and/or will be used to support AT&amp;T.</w:t>
      </w:r>
    </w:p>
    <w:p>
      <w:pPr>
        <w:spacing w:after="0" w:line="86" w:lineRule="exact"/>
        <w:rPr>
          <w:rFonts w:ascii="Arial" w:cs="Arial" w:eastAsia="Arial" w:hAnsi="Arial"/>
          <w:sz w:val="18"/>
          <w:szCs w:val="18"/>
          <w:color w:val="auto"/>
        </w:rPr>
      </w:pPr>
    </w:p>
    <w:p>
      <w:pPr>
        <w:ind w:left="800" w:right="360" w:hanging="797"/>
        <w:spacing w:after="0" w:line="264" w:lineRule="auto"/>
        <w:tabs>
          <w:tab w:leader="none" w:pos="8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Use Strong Encryption for the transfer of In-Scope Information outside of AT&amp;T-controlled or Supplier-controlled networks or when transmitting In-Scope Information over any untrusted network. This also applies to In-Scope Information contained in emails or attachments to emails.</w:t>
      </w:r>
    </w:p>
    <w:p>
      <w:pPr>
        <w:spacing w:after="0" w:line="86" w:lineRule="exact"/>
        <w:rPr>
          <w:rFonts w:ascii="Arial" w:cs="Arial" w:eastAsia="Arial" w:hAnsi="Arial"/>
          <w:sz w:val="18"/>
          <w:szCs w:val="18"/>
          <w:color w:val="auto"/>
        </w:rPr>
      </w:pPr>
    </w:p>
    <w:p>
      <w:pPr>
        <w:ind w:left="800" w:hanging="797"/>
        <w:spacing w:after="0"/>
        <w:tabs>
          <w:tab w:leader="none" w:pos="8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Require Strong Authentication for any remote access use of Nonpublic Information Resources.</w:t>
      </w: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Arial" w:cs="Arial" w:eastAsia="Arial" w:hAnsi="Arial"/>
          <w:sz w:val="18"/>
          <w:szCs w:val="18"/>
          <w:b w:val="1"/>
          <w:bCs w:val="1"/>
          <w:u w:val="single" w:color="auto"/>
          <w:color w:val="auto"/>
        </w:rPr>
        <w:t>Information Security</w:t>
      </w:r>
    </w:p>
    <w:p>
      <w:pPr>
        <w:spacing w:after="0" w:line="256" w:lineRule="exact"/>
        <w:rPr>
          <w:sz w:val="20"/>
          <w:szCs w:val="20"/>
          <w:color w:val="auto"/>
        </w:rPr>
      </w:pPr>
    </w:p>
    <w:p>
      <w:pPr>
        <w:ind w:left="800" w:right="160" w:hanging="797"/>
        <w:spacing w:after="0" w:line="264" w:lineRule="auto"/>
        <w:tabs>
          <w:tab w:leader="none" w:pos="8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Isolate AT&amp;T’s applications and In-Scope Information from any other customer’s or Supplier’s own applications and information either by (i) using physically separate servers or (ii) alternatively by using logical access controls where physical separation of servers is not implemented.</w:t>
      </w:r>
    </w:p>
    <w:p>
      <w:pPr>
        <w:spacing w:after="0" w:line="86" w:lineRule="exact"/>
        <w:rPr>
          <w:rFonts w:ascii="Arial" w:cs="Arial" w:eastAsia="Arial" w:hAnsi="Arial"/>
          <w:sz w:val="18"/>
          <w:szCs w:val="18"/>
          <w:color w:val="auto"/>
        </w:rPr>
      </w:pPr>
    </w:p>
    <w:p>
      <w:pPr>
        <w:ind w:left="800" w:right="200" w:hanging="797"/>
        <w:spacing w:after="0" w:line="277" w:lineRule="auto"/>
        <w:tabs>
          <w:tab w:leader="none" w:pos="8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Have procedures for the backup, recovery and eventual destruction of In-Scope Information. Such procedures shall be documented and secure, and further, be available to AT&amp;T upon request.</w:t>
      </w:r>
    </w:p>
    <w:p>
      <w:pPr>
        <w:spacing w:after="0" w:line="75" w:lineRule="exact"/>
        <w:rPr>
          <w:rFonts w:ascii="Arial" w:cs="Arial" w:eastAsia="Arial" w:hAnsi="Arial"/>
          <w:sz w:val="18"/>
          <w:szCs w:val="18"/>
          <w:color w:val="auto"/>
        </w:rPr>
      </w:pPr>
    </w:p>
    <w:p>
      <w:pPr>
        <w:ind w:left="800" w:right="120" w:hanging="797"/>
        <w:spacing w:after="0" w:line="342" w:lineRule="auto"/>
        <w:tabs>
          <w:tab w:leader="none" w:pos="8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Limit access to In-Scope Information only to authorized persons or systems. Supplier shall ensure that the use of AT&amp;T’s In-Scope Information by Supplier Entities shall only be for the performance of those Services or functions explicitly authorized in the Agreement.</w:t>
      </w:r>
    </w:p>
    <w:p>
      <w:pPr>
        <w:spacing w:after="0" w:line="29" w:lineRule="exact"/>
        <w:rPr>
          <w:rFonts w:ascii="Arial" w:cs="Arial" w:eastAsia="Arial" w:hAnsi="Arial"/>
          <w:sz w:val="16"/>
          <w:szCs w:val="16"/>
          <w:color w:val="auto"/>
        </w:rPr>
      </w:pPr>
    </w:p>
    <w:p>
      <w:pPr>
        <w:ind w:left="800" w:right="260" w:hanging="797"/>
        <w:spacing w:after="0" w:line="277" w:lineRule="auto"/>
        <w:tabs>
          <w:tab w:leader="none" w:pos="8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Have documented processes and controls in place to detect and terminate unauthorized attempts to access, collect, store, handle and/or dispose of In-Scope Information.</w:t>
      </w:r>
    </w:p>
    <w:p>
      <w:pPr>
        <w:spacing w:after="0" w:line="383" w:lineRule="exact"/>
        <w:rPr>
          <w:sz w:val="20"/>
          <w:szCs w:val="20"/>
          <w:color w:val="auto"/>
        </w:rPr>
      </w:pPr>
    </w:p>
    <w:p>
      <w:pPr>
        <w:ind w:left="3740"/>
        <w:spacing w:after="0"/>
        <w:rPr>
          <w:sz w:val="20"/>
          <w:szCs w:val="20"/>
          <w:color w:val="auto"/>
        </w:rPr>
      </w:pPr>
      <w:r>
        <w:rPr>
          <w:rFonts w:ascii="Arial" w:cs="Arial" w:eastAsia="Arial" w:hAnsi="Arial"/>
          <w:sz w:val="18"/>
          <w:szCs w:val="18"/>
          <w:b w:val="1"/>
          <w:bCs w:val="1"/>
          <w:u w:val="single" w:color="auto"/>
          <w:color w:val="auto"/>
        </w:rPr>
        <w:t>Identification and Authentication</w:t>
      </w:r>
    </w:p>
    <w:p>
      <w:pPr>
        <w:spacing w:after="0" w:line="256" w:lineRule="exact"/>
        <w:rPr>
          <w:sz w:val="20"/>
          <w:szCs w:val="20"/>
          <w:color w:val="auto"/>
        </w:rPr>
      </w:pPr>
    </w:p>
    <w:p>
      <w:pPr>
        <w:ind w:left="800" w:hanging="797"/>
        <w:spacing w:after="0"/>
        <w:tabs>
          <w:tab w:leader="none" w:pos="8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Assign unique UserIDs to individual users.</w:t>
      </w:r>
    </w:p>
    <w:p>
      <w:pPr>
        <w:spacing w:after="0" w:line="130" w:lineRule="exact"/>
        <w:rPr>
          <w:rFonts w:ascii="Arial" w:cs="Arial" w:eastAsia="Arial" w:hAnsi="Arial"/>
          <w:sz w:val="18"/>
          <w:szCs w:val="18"/>
          <w:color w:val="auto"/>
        </w:rPr>
      </w:pPr>
    </w:p>
    <w:p>
      <w:pPr>
        <w:ind w:left="800" w:right="380" w:hanging="797"/>
        <w:spacing w:after="0" w:line="286" w:lineRule="auto"/>
        <w:tabs>
          <w:tab w:leader="none" w:pos="8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Have and use a documented UserID lifecycle management process that includes manual and/or automated processes for approved account creation, timely account removal, and account modification for all Information Resources and across all environments. Such process shall include review of access privileges and account validity to be performed [***].</w:t>
      </w:r>
    </w:p>
    <w:p>
      <w:pPr>
        <w:spacing w:after="0" w:line="70" w:lineRule="exact"/>
        <w:rPr>
          <w:rFonts w:ascii="Arial" w:cs="Arial" w:eastAsia="Arial" w:hAnsi="Arial"/>
          <w:sz w:val="17"/>
          <w:szCs w:val="17"/>
          <w:color w:val="auto"/>
        </w:rPr>
      </w:pPr>
    </w:p>
    <w:p>
      <w:pPr>
        <w:ind w:left="800" w:right="240" w:hanging="797"/>
        <w:spacing w:after="0" w:line="286" w:lineRule="auto"/>
        <w:tabs>
          <w:tab w:leader="none" w:pos="8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Limit failed login attempts to no more than [***] successive attempts and lock the user account upon reaching that limit. Access to the user account can be reactivated subsequently through a manual process requiring verification of the user’s identity or, where such capability exists, can be automatically reactivated after at least [***] from the last failed login attempt.</w:t>
      </w:r>
    </w:p>
    <w:p>
      <w:pPr>
        <w:spacing w:after="0" w:line="70" w:lineRule="exact"/>
        <w:rPr>
          <w:rFonts w:ascii="Arial" w:cs="Arial" w:eastAsia="Arial" w:hAnsi="Arial"/>
          <w:sz w:val="17"/>
          <w:szCs w:val="17"/>
          <w:color w:val="auto"/>
        </w:rPr>
      </w:pPr>
    </w:p>
    <w:p>
      <w:pPr>
        <w:ind w:left="800" w:right="40" w:hanging="797"/>
        <w:spacing w:after="0" w:line="277" w:lineRule="auto"/>
        <w:tabs>
          <w:tab w:leader="none" w:pos="8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Terminate interactive sessions, or activate a secure, locking screensaver requiring authentication, after a period of inactivity not to exceed [***].</w:t>
      </w:r>
    </w:p>
    <w:p>
      <w:pPr>
        <w:spacing w:after="0" w:line="9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740"/>
          </w:cols>
          <w:pgMar w:left="920" w:top="274"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hanging="797"/>
        <w:spacing w:after="0"/>
        <w:tabs>
          <w:tab w:leader="none" w:pos="8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Use an authentication method based on the sensitivity of In-Scope Information.</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Whenever authentication credentials are stored, Supplier shall protect them using Strong Encryption.</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When passwords are used, they shall be complex and shall at least meet the following password construction requirements:</w:t>
      </w:r>
    </w:p>
    <w:p>
      <w:pPr>
        <w:spacing w:after="0" w:line="153" w:lineRule="exact"/>
        <w:rPr>
          <w:rFonts w:ascii="Arial" w:cs="Arial" w:eastAsia="Arial" w:hAnsi="Arial"/>
          <w:sz w:val="16"/>
          <w:szCs w:val="16"/>
          <w:color w:val="auto"/>
        </w:rPr>
      </w:pPr>
    </w:p>
    <w:p>
      <w:pPr>
        <w:ind w:left="2280" w:hanging="791"/>
        <w:spacing w:after="0"/>
        <w:tabs>
          <w:tab w:leader="none" w:pos="228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Be a minimum of eight (8) characters in length.</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2"/>
          <w:numId w:val="258"/>
        </w:numPr>
        <w:rPr>
          <w:rFonts w:ascii="Arial" w:cs="Arial" w:eastAsia="Arial" w:hAnsi="Arial"/>
          <w:sz w:val="16"/>
          <w:szCs w:val="16"/>
          <w:color w:val="auto"/>
        </w:rPr>
      </w:pPr>
      <w:r>
        <w:rPr>
          <w:rFonts w:ascii="Arial" w:cs="Arial" w:eastAsia="Arial" w:hAnsi="Arial"/>
          <w:sz w:val="16"/>
          <w:szCs w:val="16"/>
          <w:color w:val="auto"/>
        </w:rPr>
        <w:t>Include 3 of the 4 following types of characters: upper-case alphabetic, lower-case alphabetic, numeric, and special.</w:t>
      </w:r>
    </w:p>
    <w:p>
      <w:pPr>
        <w:spacing w:after="0" w:line="153" w:lineRule="exact"/>
        <w:rPr>
          <w:rFonts w:ascii="Arial" w:cs="Arial" w:eastAsia="Arial" w:hAnsi="Arial"/>
          <w:sz w:val="16"/>
          <w:szCs w:val="16"/>
          <w:color w:val="auto"/>
        </w:rPr>
      </w:pPr>
    </w:p>
    <w:p>
      <w:pPr>
        <w:ind w:left="2280" w:hanging="791"/>
        <w:spacing w:after="0"/>
        <w:tabs>
          <w:tab w:leader="none" w:pos="228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Not be the same as the UserID with which they are associated.</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Not contain repeating or sequential characters or numbers.</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Require password expiration at regular intervals not to exceed [***] calendar days.</w:t>
      </w:r>
    </w:p>
    <w:p>
      <w:pPr>
        <w:spacing w:after="0" w:line="130" w:lineRule="exact"/>
        <w:rPr>
          <w:rFonts w:ascii="Arial" w:cs="Arial" w:eastAsia="Arial" w:hAnsi="Arial"/>
          <w:sz w:val="18"/>
          <w:szCs w:val="18"/>
          <w:color w:val="auto"/>
        </w:rPr>
      </w:pPr>
    </w:p>
    <w:p>
      <w:pPr>
        <w:ind w:left="800" w:right="460" w:hanging="797"/>
        <w:spacing w:after="0" w:line="277" w:lineRule="auto"/>
        <w:tabs>
          <w:tab w:leader="none" w:pos="8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When providing users with a new or reset UserID, password or other authentication credentials, use a secure method to provide this information.</w:t>
      </w:r>
    </w:p>
    <w:p>
      <w:pPr>
        <w:spacing w:after="0" w:line="315" w:lineRule="exact"/>
        <w:rPr>
          <w:sz w:val="20"/>
          <w:szCs w:val="20"/>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Warning Notice</w:t>
      </w:r>
    </w:p>
    <w:p>
      <w:pPr>
        <w:spacing w:after="0" w:line="229" w:lineRule="exact"/>
        <w:rPr>
          <w:sz w:val="20"/>
          <w:szCs w:val="20"/>
          <w:color w:val="auto"/>
        </w:rPr>
      </w:pPr>
    </w:p>
    <w:p>
      <w:pPr>
        <w:ind w:left="800" w:right="120" w:hanging="797"/>
        <w:spacing w:after="0" w:line="277" w:lineRule="auto"/>
        <w:tabs>
          <w:tab w:leader="none" w:pos="8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For Nonpublic Information Resource(s) that are AT&amp;T-branded display a warning notice, or alternatively provide a link to such warning notice, on login screens/pages that covers the following:</w:t>
      </w:r>
    </w:p>
    <w:p>
      <w:pPr>
        <w:spacing w:after="0" w:line="35" w:lineRule="exact"/>
        <w:rPr>
          <w:rFonts w:ascii="Arial" w:cs="Arial" w:eastAsia="Arial" w:hAnsi="Arial"/>
          <w:sz w:val="18"/>
          <w:szCs w:val="18"/>
          <w:color w:val="auto"/>
        </w:rPr>
      </w:pPr>
    </w:p>
    <w:p>
      <w:pPr>
        <w:ind w:left="2280" w:hanging="791"/>
        <w:spacing w:after="0"/>
        <w:tabs>
          <w:tab w:leader="none" w:pos="22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service is restricted to authorized users;</w:t>
      </w:r>
    </w:p>
    <w:p>
      <w:pPr>
        <w:spacing w:after="0" w:line="90" w:lineRule="exact"/>
        <w:rPr>
          <w:rFonts w:ascii="Arial" w:cs="Arial" w:eastAsia="Arial" w:hAnsi="Arial"/>
          <w:sz w:val="18"/>
          <w:szCs w:val="18"/>
          <w:color w:val="auto"/>
        </w:rPr>
      </w:pPr>
    </w:p>
    <w:p>
      <w:pPr>
        <w:ind w:left="2280" w:hanging="791"/>
        <w:spacing w:after="0"/>
        <w:tabs>
          <w:tab w:leader="none" w:pos="22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Unauthorized access is a violation of the law;</w:t>
      </w:r>
    </w:p>
    <w:p>
      <w:pPr>
        <w:spacing w:after="0" w:line="90" w:lineRule="exact"/>
        <w:rPr>
          <w:rFonts w:ascii="Arial" w:cs="Arial" w:eastAsia="Arial" w:hAnsi="Arial"/>
          <w:sz w:val="18"/>
          <w:szCs w:val="18"/>
          <w:color w:val="auto"/>
        </w:rPr>
      </w:pPr>
    </w:p>
    <w:p>
      <w:pPr>
        <w:ind w:left="2280" w:hanging="791"/>
        <w:spacing w:after="0"/>
        <w:tabs>
          <w:tab w:leader="none" w:pos="22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This service may be monitored for administrative and security reasons; and</w:t>
      </w:r>
    </w:p>
    <w:p>
      <w:pPr>
        <w:spacing w:after="0" w:line="90" w:lineRule="exact"/>
        <w:rPr>
          <w:rFonts w:ascii="Arial" w:cs="Arial" w:eastAsia="Arial" w:hAnsi="Arial"/>
          <w:sz w:val="18"/>
          <w:szCs w:val="18"/>
          <w:color w:val="auto"/>
        </w:rPr>
      </w:pPr>
    </w:p>
    <w:p>
      <w:pPr>
        <w:ind w:left="2280" w:hanging="791"/>
        <w:spacing w:after="0"/>
        <w:tabs>
          <w:tab w:leader="none" w:pos="22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By proceeding the user consents to this monitoring.</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AT&amp;T may specify in writing alternative warning notice content that Supplier shall use in place of the information listed above.</w:t>
      </w:r>
    </w:p>
    <w:p>
      <w:pPr>
        <w:spacing w:after="0" w:line="370"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Software and Data Integrity</w:t>
      </w:r>
    </w:p>
    <w:p>
      <w:pPr>
        <w:spacing w:after="0" w:line="229" w:lineRule="exact"/>
        <w:rPr>
          <w:sz w:val="20"/>
          <w:szCs w:val="20"/>
          <w:color w:val="auto"/>
        </w:rPr>
      </w:pPr>
    </w:p>
    <w:p>
      <w:pPr>
        <w:ind w:left="800" w:right="640" w:hanging="797"/>
        <w:spacing w:after="0" w:line="277" w:lineRule="auto"/>
        <w:tabs>
          <w:tab w:leader="none" w:pos="8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environments where antivirus software is commercially available and to the extent practicable, have current antivirus software installed and running to scan for and promptly remove or quarantine viruses and other malware.</w:t>
      </w:r>
    </w:p>
    <w:p>
      <w:pPr>
        <w:spacing w:after="0" w:line="35" w:lineRule="exact"/>
        <w:rPr>
          <w:rFonts w:ascii="Arial" w:cs="Arial" w:eastAsia="Arial" w:hAnsi="Arial"/>
          <w:sz w:val="18"/>
          <w:szCs w:val="18"/>
          <w:color w:val="auto"/>
        </w:rPr>
      </w:pPr>
    </w:p>
    <w:p>
      <w:pPr>
        <w:ind w:left="800" w:right="660" w:hanging="797"/>
        <w:spacing w:after="0" w:line="277" w:lineRule="auto"/>
        <w:tabs>
          <w:tab w:leader="none" w:pos="8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Separate non-production Information Resources and In-Scope Information from production Information Resources and In-Scope Information.</w:t>
      </w:r>
    </w:p>
    <w:p>
      <w:pPr>
        <w:spacing w:after="0" w:line="35" w:lineRule="exact"/>
        <w:rPr>
          <w:rFonts w:ascii="Arial" w:cs="Arial" w:eastAsia="Arial" w:hAnsi="Arial"/>
          <w:sz w:val="18"/>
          <w:szCs w:val="18"/>
          <w:color w:val="auto"/>
        </w:rPr>
      </w:pPr>
    </w:p>
    <w:p>
      <w:pPr>
        <w:ind w:left="800" w:hanging="797"/>
        <w:spacing w:after="0"/>
        <w:tabs>
          <w:tab w:leader="none" w:pos="8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Have a documented change control process including back-out procedures for all production environments.</w:t>
      </w:r>
    </w:p>
    <w:p>
      <w:pPr>
        <w:spacing w:after="0" w:line="90" w:lineRule="exact"/>
        <w:rPr>
          <w:rFonts w:ascii="Arial" w:cs="Arial" w:eastAsia="Arial" w:hAnsi="Arial"/>
          <w:sz w:val="18"/>
          <w:szCs w:val="18"/>
          <w:color w:val="auto"/>
        </w:rPr>
      </w:pPr>
    </w:p>
    <w:p>
      <w:pPr>
        <w:jc w:val="both"/>
        <w:ind w:left="800" w:right="160" w:hanging="797"/>
        <w:spacing w:after="0" w:line="302" w:lineRule="auto"/>
        <w:tabs>
          <w:tab w:leader="none" w:pos="8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For applications which utilize a database that allows modifications to In-Scope Information: (a) for applications that support transaction logging have database transaction logging features enabled, (b) for applications that do not support transaction logging have some other mechanism that logs all modifications to In-Scope Information stored within the database including timestamp, UserId and information modified. Such logs shall be retained and available to AT&amp;T for a [***] months either on-line or on backup media.</w:t>
      </w:r>
    </w:p>
    <w:p>
      <w:pPr>
        <w:spacing w:after="0" w:line="19" w:lineRule="exact"/>
        <w:rPr>
          <w:rFonts w:ascii="Arial" w:cs="Arial" w:eastAsia="Arial" w:hAnsi="Arial"/>
          <w:sz w:val="16"/>
          <w:szCs w:val="16"/>
          <w:color w:val="auto"/>
        </w:rPr>
      </w:pPr>
    </w:p>
    <w:p>
      <w:pPr>
        <w:ind w:left="800" w:right="240" w:hanging="797"/>
        <w:spacing w:after="0" w:line="259" w:lineRule="auto"/>
        <w:tabs>
          <w:tab w:leader="none" w:pos="8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(a)For all software developed under the Agreement that has been customized for AT&amp;T, review such software to find and remediate security vulnerabilities prior to initial deployment and upon any modifications and updates. This review and remediation process must include source code vulnerability scanning where such tools are commercially available, but can otherwise include any combination of automated and/or manual processes and procedures.</w:t>
      </w:r>
    </w:p>
    <w:p>
      <w:pPr>
        <w:spacing w:after="0" w:line="11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740"/>
          </w:cols>
          <w:pgMar w:left="920" w:top="274" w:right="239" w:bottom="1440" w:gutter="0" w:footer="0" w:header="0"/>
        </w:sectPr>
      </w:pPr>
    </w:p>
    <w:bookmarkStart w:id="232" w:name="page233"/>
    <w:bookmarkEnd w:id="232"/>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800" w:right="200"/>
        <w:spacing w:after="0" w:line="312" w:lineRule="auto"/>
        <w:rPr>
          <w:sz w:val="20"/>
          <w:szCs w:val="20"/>
          <w:color w:val="auto"/>
        </w:rPr>
      </w:pPr>
      <w:r>
        <w:rPr>
          <w:rFonts w:ascii="Arial" w:cs="Arial" w:eastAsia="Arial" w:hAnsi="Arial"/>
          <w:sz w:val="16"/>
          <w:szCs w:val="16"/>
          <w:color w:val="auto"/>
        </w:rPr>
        <w:t>Scan results and remediation plans must be made available to AT&amp;T upon request. (b)Where technically feasible, for all software used, furnished and/or supported under the Agreement, review such software to find and remediate security vulnerabilities prior to initial deployment and upon any modifications and updates based on potential risk that a given vulnerability is or can be exploited.</w:t>
      </w:r>
    </w:p>
    <w:p>
      <w:pPr>
        <w:spacing w:after="0" w:line="52" w:lineRule="exact"/>
        <w:rPr>
          <w:sz w:val="20"/>
          <w:szCs w:val="20"/>
          <w:color w:val="auto"/>
        </w:rPr>
      </w:pPr>
    </w:p>
    <w:p>
      <w:pPr>
        <w:jc w:val="both"/>
        <w:ind w:left="800" w:right="120" w:hanging="797"/>
        <w:spacing w:after="0" w:line="264" w:lineRule="auto"/>
        <w:tabs>
          <w:tab w:leader="none" w:pos="8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Perform quality assurance testing for the security components (e.g., testing of identification, authentication and authorization functions), as well as any other activity designed to validate the security architecture, during initial implementation and upon any modifications and updates.</w:t>
      </w:r>
    </w:p>
    <w:p>
      <w:pPr>
        <w:spacing w:after="0" w:line="393"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Monitoring and Auditing Controls</w:t>
      </w:r>
    </w:p>
    <w:p>
      <w:pPr>
        <w:spacing w:after="0" w:line="256" w:lineRule="exact"/>
        <w:rPr>
          <w:sz w:val="20"/>
          <w:szCs w:val="20"/>
          <w:color w:val="auto"/>
        </w:rPr>
      </w:pPr>
    </w:p>
    <w:p>
      <w:pPr>
        <w:ind w:left="800" w:hanging="797"/>
        <w:spacing w:after="0"/>
        <w:tabs>
          <w:tab w:leader="none" w:pos="8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Restrict access to security logs to authorized individuals, and protect security logs from unauthorized modification.</w:t>
      </w:r>
    </w:p>
    <w:p>
      <w:pPr>
        <w:spacing w:after="0" w:line="130" w:lineRule="exact"/>
        <w:rPr>
          <w:rFonts w:ascii="Arial" w:cs="Arial" w:eastAsia="Arial" w:hAnsi="Arial"/>
          <w:sz w:val="18"/>
          <w:szCs w:val="18"/>
          <w:color w:val="auto"/>
        </w:rPr>
      </w:pPr>
    </w:p>
    <w:p>
      <w:pPr>
        <w:ind w:left="800" w:right="320" w:hanging="797"/>
        <w:spacing w:after="0" w:line="277" w:lineRule="auto"/>
        <w:tabs>
          <w:tab w:leader="none" w:pos="8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Review, on [***], all anomalies from security and security-related audit logs and document and resolve logged security problems in a timely manner.</w:t>
      </w:r>
    </w:p>
    <w:p>
      <w:pPr>
        <w:spacing w:after="0" w:line="75" w:lineRule="exact"/>
        <w:rPr>
          <w:rFonts w:ascii="Arial" w:cs="Arial" w:eastAsia="Arial" w:hAnsi="Arial"/>
          <w:sz w:val="18"/>
          <w:szCs w:val="18"/>
          <w:color w:val="auto"/>
        </w:rPr>
      </w:pPr>
    </w:p>
    <w:p>
      <w:pPr>
        <w:ind w:left="1480" w:right="140" w:hanging="680"/>
        <w:spacing w:after="0" w:line="264" w:lineRule="auto"/>
        <w:tabs>
          <w:tab w:leader="none" w:pos="14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Such reviews may initially be performed by automated processes that promptly issue alarms and/or alerts when such processes detect significant anomalies so that the issuance of such alarms and/or alerts causes prompt investigation and review by responsible individuals; and</w:t>
      </w:r>
    </w:p>
    <w:p>
      <w:pPr>
        <w:spacing w:after="0" w:line="86" w:lineRule="exact"/>
        <w:rPr>
          <w:rFonts w:ascii="Arial" w:cs="Arial" w:eastAsia="Arial" w:hAnsi="Arial"/>
          <w:sz w:val="18"/>
          <w:szCs w:val="18"/>
          <w:color w:val="auto"/>
        </w:rPr>
      </w:pPr>
    </w:p>
    <w:p>
      <w:pPr>
        <w:ind w:left="1480" w:hanging="680"/>
        <w:spacing w:after="0"/>
        <w:tabs>
          <w:tab w:leader="none" w:pos="148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If automated processes successfully resolve a logged security problem, no further action by responsible individuals is required.</w:t>
      </w:r>
    </w:p>
    <w:p>
      <w:pPr>
        <w:spacing w:after="0" w:line="200" w:lineRule="exact"/>
        <w:rPr>
          <w:sz w:val="20"/>
          <w:szCs w:val="20"/>
          <w:color w:val="auto"/>
        </w:rPr>
      </w:pPr>
    </w:p>
    <w:p>
      <w:pPr>
        <w:spacing w:after="0" w:line="260" w:lineRule="exact"/>
        <w:rPr>
          <w:sz w:val="20"/>
          <w:szCs w:val="20"/>
          <w:color w:val="auto"/>
        </w:rPr>
      </w:pPr>
    </w:p>
    <w:p>
      <w:pPr>
        <w:ind w:left="4240"/>
        <w:spacing w:after="0"/>
        <w:rPr>
          <w:sz w:val="20"/>
          <w:szCs w:val="20"/>
          <w:color w:val="auto"/>
        </w:rPr>
      </w:pPr>
      <w:r>
        <w:rPr>
          <w:rFonts w:ascii="Arial" w:cs="Arial" w:eastAsia="Arial" w:hAnsi="Arial"/>
          <w:sz w:val="18"/>
          <w:szCs w:val="18"/>
          <w:b w:val="1"/>
          <w:bCs w:val="1"/>
          <w:u w:val="single" w:color="auto"/>
          <w:color w:val="auto"/>
        </w:rPr>
        <w:t>Reporting Violations</w:t>
      </w:r>
    </w:p>
    <w:p>
      <w:pPr>
        <w:spacing w:after="0" w:line="256" w:lineRule="exact"/>
        <w:rPr>
          <w:sz w:val="20"/>
          <w:szCs w:val="20"/>
          <w:color w:val="auto"/>
        </w:rPr>
      </w:pPr>
    </w:p>
    <w:p>
      <w:pPr>
        <w:ind w:left="800" w:right="20" w:hanging="797"/>
        <w:spacing w:after="0" w:line="277" w:lineRule="auto"/>
        <w:tabs>
          <w:tab w:leader="none" w:pos="8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Have and use a documented procedure to be followed in the event of a suspected attack upon, intrusion upon, unauthorized access to, loss of, or other security breach involving In-Scope Information in which Supplier shall:</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Promptly investigate and make a determination if such an attack has occurred; and</w:t>
      </w:r>
    </w:p>
    <w:p>
      <w:pPr>
        <w:spacing w:after="0" w:line="130" w:lineRule="exact"/>
        <w:rPr>
          <w:rFonts w:ascii="Arial" w:cs="Arial" w:eastAsia="Arial" w:hAnsi="Arial"/>
          <w:sz w:val="18"/>
          <w:szCs w:val="18"/>
          <w:color w:val="auto"/>
        </w:rPr>
      </w:pPr>
    </w:p>
    <w:p>
      <w:pPr>
        <w:ind w:left="1480" w:right="260" w:hanging="680"/>
        <w:spacing w:after="0" w:line="277" w:lineRule="auto"/>
        <w:tabs>
          <w:tab w:leader="none" w:pos="14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In the event that a successful attack has occurred involving In-Scope Information or it is impossible to determine whether the attack was successful then Supplier shall promptly notify AT&amp;T by contacting:</w:t>
      </w:r>
    </w:p>
    <w:p>
      <w:pPr>
        <w:spacing w:after="0" w:line="75" w:lineRule="exact"/>
        <w:rPr>
          <w:rFonts w:ascii="Arial" w:cs="Arial" w:eastAsia="Arial" w:hAnsi="Arial"/>
          <w:sz w:val="18"/>
          <w:szCs w:val="18"/>
          <w:color w:val="auto"/>
        </w:rPr>
      </w:pPr>
    </w:p>
    <w:p>
      <w:pPr>
        <w:ind w:left="2280" w:hanging="791"/>
        <w:spacing w:after="0"/>
        <w:tabs>
          <w:tab w:leader="none" w:pos="2280" w:val="left"/>
        </w:tabs>
        <w:numPr>
          <w:ilvl w:val="2"/>
          <w:numId w:val="263"/>
        </w:numPr>
        <w:rPr>
          <w:rFonts w:ascii="Arial" w:cs="Arial" w:eastAsia="Arial" w:hAnsi="Arial"/>
          <w:sz w:val="17"/>
          <w:szCs w:val="17"/>
          <w:color w:val="auto"/>
        </w:rPr>
      </w:pPr>
      <w:r>
        <w:rPr>
          <w:rFonts w:ascii="Arial" w:cs="Arial" w:eastAsia="Arial" w:hAnsi="Arial"/>
          <w:sz w:val="17"/>
          <w:szCs w:val="17"/>
          <w:color w:val="auto"/>
        </w:rPr>
        <w:t>Asset Protection by telephone at 800-807-4205 from within the US and at 1-908-658-0380 from elsewhere, and</w:t>
      </w:r>
    </w:p>
    <w:p>
      <w:pPr>
        <w:spacing w:after="0" w:line="142" w:lineRule="exact"/>
        <w:rPr>
          <w:rFonts w:ascii="Arial" w:cs="Arial" w:eastAsia="Arial" w:hAnsi="Arial"/>
          <w:sz w:val="17"/>
          <w:szCs w:val="17"/>
          <w:color w:val="auto"/>
        </w:rPr>
      </w:pPr>
    </w:p>
    <w:p>
      <w:pPr>
        <w:ind w:left="2280" w:hanging="791"/>
        <w:spacing w:after="0"/>
        <w:tabs>
          <w:tab w:leader="none" w:pos="228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Supplier’s contact within AT&amp;T for Service-related issues.</w:t>
      </w:r>
    </w:p>
    <w:p>
      <w:pPr>
        <w:spacing w:after="0" w:line="130" w:lineRule="exact"/>
        <w:rPr>
          <w:rFonts w:ascii="Arial" w:cs="Arial" w:eastAsia="Arial" w:hAnsi="Arial"/>
          <w:sz w:val="18"/>
          <w:szCs w:val="18"/>
          <w:color w:val="auto"/>
        </w:rPr>
      </w:pPr>
    </w:p>
    <w:p>
      <w:pPr>
        <w:ind w:left="800" w:right="160" w:hanging="797"/>
        <w:spacing w:after="0" w:line="257" w:lineRule="auto"/>
        <w:tabs>
          <w:tab w:leader="none" w:pos="8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After notifying AT&amp;T whenever there is a successful attack upon, intrusion upon, unauthorized access to, loss of, or other breach of In-Scope Information, provide AT&amp;T with regular status updates, including, but not limited to, actions taken to resolve such incident, at mutually agreed intervals or times for the duration of the incident and, within [***] days of the closure of the incident, provide AT&amp;T with a written report describing the incident, actions taken by the Supplier during its response and Supplier’s plans for future actions to prevent a similar incident from occurring.</w:t>
      </w:r>
    </w:p>
    <w:p>
      <w:pPr>
        <w:spacing w:after="0" w:line="40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Mobile and Portable Devices</w:t>
      </w:r>
    </w:p>
    <w:p>
      <w:pPr>
        <w:spacing w:after="0" w:line="256" w:lineRule="exact"/>
        <w:rPr>
          <w:sz w:val="20"/>
          <w:szCs w:val="20"/>
          <w:color w:val="auto"/>
        </w:rPr>
      </w:pPr>
    </w:p>
    <w:p>
      <w:pPr>
        <w:ind w:left="800" w:hanging="797"/>
        <w:spacing w:after="0"/>
        <w:tabs>
          <w:tab w:leader="none" w:pos="8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Use Strong Encryption to protect all of In-Scope Information stored on Mobile and Portable Devices.</w:t>
      </w:r>
    </w:p>
    <w:p>
      <w:pPr>
        <w:spacing w:after="0" w:line="154"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740"/>
          </w:cols>
          <w:pgMar w:left="920" w:top="274"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480" w:hanging="797"/>
        <w:spacing w:after="0" w:line="277" w:lineRule="auto"/>
        <w:tabs>
          <w:tab w:leader="none" w:pos="8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Use Strong Encryption to protect all of In-Scope Information transmitted using or remotely accessed by network-aware Mobile and Portable Devices.</w:t>
      </w:r>
    </w:p>
    <w:p>
      <w:pPr>
        <w:spacing w:after="0" w:line="75" w:lineRule="exact"/>
        <w:rPr>
          <w:rFonts w:ascii="Arial" w:cs="Arial" w:eastAsia="Arial" w:hAnsi="Arial"/>
          <w:sz w:val="18"/>
          <w:szCs w:val="18"/>
          <w:color w:val="auto"/>
        </w:rPr>
      </w:pPr>
    </w:p>
    <w:p>
      <w:pPr>
        <w:ind w:left="800" w:right="180" w:hanging="797"/>
        <w:spacing w:after="0" w:line="277" w:lineRule="auto"/>
        <w:tabs>
          <w:tab w:leader="none" w:pos="8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Have documented policies, procedures and standards in place which ensure that any Mobile and Portable Devices used to access and/or store In-Scope Information:</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Are in the physical possession of authorized individuals;</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Are physically secured when not in the physical possession of authorized individuals; or</w:t>
      </w:r>
    </w:p>
    <w:p>
      <w:pPr>
        <w:spacing w:after="0" w:line="130" w:lineRule="exact"/>
        <w:rPr>
          <w:rFonts w:ascii="Arial" w:cs="Arial" w:eastAsia="Arial" w:hAnsi="Arial"/>
          <w:sz w:val="18"/>
          <w:szCs w:val="18"/>
          <w:color w:val="auto"/>
        </w:rPr>
      </w:pPr>
    </w:p>
    <w:p>
      <w:pPr>
        <w:ind w:left="1480" w:right="60" w:hanging="680"/>
        <w:spacing w:after="0" w:line="277" w:lineRule="auto"/>
        <w:tabs>
          <w:tab w:leader="none" w:pos="14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Have any In-Scope Information stored on such devices promptly and securely deleted when such devices are not in the physical possession of authorized individuals nor otherwise physically secured.</w:t>
      </w:r>
    </w:p>
    <w:p>
      <w:pPr>
        <w:spacing w:after="0" w:line="75" w:lineRule="exact"/>
        <w:rPr>
          <w:rFonts w:ascii="Arial" w:cs="Arial" w:eastAsia="Arial" w:hAnsi="Arial"/>
          <w:sz w:val="18"/>
          <w:szCs w:val="18"/>
          <w:color w:val="auto"/>
        </w:rPr>
      </w:pPr>
    </w:p>
    <w:p>
      <w:pPr>
        <w:ind w:left="800" w:right="260" w:hanging="797"/>
        <w:spacing w:after="0" w:line="277" w:lineRule="auto"/>
        <w:tabs>
          <w:tab w:leader="none" w:pos="8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Prior to allowing access to In-Scope Information stored on or through the use of Mobile and Portable Devices, Supplier shall have and use a documented process to ensure that:</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user is authorized for such access; and</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identity of the user has been authenticated.</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Implement a documented policy that prohibits:</w:t>
      </w:r>
    </w:p>
    <w:p>
      <w:pPr>
        <w:spacing w:after="0" w:line="130" w:lineRule="exact"/>
        <w:rPr>
          <w:rFonts w:ascii="Arial" w:cs="Arial" w:eastAsia="Arial" w:hAnsi="Arial"/>
          <w:sz w:val="18"/>
          <w:szCs w:val="18"/>
          <w:color w:val="auto"/>
        </w:rPr>
      </w:pPr>
    </w:p>
    <w:p>
      <w:pPr>
        <w:ind w:left="1480" w:right="280" w:hanging="680"/>
        <w:spacing w:after="0" w:line="277" w:lineRule="auto"/>
        <w:tabs>
          <w:tab w:leader="none" w:pos="14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use of any Supplier-issued Mobile and Portable Devices to access and/or store In-Scope Information unless the device is administered and/or managed by Supplier, and</w:t>
      </w:r>
    </w:p>
    <w:p>
      <w:pPr>
        <w:spacing w:after="0" w:line="75" w:lineRule="exact"/>
        <w:rPr>
          <w:rFonts w:ascii="Arial" w:cs="Arial" w:eastAsia="Arial" w:hAnsi="Arial"/>
          <w:sz w:val="18"/>
          <w:szCs w:val="18"/>
          <w:color w:val="auto"/>
        </w:rPr>
      </w:pPr>
    </w:p>
    <w:p>
      <w:pPr>
        <w:jc w:val="both"/>
        <w:ind w:left="1480" w:right="60" w:hanging="680"/>
        <w:spacing w:after="0" w:line="264" w:lineRule="auto"/>
        <w:tabs>
          <w:tab w:leader="none" w:pos="14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use of any non-Supplier issued Mobile and Portable Devices to access and/or store In-Scope Information, as in cases where Supplier has a “Bring Your Own Devices” (BYOD) program, unless adequately segregated and protected such as by a Supplier administered and/or managed secure container-based solution.</w:t>
      </w:r>
    </w:p>
    <w:p>
      <w:pPr>
        <w:spacing w:after="0" w:line="3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u w:val="single" w:color="auto"/>
          <w:color w:val="auto"/>
        </w:rPr>
        <w:t>Security Gateways</w:t>
      </w:r>
    </w:p>
    <w:p>
      <w:pPr>
        <w:spacing w:after="0" w:line="256" w:lineRule="exact"/>
        <w:rPr>
          <w:sz w:val="20"/>
          <w:szCs w:val="20"/>
          <w:color w:val="auto"/>
        </w:rPr>
      </w:pPr>
    </w:p>
    <w:p>
      <w:pPr>
        <w:ind w:left="800" w:right="380" w:hanging="797"/>
        <w:spacing w:after="0" w:line="277" w:lineRule="auto"/>
        <w:tabs>
          <w:tab w:leader="none" w:pos="8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Require Strong Authentication for administrative and/or management access to Security Gateways, including, but not limited to, any access for the purpose of reviewing log files.</w:t>
      </w:r>
    </w:p>
    <w:p>
      <w:pPr>
        <w:spacing w:after="0" w:line="75" w:lineRule="exact"/>
        <w:rPr>
          <w:rFonts w:ascii="Arial" w:cs="Arial" w:eastAsia="Arial" w:hAnsi="Arial"/>
          <w:sz w:val="18"/>
          <w:szCs w:val="18"/>
          <w:color w:val="auto"/>
        </w:rPr>
      </w:pPr>
    </w:p>
    <w:p>
      <w:pPr>
        <w:ind w:left="800" w:right="400" w:hanging="797"/>
        <w:spacing w:after="0" w:line="264" w:lineRule="auto"/>
        <w:tabs>
          <w:tab w:leader="none" w:pos="8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Have and use documented controls, policies, processes and procedures to ensure that unauthorized users do not have administrative and/or management access to Security Gateways, and that user authorization levels to administer and manage Security Gateways are appropriate.</w:t>
      </w:r>
    </w:p>
    <w:p>
      <w:pPr>
        <w:spacing w:after="0" w:line="86" w:lineRule="exact"/>
        <w:rPr>
          <w:rFonts w:ascii="Arial" w:cs="Arial" w:eastAsia="Arial" w:hAnsi="Arial"/>
          <w:sz w:val="18"/>
          <w:szCs w:val="18"/>
          <w:color w:val="auto"/>
        </w:rPr>
      </w:pPr>
    </w:p>
    <w:p>
      <w:pPr>
        <w:ind w:left="800" w:right="240" w:hanging="797"/>
        <w:spacing w:after="0" w:line="277" w:lineRule="auto"/>
        <w:tabs>
          <w:tab w:leader="none" w:pos="8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ensure that each rule was properly authorized and is traceable to a specific business request, that all rule sets end with a “DENY ALL” statement.</w:t>
      </w:r>
    </w:p>
    <w:p>
      <w:pPr>
        <w:spacing w:after="0" w:line="75" w:lineRule="exact"/>
        <w:rPr>
          <w:rFonts w:ascii="Arial" w:cs="Arial" w:eastAsia="Arial" w:hAnsi="Arial"/>
          <w:sz w:val="18"/>
          <w:szCs w:val="18"/>
          <w:color w:val="auto"/>
        </w:rPr>
      </w:pPr>
    </w:p>
    <w:p>
      <w:pPr>
        <w:ind w:left="800" w:right="80" w:hanging="797"/>
        <w:spacing w:after="0" w:line="277" w:lineRule="auto"/>
        <w:tabs>
          <w:tab w:leader="none" w:pos="8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Use monitoring tools to ensure that all aspects of Security Gateways (e.g., hardware, firmware, and software) are operational at all times. Ensure that all non-operational Security Gateways are configured to deny all access.</w:t>
      </w:r>
    </w:p>
    <w:p>
      <w:pPr>
        <w:spacing w:after="0" w:line="383" w:lineRule="exact"/>
        <w:rPr>
          <w:sz w:val="20"/>
          <w:szCs w:val="20"/>
          <w:color w:val="auto"/>
        </w:rPr>
      </w:pPr>
    </w:p>
    <w:p>
      <w:pPr>
        <w:ind w:left="4220"/>
        <w:spacing w:after="0"/>
        <w:rPr>
          <w:sz w:val="20"/>
          <w:szCs w:val="20"/>
          <w:color w:val="auto"/>
        </w:rPr>
      </w:pPr>
      <w:r>
        <w:rPr>
          <w:rFonts w:ascii="Arial" w:cs="Arial" w:eastAsia="Arial" w:hAnsi="Arial"/>
          <w:sz w:val="18"/>
          <w:szCs w:val="18"/>
          <w:b w:val="1"/>
          <w:bCs w:val="1"/>
          <w:u w:val="single" w:color="auto"/>
          <w:color w:val="auto"/>
        </w:rPr>
        <w:t>Wireless Networking</w:t>
      </w:r>
    </w:p>
    <w:p>
      <w:pPr>
        <w:spacing w:after="0" w:line="256" w:lineRule="exact"/>
        <w:rPr>
          <w:sz w:val="20"/>
          <w:szCs w:val="20"/>
          <w:color w:val="auto"/>
        </w:rPr>
      </w:pPr>
    </w:p>
    <w:p>
      <w:pPr>
        <w:ind w:left="800" w:right="40" w:hanging="797"/>
        <w:spacing w:after="0" w:line="276" w:lineRule="auto"/>
        <w:tabs>
          <w:tab w:leader="none" w:pos="8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When using radio frequency (RF) based wireless networking technologies to perform or support Services for AT&amp;T, ensure that all of In-Scope Information transmitted is protected by the use of appropriate encryption technologies sufficient to protect the confidentiality of In-Scope Information; provided, however, that in any event such encryption shall use no less than key lengths of 256-bits for symmetric encryption and 256-bits for asymmetric encryption. The use of RF-based wireless headsets, keyboards, microphones, and pointing devices, such as mice, touch pads, and digital drawing tablets, is excluded from this requirement.</w:t>
      </w:r>
    </w:p>
    <w:p>
      <w:pPr>
        <w:spacing w:after="0" w:line="101"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740"/>
          </w:cols>
          <w:pgMar w:left="920" w:top="274"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620" w:hanging="797"/>
        <w:spacing w:after="0" w:line="342" w:lineRule="auto"/>
        <w:tabs>
          <w:tab w:leader="none" w:pos="80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Regardless of whether radio frequency (RF) based wireless networking technologies are in use by the Supplier, where technically feasible, perform scans [***] to detect unauthorized wireless networks and promptly take appropriate action to eliminate them.</w:t>
      </w:r>
    </w:p>
    <w:p>
      <w:pPr>
        <w:spacing w:after="0" w:line="336"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Connectivity Requirements</w:t>
      </w:r>
    </w:p>
    <w:p>
      <w:pPr>
        <w:spacing w:after="0" w:line="256" w:lineRule="exact"/>
        <w:rPr>
          <w:sz w:val="20"/>
          <w:szCs w:val="20"/>
          <w:color w:val="auto"/>
        </w:rPr>
      </w:pPr>
    </w:p>
    <w:p>
      <w:pPr>
        <w:ind w:left="800" w:right="220" w:hanging="797"/>
        <w:spacing w:after="0" w:line="264" w:lineRule="auto"/>
        <w:tabs>
          <w:tab w:leader="none" w:pos="8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the event that Supplier has, or will be provided, connectivity to AT&amp;T’s or AT&amp;T’s customers’ Nonpublic Information Resources in conjunction with this Agreement, then Supplier shall not establish interconnection to AT&amp;T’s and AT&amp;T’s customers’ Nonpublic Information Resources without the prior consent of AT&amp;T and:</w:t>
      </w:r>
    </w:p>
    <w:p>
      <w:pPr>
        <w:spacing w:after="0" w:line="86" w:lineRule="exact"/>
        <w:rPr>
          <w:rFonts w:ascii="Arial" w:cs="Arial" w:eastAsia="Arial" w:hAnsi="Arial"/>
          <w:sz w:val="18"/>
          <w:szCs w:val="18"/>
          <w:color w:val="auto"/>
        </w:rPr>
      </w:pPr>
    </w:p>
    <w:p>
      <w:pPr>
        <w:ind w:left="1480" w:right="300" w:hanging="680"/>
        <w:spacing w:after="0" w:line="277" w:lineRule="auto"/>
        <w:tabs>
          <w:tab w:leader="none" w:pos="14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Use only the mutually agreed upon facilities and connection methodologies to interconnect AT&amp;T’s and AT&amp;T’s customers’ Nonpublic Information Resources with Supplier’s Information Resources.</w:t>
      </w:r>
    </w:p>
    <w:p>
      <w:pPr>
        <w:spacing w:after="0" w:line="75" w:lineRule="exact"/>
        <w:rPr>
          <w:rFonts w:ascii="Arial" w:cs="Arial" w:eastAsia="Arial" w:hAnsi="Arial"/>
          <w:sz w:val="18"/>
          <w:szCs w:val="18"/>
          <w:color w:val="auto"/>
        </w:rPr>
      </w:pPr>
    </w:p>
    <w:p>
      <w:pPr>
        <w:ind w:left="1480" w:right="40" w:hanging="680"/>
        <w:spacing w:after="0" w:line="257" w:lineRule="auto"/>
        <w:tabs>
          <w:tab w:leader="none" w:pos="14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If the agreed upon connectivity methodology requires that Supplier implement a Security Gateway, maintain logs of all sessions using such Security Gateway. Such session logs must include sufficiently detailed information to assist with a security incident or a forensic investigation (e.g. identification of the end user or application accessing AT&amp;T). Such session logs must include origination IP address, destination IP address, ports/service protocols used and duration of access. Such session logs must be retained for a minimum of [***].</w:t>
      </w:r>
    </w:p>
    <w:p>
      <w:pPr>
        <w:spacing w:after="0" w:line="93" w:lineRule="exact"/>
        <w:rPr>
          <w:rFonts w:ascii="Arial" w:cs="Arial" w:eastAsia="Arial" w:hAnsi="Arial"/>
          <w:sz w:val="18"/>
          <w:szCs w:val="18"/>
          <w:color w:val="auto"/>
        </w:rPr>
      </w:pPr>
    </w:p>
    <w:p>
      <w:pPr>
        <w:ind w:left="1480" w:right="180" w:hanging="680"/>
        <w:spacing w:after="0" w:line="255" w:lineRule="auto"/>
        <w:tabs>
          <w:tab w:leader="none" w:pos="14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When presented with evidence by AT&amp;T of a threat to AT&amp;T or AT&amp;T’s customers’ Nonpublic Information Resources originating from the Supplier’s network (e.g. worm, virus or other malware, bot infection, Advanced Persistent Threat (APT), DoS/DDoS attack, etc.), promptly cooperate with AT&amp;T to isolate and terminate the threat. In addition, Supplier shall provide AT&amp;T with a written plan to prevent any such future threats within [***] after mitigation of the threat. In the event Supplier fails to cooperate with AT&amp;T in resolving the threat AT&amp;T reserves the right to terminate the appropriate Order and/or Agreement.</w:t>
      </w:r>
    </w:p>
    <w:p>
      <w:pPr>
        <w:spacing w:after="0" w:line="200" w:lineRule="exact"/>
        <w:rPr>
          <w:sz w:val="20"/>
          <w:szCs w:val="20"/>
          <w:color w:val="auto"/>
        </w:rPr>
      </w:pPr>
    </w:p>
    <w:p>
      <w:pPr>
        <w:spacing w:after="0" w:line="205" w:lineRule="exact"/>
        <w:rPr>
          <w:sz w:val="20"/>
          <w:szCs w:val="20"/>
          <w:color w:val="auto"/>
        </w:rPr>
      </w:pPr>
    </w:p>
    <w:p>
      <w:pPr>
        <w:ind w:left="4040"/>
        <w:spacing w:after="0"/>
        <w:rPr>
          <w:sz w:val="20"/>
          <w:szCs w:val="20"/>
          <w:color w:val="auto"/>
        </w:rPr>
      </w:pPr>
      <w:r>
        <w:rPr>
          <w:rFonts w:ascii="Arial" w:cs="Arial" w:eastAsia="Arial" w:hAnsi="Arial"/>
          <w:sz w:val="18"/>
          <w:szCs w:val="18"/>
          <w:b w:val="1"/>
          <w:bCs w:val="1"/>
          <w:u w:val="single" w:color="auto"/>
          <w:color w:val="auto"/>
        </w:rPr>
        <w:t>Protection of AT&amp;T’s SPI</w:t>
      </w:r>
    </w:p>
    <w:p>
      <w:pPr>
        <w:spacing w:after="0" w:line="256" w:lineRule="exact"/>
        <w:rPr>
          <w:sz w:val="20"/>
          <w:szCs w:val="20"/>
          <w:color w:val="auto"/>
        </w:rPr>
      </w:pPr>
    </w:p>
    <w:p>
      <w:pPr>
        <w:ind w:left="800" w:hanging="797"/>
        <w:spacing w:after="0"/>
        <w:tabs>
          <w:tab w:leader="none" w:pos="8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Use Strong Encryption to protect AT&amp;T’s SPI when transmitted over any network.</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Use Strong Encryption to protect AT&amp;T’s SPI when stored.</w:t>
      </w:r>
    </w:p>
    <w:p>
      <w:pPr>
        <w:spacing w:after="0" w:line="200" w:lineRule="exact"/>
        <w:rPr>
          <w:sz w:val="20"/>
          <w:szCs w:val="20"/>
          <w:color w:val="auto"/>
        </w:rPr>
      </w:pPr>
    </w:p>
    <w:p>
      <w:pPr>
        <w:spacing w:after="0" w:line="23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u w:val="single" w:color="auto"/>
          <w:color w:val="auto"/>
        </w:rPr>
        <w:t>Table of AT&amp;T SPI Data Elements</w:t>
      </w:r>
    </w:p>
    <w:p>
      <w:pPr>
        <w:spacing w:after="0" w:line="229" w:lineRule="exact"/>
        <w:rPr>
          <w:sz w:val="20"/>
          <w:szCs w:val="20"/>
          <w:color w:val="auto"/>
        </w:rPr>
      </w:pPr>
    </w:p>
    <w:p>
      <w:pPr>
        <w:ind w:left="20" w:right="120"/>
        <w:spacing w:after="0" w:line="264" w:lineRule="auto"/>
        <w:rPr>
          <w:sz w:val="20"/>
          <w:szCs w:val="20"/>
          <w:color w:val="auto"/>
        </w:rPr>
      </w:pPr>
      <w:r>
        <w:rPr>
          <w:rFonts w:ascii="Arial" w:cs="Arial" w:eastAsia="Arial" w:hAnsi="Arial"/>
          <w:sz w:val="18"/>
          <w:szCs w:val="18"/>
          <w:color w:val="auto"/>
        </w:rPr>
        <w:t>Data elements in the following table are classified as AT&amp;T Sensitive Personal Information (SPI) when they apply to an employee, contractor, customer or supplier, except where explicitly stated otherwise and must be treated as such when used in their entirety, unless explicitly stated in the following table. This is true for all data formats including scanned images, PDFs, JPGs, etc.</w:t>
      </w:r>
    </w:p>
    <w:p>
      <w:pPr>
        <w:spacing w:after="0" w:line="110"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740"/>
          </w:cols>
          <w:pgMar w:left="920" w:top="274" w:right="239" w:bottom="1440" w:gutter="0" w:footer="0" w:header="0"/>
        </w:sectPr>
      </w:pPr>
    </w:p>
    <w:bookmarkStart w:id="235" w:name="page236"/>
    <w:bookmarkEnd w:id="235"/>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Data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9070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 w:lineRule="exact"/>
        <w:rPr>
          <w:sz w:val="20"/>
          <w:szCs w:val="20"/>
          <w:color w:val="auto"/>
        </w:rPr>
      </w:pPr>
    </w:p>
    <w:p>
      <w:pPr>
        <w:ind w:right="1142"/>
        <w:spacing w:after="0" w:line="400" w:lineRule="auto"/>
        <w:rPr>
          <w:sz w:val="20"/>
          <w:szCs w:val="20"/>
          <w:color w:val="auto"/>
        </w:rPr>
      </w:pPr>
      <w:r>
        <w:rPr>
          <w:rFonts w:ascii="Arial" w:cs="Arial" w:eastAsia="Arial" w:hAnsi="Arial"/>
          <w:sz w:val="18"/>
          <w:szCs w:val="18"/>
          <w:color w:val="auto"/>
        </w:rPr>
        <w:t>Driver’s License Number Nationally-Issued Identification Number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State or Province-Issued Identification Number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 (SSN)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Applies to U.S.</w:t>
      </w:r>
      <w:r>
        <w:rPr>
          <w:rFonts w:ascii="Arial" w:cs="Arial" w:eastAsia="Arial" w:hAnsi="Arial"/>
          <w:sz w:val="15"/>
          <w:szCs w:val="15"/>
          <w:color w:val="auto"/>
        </w:rPr>
        <w:t>1</w:t>
      </w:r>
      <w:r>
        <w:rPr>
          <w:rFonts w:ascii="Arial" w:cs="Arial" w:eastAsia="Arial" w:hAnsi="Arial"/>
          <w:sz w:val="18"/>
          <w:szCs w:val="18"/>
          <w:color w:val="auto"/>
        </w:rPr>
        <w:t xml:space="preserve"> only.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Credit Card Number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Bank Account Number</w:t>
      </w:r>
    </w:p>
    <w:p>
      <w:pPr>
        <w:spacing w:after="0" w:line="333" w:lineRule="exact"/>
        <w:rPr>
          <w:sz w:val="20"/>
          <w:szCs w:val="20"/>
          <w:color w:val="auto"/>
        </w:rPr>
      </w:pPr>
    </w:p>
    <w:p>
      <w:pPr>
        <w:ind w:right="1402"/>
        <w:spacing w:after="0" w:line="342" w:lineRule="auto"/>
        <w:rPr>
          <w:sz w:val="20"/>
          <w:szCs w:val="20"/>
          <w:color w:val="auto"/>
        </w:rPr>
      </w:pPr>
      <w:r>
        <w:rPr>
          <w:rFonts w:ascii="Arial" w:cs="Arial" w:eastAsia="Arial" w:hAnsi="Arial"/>
          <w:sz w:val="16"/>
          <w:szCs w:val="16"/>
          <w:color w:val="auto"/>
        </w:rPr>
        <w:t>Customer Authentication Credentials Applies to Customers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22"/>
        <w:spacing w:after="0" w:line="405" w:lineRule="auto"/>
        <w:rPr>
          <w:sz w:val="20"/>
          <w:szCs w:val="20"/>
          <w:color w:val="auto"/>
        </w:rPr>
      </w:pPr>
      <w:r>
        <w:rPr>
          <w:rFonts w:ascii="Arial" w:cs="Arial" w:eastAsia="Arial" w:hAnsi="Arial"/>
          <w:sz w:val="18"/>
          <w:szCs w:val="18"/>
          <w:color w:val="auto"/>
        </w:rPr>
        <w:t>Customer Authentication Credential Hints Applies to Customers only. Location-Based Information (LBI)</w:t>
      </w:r>
    </w:p>
    <w:p>
      <w:pPr>
        <w:spacing w:after="0" w:line="20" w:lineRule="exact"/>
        <w:rPr>
          <w:sz w:val="20"/>
          <w:szCs w:val="20"/>
          <w:color w:val="auto"/>
        </w:rPr>
      </w:pPr>
      <w:r>
        <w:rPr>
          <w:sz w:val="20"/>
          <w:szCs w:val="20"/>
          <w:color w:val="auto"/>
        </w:rPr>
        <w:br w:type="column"/>
      </w:r>
    </w:p>
    <w:p>
      <w:pPr>
        <w:ind w:left="3238"/>
        <w:spacing w:after="0"/>
        <w:rPr>
          <w:sz w:val="20"/>
          <w:szCs w:val="20"/>
          <w:color w:val="auto"/>
        </w:rPr>
      </w:pPr>
      <w:r>
        <w:rPr>
          <w:rFonts w:ascii="Arial" w:cs="Arial" w:eastAsia="Arial" w:hAnsi="Arial"/>
          <w:sz w:val="16"/>
          <w:szCs w:val="16"/>
          <w:color w:val="auto"/>
        </w:rPr>
        <w:t>Software and Professional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-201295</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6" w:lineRule="exact"/>
        <w:rPr>
          <w:sz w:val="20"/>
          <w:szCs w:val="20"/>
          <w:color w:val="auto"/>
        </w:rPr>
      </w:pPr>
    </w:p>
    <w:p>
      <w:pPr>
        <w:ind w:left="2978"/>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42024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23" w:lineRule="exact"/>
        <w:rPr>
          <w:sz w:val="20"/>
          <w:szCs w:val="20"/>
          <w:color w:val="auto"/>
        </w:rPr>
      </w:pPr>
    </w:p>
    <w:p>
      <w:pPr>
        <w:ind w:left="178"/>
        <w:spacing w:after="0"/>
        <w:rPr>
          <w:sz w:val="20"/>
          <w:szCs w:val="20"/>
          <w:color w:val="auto"/>
        </w:rPr>
      </w:pPr>
      <w:r>
        <w:rPr>
          <w:rFonts w:ascii="Arial" w:cs="Arial" w:eastAsia="Arial" w:hAnsi="Arial"/>
          <w:sz w:val="16"/>
          <w:szCs w:val="16"/>
          <w:color w:val="auto"/>
        </w:rPr>
        <w:t>Includes visa and/or passport values and non-U.S. identification numbers. Excludes U.S.</w:t>
      </w:r>
    </w:p>
    <w:p>
      <w:pPr>
        <w:spacing w:after="0" w:line="46" w:lineRule="exact"/>
        <w:rPr>
          <w:sz w:val="20"/>
          <w:szCs w:val="20"/>
          <w:color w:val="auto"/>
        </w:rPr>
      </w:pPr>
    </w:p>
    <w:p>
      <w:pPr>
        <w:ind w:left="178"/>
        <w:spacing w:after="0"/>
        <w:rPr>
          <w:sz w:val="20"/>
          <w:szCs w:val="20"/>
          <w:color w:val="auto"/>
        </w:rPr>
      </w:pPr>
      <w:r>
        <w:rPr>
          <w:rFonts w:ascii="Arial" w:cs="Arial" w:eastAsia="Arial" w:hAnsi="Arial"/>
          <w:sz w:val="18"/>
          <w:szCs w:val="18"/>
          <w:color w:val="auto"/>
        </w:rPr>
        <w:t>SSN which is a separate data element.</w:t>
      </w:r>
    </w:p>
    <w:p>
      <w:pPr>
        <w:spacing w:after="0" w:line="103" w:lineRule="exact"/>
        <w:rPr>
          <w:sz w:val="20"/>
          <w:szCs w:val="20"/>
          <w:color w:val="auto"/>
        </w:rPr>
      </w:pPr>
    </w:p>
    <w:p>
      <w:pPr>
        <w:ind w:left="178"/>
        <w:spacing w:after="0"/>
        <w:rPr>
          <w:sz w:val="20"/>
          <w:szCs w:val="20"/>
          <w:color w:val="auto"/>
        </w:rPr>
      </w:pPr>
      <w:r>
        <w:rPr>
          <w:rFonts w:ascii="Arial" w:cs="Arial" w:eastAsia="Arial" w:hAnsi="Arial"/>
          <w:sz w:val="18"/>
          <w:szCs w:val="18"/>
          <w:color w:val="auto"/>
        </w:rPr>
        <w:t>Other than Driver’s License Number which is a separate data element.</w:t>
      </w:r>
    </w:p>
    <w:p>
      <w:pPr>
        <w:spacing w:after="0" w:line="117" w:lineRule="exact"/>
        <w:rPr>
          <w:sz w:val="20"/>
          <w:szCs w:val="20"/>
          <w:color w:val="auto"/>
        </w:rPr>
      </w:pPr>
    </w:p>
    <w:p>
      <w:pPr>
        <w:ind w:left="178" w:right="160"/>
        <w:spacing w:after="0" w:line="277" w:lineRule="auto"/>
        <w:rPr>
          <w:sz w:val="20"/>
          <w:szCs w:val="20"/>
          <w:color w:val="auto"/>
        </w:rPr>
      </w:pPr>
      <w:r>
        <w:rPr>
          <w:rFonts w:ascii="Arial" w:cs="Arial" w:eastAsia="Arial" w:hAnsi="Arial"/>
          <w:sz w:val="18"/>
          <w:szCs w:val="18"/>
          <w:color w:val="auto"/>
        </w:rPr>
        <w:t>Includes U.S. Social Security Number, and U.S. Taxpayer ID when it is the U.S. Social Security Number of an individual.</w:t>
      </w:r>
    </w:p>
    <w:p>
      <w:pPr>
        <w:spacing w:after="0" w:line="197" w:lineRule="exact"/>
        <w:rPr>
          <w:sz w:val="20"/>
          <w:szCs w:val="20"/>
          <w:color w:val="auto"/>
        </w:rPr>
      </w:pPr>
    </w:p>
    <w:p>
      <w:pPr>
        <w:ind w:left="178" w:right="600"/>
        <w:spacing w:after="0" w:line="277" w:lineRule="auto"/>
        <w:rPr>
          <w:sz w:val="20"/>
          <w:szCs w:val="20"/>
          <w:color w:val="auto"/>
        </w:rPr>
      </w:pPr>
      <w:r>
        <w:rPr>
          <w:rFonts w:ascii="Arial" w:cs="Arial" w:eastAsia="Arial" w:hAnsi="Arial"/>
          <w:sz w:val="18"/>
          <w:szCs w:val="18"/>
          <w:color w:val="auto"/>
        </w:rPr>
        <w:t>Primary Account Number (PAN) for all types of credit or debit cards - corporate, personal, etc.</w:t>
      </w:r>
    </w:p>
    <w:p>
      <w:pPr>
        <w:spacing w:after="0" w:line="62" w:lineRule="exact"/>
        <w:rPr>
          <w:sz w:val="20"/>
          <w:szCs w:val="20"/>
          <w:color w:val="auto"/>
        </w:rPr>
      </w:pPr>
    </w:p>
    <w:p>
      <w:pPr>
        <w:ind w:left="178" w:right="100"/>
        <w:spacing w:after="0" w:line="277" w:lineRule="auto"/>
        <w:rPr>
          <w:sz w:val="20"/>
          <w:szCs w:val="20"/>
          <w:color w:val="auto"/>
        </w:rPr>
      </w:pPr>
      <w:r>
        <w:rPr>
          <w:rFonts w:ascii="Arial" w:cs="Arial" w:eastAsia="Arial" w:hAnsi="Arial"/>
          <w:sz w:val="18"/>
          <w:szCs w:val="18"/>
          <w:color w:val="auto"/>
        </w:rPr>
        <w:t>Includes all types of bank accounts (savings, checking, etc.), both personal and business in an individual’s name. Excludes bank routing number.</w:t>
      </w:r>
    </w:p>
    <w:p>
      <w:pPr>
        <w:spacing w:after="0" w:line="62" w:lineRule="exact"/>
        <w:rPr>
          <w:sz w:val="20"/>
          <w:szCs w:val="20"/>
          <w:color w:val="auto"/>
        </w:rPr>
      </w:pPr>
    </w:p>
    <w:p>
      <w:pPr>
        <w:ind w:left="178"/>
        <w:spacing w:after="0"/>
        <w:rPr>
          <w:sz w:val="20"/>
          <w:szCs w:val="20"/>
          <w:color w:val="auto"/>
        </w:rPr>
      </w:pPr>
      <w:r>
        <w:rPr>
          <w:rFonts w:ascii="Arial" w:cs="Arial" w:eastAsia="Arial" w:hAnsi="Arial"/>
          <w:sz w:val="18"/>
          <w:szCs w:val="18"/>
          <w:color w:val="auto"/>
        </w:rPr>
        <w:t>Values used by customers to authenticate and permit access to:</w:t>
      </w:r>
    </w:p>
    <w:p>
      <w:pPr>
        <w:spacing w:after="0" w:line="131" w:lineRule="exact"/>
        <w:rPr>
          <w:sz w:val="20"/>
          <w:szCs w:val="20"/>
          <w:color w:val="auto"/>
        </w:rPr>
      </w:pPr>
    </w:p>
    <w:p>
      <w:pPr>
        <w:ind w:left="218" w:right="540" w:hanging="218"/>
        <w:spacing w:after="0" w:line="342" w:lineRule="auto"/>
        <w:tabs>
          <w:tab w:leader="none" w:pos="20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customers’ non-public personal information, including Customer Proprietary Network Information (CPNI) and AT&amp;T Sensitive Personal Information (SPI), or</w:t>
      </w:r>
    </w:p>
    <w:p>
      <w:pPr>
        <w:spacing w:after="0" w:line="29" w:lineRule="exact"/>
        <w:rPr>
          <w:rFonts w:ascii="Arial" w:cs="Arial" w:eastAsia="Arial" w:hAnsi="Arial"/>
          <w:sz w:val="16"/>
          <w:szCs w:val="16"/>
          <w:color w:val="auto"/>
        </w:rPr>
      </w:pPr>
    </w:p>
    <w:p>
      <w:pPr>
        <w:ind w:left="218" w:right="580" w:hanging="218"/>
        <w:spacing w:after="0" w:line="277" w:lineRule="auto"/>
        <w:tabs>
          <w:tab w:leader="none" w:pos="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 application enabling the customer to subscribe to, or unsubscribe from, AT&amp;T services, or</w:t>
      </w:r>
    </w:p>
    <w:p>
      <w:pPr>
        <w:spacing w:after="0" w:line="75" w:lineRule="exact"/>
        <w:rPr>
          <w:rFonts w:ascii="Arial" w:cs="Arial" w:eastAsia="Arial" w:hAnsi="Arial"/>
          <w:sz w:val="18"/>
          <w:szCs w:val="18"/>
          <w:color w:val="auto"/>
        </w:rPr>
      </w:pPr>
    </w:p>
    <w:p>
      <w:pPr>
        <w:ind w:left="218" w:right="600" w:hanging="218"/>
        <w:spacing w:after="0" w:line="277" w:lineRule="auto"/>
        <w:tabs>
          <w:tab w:leader="none" w:pos="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 AT&amp;T service the customer is subscribed to For example: PINs, Passwords or Passcodes. Excludes Card Security Codes.</w:t>
      </w:r>
    </w:p>
    <w:p>
      <w:pPr>
        <w:spacing w:after="0" w:line="76" w:lineRule="exact"/>
        <w:rPr>
          <w:sz w:val="20"/>
          <w:szCs w:val="20"/>
          <w:color w:val="auto"/>
        </w:rPr>
      </w:pPr>
    </w:p>
    <w:p>
      <w:pPr>
        <w:jc w:val="both"/>
        <w:ind w:left="178" w:right="200"/>
        <w:spacing w:after="0" w:line="277" w:lineRule="auto"/>
        <w:rPr>
          <w:sz w:val="20"/>
          <w:szCs w:val="20"/>
          <w:color w:val="auto"/>
        </w:rPr>
      </w:pPr>
      <w:r>
        <w:rPr>
          <w:rFonts w:ascii="Arial" w:cs="Arial" w:eastAsia="Arial" w:hAnsi="Arial"/>
          <w:sz w:val="18"/>
          <w:szCs w:val="18"/>
          <w:color w:val="auto"/>
        </w:rPr>
        <w:t>Answers to questions used to retrieve customer authentication credentials, for example mother’s maiden name.</w:t>
      </w:r>
    </w:p>
    <w:p>
      <w:pPr>
        <w:spacing w:after="0" w:line="197" w:lineRule="exact"/>
        <w:rPr>
          <w:sz w:val="20"/>
          <w:szCs w:val="20"/>
          <w:color w:val="auto"/>
        </w:rPr>
      </w:pPr>
    </w:p>
    <w:p>
      <w:pPr>
        <w:jc w:val="both"/>
        <w:ind w:left="178" w:right="180"/>
        <w:spacing w:after="0" w:line="264" w:lineRule="auto"/>
        <w:rPr>
          <w:sz w:val="20"/>
          <w:szCs w:val="20"/>
          <w:color w:val="auto"/>
        </w:rPr>
      </w:pPr>
      <w:r>
        <w:rPr>
          <w:rFonts w:ascii="Arial" w:cs="Arial" w:eastAsia="Arial" w:hAnsi="Arial"/>
          <w:sz w:val="18"/>
          <w:szCs w:val="18"/>
          <w:color w:val="auto"/>
        </w:rPr>
        <w:t>Information that identifies the current or past location of a specific individuals’ mobile device. This element contains two factors both of which must be present and able to be associated with each other:</w:t>
      </w:r>
    </w:p>
    <w:p>
      <w:pPr>
        <w:spacing w:after="0" w:line="110" w:lineRule="exact"/>
        <w:rPr>
          <w:sz w:val="20"/>
          <w:szCs w:val="20"/>
          <w:color w:val="auto"/>
        </w:rPr>
      </w:pPr>
    </w:p>
    <w:p>
      <w:pPr>
        <w:sectPr>
          <w:pgSz w:w="11900" w:h="16838" w:orient="portrait"/>
          <w:cols w:equalWidth="0" w:num="2">
            <w:col w:w="4082" w:space="720"/>
            <w:col w:w="6618"/>
          </w:cols>
          <w:pgMar w:left="240" w:top="274" w:right="239" w:bottom="1440" w:gutter="0" w:footer="0" w:header="0"/>
        </w:sectPr>
      </w:pPr>
    </w:p>
    <w:p>
      <w:pPr>
        <w:jc w:val="center"/>
        <w:ind w:right="-19"/>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type w:val="continuous"/>
        </w:sectPr>
      </w:pPr>
    </w:p>
    <w:bookmarkStart w:id="236" w:name="page237"/>
    <w:bookmarkEnd w:id="236"/>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gridSpan w:val="2"/>
          </w:tcPr>
          <w:p>
            <w:pPr>
              <w:ind w:left="3240"/>
              <w:spacing w:after="0"/>
              <w:rPr>
                <w:sz w:val="20"/>
                <w:szCs w:val="20"/>
                <w:color w:val="auto"/>
              </w:rPr>
            </w:pPr>
            <w:r>
              <w:rPr>
                <w:rFonts w:ascii="Arial" w:cs="Arial" w:eastAsia="Arial" w:hAnsi="Arial"/>
                <w:sz w:val="18"/>
                <w:szCs w:val="18"/>
                <w:color w:val="auto"/>
                <w:w w:val="89"/>
              </w:rPr>
              <w:t>Software and Professional Services Agreement</w:t>
            </w:r>
          </w:p>
        </w:tc>
        <w:tc>
          <w:tcPr>
            <w:tcW w:w="0" w:type="dxa"/>
            <w:vAlign w:val="bottom"/>
          </w:tcPr>
          <w:p>
            <w:pPr>
              <w:spacing w:after="0"/>
              <w:rPr>
                <w:sz w:val="1"/>
                <w:szCs w:val="1"/>
                <w:color w:val="auto"/>
              </w:rPr>
            </w:pPr>
          </w:p>
        </w:tc>
      </w:tr>
      <w:tr>
        <w:trPr>
          <w:trHeight w:val="311"/>
        </w:trPr>
        <w:tc>
          <w:tcPr>
            <w:tcW w:w="480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6640" w:type="dxa"/>
            <w:vAlign w:val="bottom"/>
            <w:gridSpan w:val="2"/>
          </w:tcPr>
          <w:p>
            <w:pPr>
              <w:ind w:left="29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95"/>
        </w:trPr>
        <w:tc>
          <w:tcPr>
            <w:tcW w:w="4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w w:val="95"/>
              </w:rPr>
              <w:t>(1) a mobile device’s location (a map address, or latitude and longitude together 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w w:val="92"/>
              </w:rPr>
              <w:t>altitude where known) derived from the device’s network connectivity and/or positioning</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system (e.g., GPS), rather than as a result of user action (e.g., email, SMS), and</w:t>
            </w:r>
          </w:p>
        </w:tc>
        <w:tc>
          <w:tcPr>
            <w:tcW w:w="0" w:type="dxa"/>
            <w:vAlign w:val="bottom"/>
          </w:tcPr>
          <w:p>
            <w:pPr>
              <w:spacing w:after="0"/>
              <w:rPr>
                <w:sz w:val="1"/>
                <w:szCs w:val="1"/>
                <w:color w:val="auto"/>
              </w:rPr>
            </w:pPr>
          </w:p>
        </w:tc>
      </w:tr>
      <w:tr>
        <w:trPr>
          <w:trHeight w:val="323"/>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w w:val="99"/>
              </w:rPr>
              <w:t>(2) an individual’s identity derived from a unique identifier assigned to that mobile</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device such as customer name, MSISDN, IMSI, IMEI or ICCID.</w:t>
            </w: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Date of Birth (DOB)</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w w:val="97"/>
              </w:rPr>
              <w:t>Full and complete DOB, i.e., including Month, Day and Year. Excludes partial DOB</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where only Month and Day are used without Year.</w:t>
            </w:r>
          </w:p>
        </w:tc>
        <w:tc>
          <w:tcPr>
            <w:tcW w:w="0" w:type="dxa"/>
            <w:vAlign w:val="bottom"/>
          </w:tcPr>
          <w:p>
            <w:pPr>
              <w:spacing w:after="0"/>
              <w:rPr>
                <w:sz w:val="1"/>
                <w:szCs w:val="1"/>
                <w:color w:val="auto"/>
              </w:rPr>
            </w:pPr>
          </w:p>
        </w:tc>
      </w:tr>
      <w:tr>
        <w:trPr>
          <w:trHeight w:val="310"/>
        </w:trPr>
        <w:tc>
          <w:tcPr>
            <w:tcW w:w="4800" w:type="dxa"/>
            <w:vAlign w:val="bottom"/>
            <w:gridSpan w:val="2"/>
          </w:tcPr>
          <w:p>
            <w:pPr>
              <w:spacing w:after="0"/>
              <w:rPr>
                <w:sz w:val="20"/>
                <w:szCs w:val="20"/>
                <w:color w:val="auto"/>
              </w:rPr>
            </w:pPr>
            <w:r>
              <w:rPr>
                <w:rFonts w:ascii="Arial" w:cs="Arial" w:eastAsia="Arial" w:hAnsi="Arial"/>
                <w:sz w:val="18"/>
                <w:szCs w:val="18"/>
                <w:color w:val="auto"/>
              </w:rPr>
              <w:t>Biometric Data</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w w:val="97"/>
              </w:rPr>
              <w:t>Measures of human physical and behavioral characteristics used for authentication</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w w:val="95"/>
              </w:rPr>
              <w:t>purposes, for example fingerprint, voiceprint, retina or iris image. Excludes templates</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that contain discrete data points derived from Biometric Data that do not hold the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w w:val="91"/>
              </w:rPr>
              <w:t>complete biometric image, where the template cannot be reverse engineered back to the</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original biometric image.</w:t>
            </w:r>
          </w:p>
        </w:tc>
        <w:tc>
          <w:tcPr>
            <w:tcW w:w="0" w:type="dxa"/>
            <w:vAlign w:val="bottom"/>
          </w:tcPr>
          <w:p>
            <w:pPr>
              <w:spacing w:after="0"/>
              <w:rPr>
                <w:sz w:val="1"/>
                <w:szCs w:val="1"/>
                <w:color w:val="auto"/>
              </w:rPr>
            </w:pPr>
          </w:p>
        </w:tc>
      </w:tr>
      <w:tr>
        <w:trPr>
          <w:trHeight w:val="310"/>
        </w:trPr>
        <w:tc>
          <w:tcPr>
            <w:tcW w:w="4800" w:type="dxa"/>
            <w:vAlign w:val="bottom"/>
            <w:gridSpan w:val="2"/>
          </w:tcPr>
          <w:p>
            <w:pPr>
              <w:spacing w:after="0"/>
              <w:rPr>
                <w:sz w:val="20"/>
                <w:szCs w:val="20"/>
                <w:color w:val="auto"/>
              </w:rPr>
            </w:pPr>
            <w:r>
              <w:rPr>
                <w:rFonts w:ascii="Arial" w:cs="Arial" w:eastAsia="Arial" w:hAnsi="Arial"/>
                <w:sz w:val="18"/>
                <w:szCs w:val="18"/>
                <w:color w:val="auto"/>
              </w:rPr>
              <w:t>Criminal History</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Information about an individual’s criminal history, e.g., criminal check portion of a</w:t>
            </w:r>
          </w:p>
        </w:tc>
        <w:tc>
          <w:tcPr>
            <w:tcW w:w="0" w:type="dxa"/>
            <w:vAlign w:val="bottom"/>
          </w:tcPr>
          <w:p>
            <w:pPr>
              <w:spacing w:after="0"/>
              <w:rPr>
                <w:sz w:val="1"/>
                <w:szCs w:val="1"/>
                <w:color w:val="auto"/>
              </w:rPr>
            </w:pPr>
          </w:p>
        </w:tc>
      </w:tr>
      <w:tr>
        <w:trPr>
          <w:trHeight w:val="23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Applies to </w:t>
            </w:r>
            <w:r>
              <w:rPr>
                <w:rFonts w:ascii="Arial" w:cs="Arial" w:eastAsia="Arial" w:hAnsi="Arial"/>
                <w:sz w:val="18"/>
                <w:szCs w:val="18"/>
                <w:i w:val="1"/>
                <w:iCs w:val="1"/>
                <w:color w:val="auto"/>
              </w:rPr>
              <w:t>non-U.S.</w:t>
            </w:r>
            <w:r>
              <w:rPr>
                <w:rFonts w:ascii="Arial" w:cs="Arial" w:eastAsia="Arial" w:hAnsi="Arial"/>
                <w:sz w:val="15"/>
                <w:szCs w:val="15"/>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only</w:t>
            </w:r>
            <w:r>
              <w:rPr>
                <w:rFonts w:ascii="Arial" w:cs="Arial" w:eastAsia="Arial" w:hAnsi="Arial"/>
                <w:sz w:val="18"/>
                <w:szCs w:val="18"/>
                <w:color w:val="auto"/>
              </w:rPr>
              <w:t>.</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background check.</w:t>
            </w:r>
          </w:p>
        </w:tc>
        <w:tc>
          <w:tcPr>
            <w:tcW w:w="0" w:type="dxa"/>
            <w:vAlign w:val="bottom"/>
          </w:tcPr>
          <w:p>
            <w:pPr>
              <w:spacing w:after="0"/>
              <w:rPr>
                <w:sz w:val="1"/>
                <w:szCs w:val="1"/>
                <w:color w:val="auto"/>
              </w:rPr>
            </w:pPr>
          </w:p>
        </w:tc>
      </w:tr>
      <w:tr>
        <w:trPr>
          <w:trHeight w:val="122"/>
        </w:trPr>
        <w:tc>
          <w:tcPr>
            <w:tcW w:w="4800" w:type="dxa"/>
            <w:vAlign w:val="bottom"/>
            <w:gridSpan w:val="2"/>
            <w:vMerge w:val="continue"/>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800" w:type="dxa"/>
            <w:vAlign w:val="bottom"/>
            <w:gridSpan w:val="2"/>
          </w:tcPr>
          <w:p>
            <w:pPr>
              <w:spacing w:after="0"/>
              <w:rPr>
                <w:sz w:val="20"/>
                <w:szCs w:val="20"/>
                <w:color w:val="auto"/>
              </w:rPr>
            </w:pPr>
            <w:r>
              <w:rPr>
                <w:rFonts w:ascii="Arial" w:cs="Arial" w:eastAsia="Arial" w:hAnsi="Arial"/>
                <w:sz w:val="18"/>
                <w:szCs w:val="18"/>
                <w:color w:val="auto"/>
              </w:rPr>
              <w:t>Racial or Ethnic Origin</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Data specifying and/or confirming an individual’s racial or ethnic origin.</w:t>
            </w:r>
          </w:p>
        </w:tc>
        <w:tc>
          <w:tcPr>
            <w:tcW w:w="0" w:type="dxa"/>
            <w:vAlign w:val="bottom"/>
          </w:tcPr>
          <w:p>
            <w:pPr>
              <w:spacing w:after="0"/>
              <w:rPr>
                <w:sz w:val="1"/>
                <w:szCs w:val="1"/>
                <w:color w:val="auto"/>
              </w:rPr>
            </w:pPr>
          </w:p>
        </w:tc>
      </w:tr>
      <w:tr>
        <w:trPr>
          <w:trHeight w:val="338"/>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Applies to </w:t>
            </w:r>
            <w:r>
              <w:rPr>
                <w:rFonts w:ascii="Arial" w:cs="Arial" w:eastAsia="Arial" w:hAnsi="Arial"/>
                <w:sz w:val="18"/>
                <w:szCs w:val="18"/>
                <w:i w:val="1"/>
                <w:iCs w:val="1"/>
                <w:color w:val="auto"/>
              </w:rPr>
              <w:t>non-U.S.</w:t>
            </w:r>
            <w:r>
              <w:rPr>
                <w:rFonts w:ascii="Arial" w:cs="Arial" w:eastAsia="Arial" w:hAnsi="Arial"/>
                <w:sz w:val="15"/>
                <w:szCs w:val="15"/>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only</w:t>
            </w:r>
            <w:r>
              <w:rPr>
                <w:rFonts w:ascii="Arial" w:cs="Arial" w:eastAsia="Arial" w:hAnsi="Arial"/>
                <w:sz w:val="18"/>
                <w:szCs w:val="18"/>
                <w:color w:val="auto"/>
              </w:rPr>
              <w:t>.</w:t>
            </w: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Trade Union Membership</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w w:val="93"/>
              </w:rPr>
              <w:t>Data specifying and/or confirming an individual is a member of a trade union outside of</w:t>
            </w:r>
          </w:p>
        </w:tc>
        <w:tc>
          <w:tcPr>
            <w:tcW w:w="0" w:type="dxa"/>
            <w:vAlign w:val="bottom"/>
          </w:tcPr>
          <w:p>
            <w:pPr>
              <w:spacing w:after="0"/>
              <w:rPr>
                <w:sz w:val="1"/>
                <w:szCs w:val="1"/>
                <w:color w:val="auto"/>
              </w:rPr>
            </w:pPr>
          </w:p>
        </w:tc>
      </w:tr>
      <w:tr>
        <w:trPr>
          <w:trHeight w:val="23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Applies to </w:t>
            </w:r>
            <w:r>
              <w:rPr>
                <w:rFonts w:ascii="Arial" w:cs="Arial" w:eastAsia="Arial" w:hAnsi="Arial"/>
                <w:sz w:val="18"/>
                <w:szCs w:val="18"/>
                <w:i w:val="1"/>
                <w:iCs w:val="1"/>
                <w:color w:val="auto"/>
              </w:rPr>
              <w:t>non-U.S.</w:t>
            </w:r>
            <w:r>
              <w:rPr>
                <w:rFonts w:ascii="Arial" w:cs="Arial" w:eastAsia="Arial" w:hAnsi="Arial"/>
                <w:sz w:val="15"/>
                <w:szCs w:val="15"/>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only</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the U.S.</w:t>
            </w:r>
          </w:p>
        </w:tc>
        <w:tc>
          <w:tcPr>
            <w:tcW w:w="0" w:type="dxa"/>
            <w:vAlign w:val="bottom"/>
          </w:tcPr>
          <w:p>
            <w:pPr>
              <w:spacing w:after="0"/>
              <w:rPr>
                <w:sz w:val="1"/>
                <w:szCs w:val="1"/>
                <w:color w:val="auto"/>
              </w:rPr>
            </w:pPr>
          </w:p>
        </w:tc>
      </w:tr>
      <w:tr>
        <w:trPr>
          <w:trHeight w:val="122"/>
        </w:trPr>
        <w:tc>
          <w:tcPr>
            <w:tcW w:w="4800" w:type="dxa"/>
            <w:vAlign w:val="bottom"/>
            <w:gridSpan w:val="2"/>
            <w:vMerge w:val="continue"/>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Information Related to an Individual’s Political Affiliation,</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Data specifying and/or confirming an individual’s political affiliation, religious or</w:t>
            </w: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Religious Belief, or Sexual Orientation</w:t>
            </w: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similar beliefs, or sexual life or orientation.</w:t>
            </w:r>
          </w:p>
        </w:tc>
        <w:tc>
          <w:tcPr>
            <w:tcW w:w="0" w:type="dxa"/>
            <w:vAlign w:val="bottom"/>
          </w:tcPr>
          <w:p>
            <w:pPr>
              <w:spacing w:after="0"/>
              <w:rPr>
                <w:sz w:val="1"/>
                <w:szCs w:val="1"/>
                <w:color w:val="auto"/>
              </w:rPr>
            </w:pPr>
          </w:p>
        </w:tc>
      </w:tr>
      <w:tr>
        <w:trPr>
          <w:trHeight w:val="338"/>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Applies to </w:t>
            </w:r>
            <w:r>
              <w:rPr>
                <w:rFonts w:ascii="Arial" w:cs="Arial" w:eastAsia="Arial" w:hAnsi="Arial"/>
                <w:sz w:val="18"/>
                <w:szCs w:val="18"/>
                <w:i w:val="1"/>
                <w:iCs w:val="1"/>
                <w:color w:val="auto"/>
              </w:rPr>
              <w:t>non-U.S.</w:t>
            </w:r>
            <w:r>
              <w:rPr>
                <w:rFonts w:ascii="Arial" w:cs="Arial" w:eastAsia="Arial" w:hAnsi="Arial"/>
                <w:sz w:val="15"/>
                <w:szCs w:val="15"/>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only</w:t>
            </w:r>
            <w:r>
              <w:rPr>
                <w:rFonts w:ascii="Arial" w:cs="Arial" w:eastAsia="Arial" w:hAnsi="Arial"/>
                <w:sz w:val="18"/>
                <w:szCs w:val="18"/>
                <w:color w:val="auto"/>
              </w:rPr>
              <w:t>.</w:t>
            </w: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74" w:right="239" w:bottom="1440" w:gutter="0" w:footer="0" w:header="0"/>
        </w:sectPr>
      </w:pPr>
    </w:p>
    <w:bookmarkStart w:id="237" w:name="page238"/>
    <w:bookmarkEnd w:id="237"/>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ectPr>
          <w:pgSz w:w="11900" w:h="16838" w:orient="portrait"/>
          <w:cols w:equalWidth="0" w:num="1">
            <w:col w:w="11420"/>
          </w:cols>
          <w:pgMar w:left="240" w:top="274" w:right="2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Data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9070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Protected Health Information (PHI)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Applies to U.S.</w:t>
      </w:r>
      <w:r>
        <w:rPr>
          <w:rFonts w:ascii="Arial" w:cs="Arial" w:eastAsia="Arial" w:hAnsi="Arial"/>
          <w:sz w:val="15"/>
          <w:szCs w:val="15"/>
          <w:color w:val="auto"/>
        </w:rPr>
        <w:t>1</w:t>
      </w:r>
      <w:r>
        <w:rPr>
          <w:rFonts w:ascii="Arial" w:cs="Arial" w:eastAsia="Arial" w:hAnsi="Arial"/>
          <w:sz w:val="18"/>
          <w:szCs w:val="18"/>
          <w:color w:val="auto"/>
        </w:rPr>
        <w:t xml:space="preserv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Medical and Health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Applies to </w:t>
      </w:r>
      <w:r>
        <w:rPr>
          <w:rFonts w:ascii="Arial" w:cs="Arial" w:eastAsia="Arial" w:hAnsi="Arial"/>
          <w:sz w:val="18"/>
          <w:szCs w:val="18"/>
          <w:i w:val="1"/>
          <w:iCs w:val="1"/>
          <w:color w:val="auto"/>
        </w:rPr>
        <w:t>non-U.S.</w:t>
      </w:r>
      <w:r>
        <w:rPr>
          <w:rFonts w:ascii="Arial" w:cs="Arial" w:eastAsia="Arial" w:hAnsi="Arial"/>
          <w:sz w:val="15"/>
          <w:szCs w:val="15"/>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only</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Footnotes to Table of SPI Data Elements: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7"/>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42024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93" w:lineRule="exact"/>
        <w:rPr>
          <w:sz w:val="20"/>
          <w:szCs w:val="20"/>
          <w:color w:val="auto"/>
        </w:rPr>
      </w:pPr>
    </w:p>
    <w:p>
      <w:pPr>
        <w:ind w:left="178" w:right="40"/>
        <w:spacing w:after="0" w:line="312" w:lineRule="auto"/>
        <w:rPr>
          <w:sz w:val="20"/>
          <w:szCs w:val="20"/>
          <w:color w:val="auto"/>
        </w:rPr>
      </w:pPr>
      <w:r>
        <w:rPr>
          <w:rFonts w:ascii="Arial" w:cs="Arial" w:eastAsia="Arial" w:hAnsi="Arial"/>
          <w:sz w:val="16"/>
          <w:szCs w:val="16"/>
          <w:color w:val="auto"/>
        </w:rPr>
        <w:t>Includes any health information used in AT&amp;T’s Group Health Care plans or belonging to AT&amp;T’s customers that identifies the individual or for which there is a reasonable basis to believe it can be used to identify the individuals that includes information about:</w:t>
      </w:r>
    </w:p>
    <w:p>
      <w:pPr>
        <w:spacing w:after="0" w:line="52" w:lineRule="exact"/>
        <w:rPr>
          <w:sz w:val="20"/>
          <w:szCs w:val="20"/>
          <w:color w:val="auto"/>
        </w:rPr>
      </w:pPr>
    </w:p>
    <w:p>
      <w:pPr>
        <w:ind w:left="198" w:hanging="198"/>
        <w:spacing w:after="0"/>
        <w:tabs>
          <w:tab w:leader="none" w:pos="19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individual’s past, present or future physical or mental health or condition,</w:t>
      </w:r>
    </w:p>
    <w:p>
      <w:pPr>
        <w:spacing w:after="0" w:line="130" w:lineRule="exact"/>
        <w:rPr>
          <w:rFonts w:ascii="Arial" w:cs="Arial" w:eastAsia="Arial" w:hAnsi="Arial"/>
          <w:sz w:val="18"/>
          <w:szCs w:val="18"/>
          <w:color w:val="auto"/>
        </w:rPr>
      </w:pPr>
    </w:p>
    <w:p>
      <w:pPr>
        <w:ind w:left="198" w:hanging="198"/>
        <w:spacing w:after="0"/>
        <w:tabs>
          <w:tab w:leader="none" w:pos="19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provision of health care to the individual, or</w:t>
      </w:r>
    </w:p>
    <w:p>
      <w:pPr>
        <w:spacing w:after="0" w:line="130" w:lineRule="exact"/>
        <w:rPr>
          <w:rFonts w:ascii="Arial" w:cs="Arial" w:eastAsia="Arial" w:hAnsi="Arial"/>
          <w:sz w:val="18"/>
          <w:szCs w:val="18"/>
          <w:color w:val="auto"/>
        </w:rPr>
      </w:pPr>
    </w:p>
    <w:p>
      <w:pPr>
        <w:ind w:left="218" w:right="80" w:hanging="218"/>
        <w:spacing w:after="0" w:line="264" w:lineRule="auto"/>
        <w:tabs>
          <w:tab w:leader="none" w:pos="2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past, present, or future payment for the provision of health care to the individual Health information of retirees, employees, or employee beneficiaries used by AT&amp;T for purposes other than a group health plan is not PHI.</w:t>
      </w:r>
    </w:p>
    <w:p>
      <w:pPr>
        <w:spacing w:after="0" w:line="87" w:lineRule="exact"/>
        <w:rPr>
          <w:sz w:val="20"/>
          <w:szCs w:val="20"/>
          <w:color w:val="auto"/>
        </w:rPr>
      </w:pPr>
    </w:p>
    <w:p>
      <w:pPr>
        <w:ind w:left="178" w:right="540"/>
        <w:spacing w:after="0" w:line="277" w:lineRule="auto"/>
        <w:rPr>
          <w:sz w:val="20"/>
          <w:szCs w:val="20"/>
          <w:color w:val="auto"/>
        </w:rPr>
      </w:pPr>
      <w:r>
        <w:rPr>
          <w:rFonts w:ascii="Arial" w:cs="Arial" w:eastAsia="Arial" w:hAnsi="Arial"/>
          <w:sz w:val="18"/>
          <w:szCs w:val="18"/>
          <w:color w:val="auto"/>
        </w:rPr>
        <w:t>Information concerning physical or mental health or condition. Includes disability information.</w:t>
      </w:r>
    </w:p>
    <w:p>
      <w:pPr>
        <w:spacing w:after="0" w:line="535" w:lineRule="exact"/>
        <w:rPr>
          <w:sz w:val="20"/>
          <w:szCs w:val="20"/>
          <w:color w:val="auto"/>
        </w:rPr>
      </w:pPr>
    </w:p>
    <w:p>
      <w:pPr>
        <w:sectPr>
          <w:pgSz w:w="11900" w:h="16838" w:orient="portrait"/>
          <w:cols w:equalWidth="0" w:num="2">
            <w:col w:w="4082" w:space="720"/>
            <w:col w:w="6618"/>
          </w:cols>
          <w:pgMar w:left="240" w:top="274" w:right="239" w:bottom="1440" w:gutter="0" w:footer="0" w:header="0"/>
          <w:type w:val="continuous"/>
        </w:sectPr>
      </w:pPr>
    </w:p>
    <w:p>
      <w:pPr>
        <w:ind w:left="680" w:right="280" w:hanging="672"/>
        <w:spacing w:after="0" w:line="256" w:lineRule="auto"/>
        <w:tabs>
          <w:tab w:leader="none" w:pos="6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Where SPI data elements have the term “Applies to U.S. only.” associated with them, that data element is to be classified as AT&amp;T Proprietary (Sensitive Personal Information) when applied to data belonging to US citizens, irrespective of whether their data is handled inside or outside the US.</w:t>
      </w:r>
    </w:p>
    <w:p>
      <w:pPr>
        <w:ind w:left="680" w:right="120" w:hanging="672"/>
        <w:spacing w:after="0" w:line="255" w:lineRule="auto"/>
        <w:tabs>
          <w:tab w:leader="none" w:pos="6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Where SPI data elements have the term “Applies to non-U.S. only.” associated with them, that data element is to be classified as AT&amp;T Proprietary (Sensitive Personal Information) when applied to data belonging to citizens of countries other than the US, irrespective of whether their data is handled inside or outside the US.</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Offshore Information Technology Services Requirements</w:t>
      </w:r>
    </w:p>
    <w:p>
      <w:pPr>
        <w:spacing w:after="0" w:line="121"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In the event Supplier currently provides or will be providing Offshore Information Technology Services in conjunction with this Agreement, then, in addition to the foregoing, the following requirements shall apply to Supplier:</w:t>
      </w:r>
    </w:p>
    <w:p>
      <w:pPr>
        <w:spacing w:after="0" w:line="76" w:lineRule="exact"/>
        <w:rPr>
          <w:sz w:val="20"/>
          <w:szCs w:val="20"/>
          <w:color w:val="auto"/>
        </w:rPr>
      </w:pPr>
    </w:p>
    <w:p>
      <w:pPr>
        <w:ind w:left="1480" w:right="80" w:hanging="797"/>
        <w:spacing w:after="0" w:line="308" w:lineRule="auto"/>
        <w:tabs>
          <w:tab w:leader="none" w:pos="148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Strong authentication controls must be established for firewalls, firewall management servers, and firewall hop boxes. Options for strong authentication may include two-factor authentication methods such as tokens, smart-cards and/or one-time passwords.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74" w:right="239" w:bottom="1440" w:gutter="0" w:footer="0" w:header="0"/>
          <w:type w:val="continuous"/>
        </w:sectPr>
      </w:pPr>
    </w:p>
    <w:bookmarkStart w:id="238" w:name="page239"/>
    <w:bookmarkEnd w:id="2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280" w:hanging="797"/>
        <w:spacing w:after="0" w:line="277" w:lineRule="auto"/>
        <w:tabs>
          <w:tab w:leader="none" w:pos="8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Supplier must ensure that firewall configurations are hardened by selecting a sample of firewalls and verifying that the default rule set ensures the following:</w:t>
      </w:r>
    </w:p>
    <w:p>
      <w:pPr>
        <w:spacing w:after="0" w:line="75" w:lineRule="exact"/>
        <w:rPr>
          <w:rFonts w:ascii="Arial" w:cs="Arial" w:eastAsia="Arial" w:hAnsi="Arial"/>
          <w:sz w:val="18"/>
          <w:szCs w:val="18"/>
          <w:color w:val="auto"/>
        </w:rPr>
      </w:pPr>
    </w:p>
    <w:p>
      <w:pPr>
        <w:ind w:left="2060" w:hanging="801"/>
        <w:spacing w:after="0"/>
        <w:tabs>
          <w:tab w:leader="none" w:pos="2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IP source routing is disabled.</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Loopback address is prohibited from entering the internal network,</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ICMP redirects are disabled.</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Fragmented packets are dropped.</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Ruleset ends with a DENY ALL statement</w:t>
      </w:r>
    </w:p>
    <w:p>
      <w:pPr>
        <w:spacing w:after="0" w:line="131" w:lineRule="exact"/>
        <w:rPr>
          <w:sz w:val="20"/>
          <w:szCs w:val="20"/>
          <w:color w:val="auto"/>
        </w:rPr>
      </w:pPr>
    </w:p>
    <w:p>
      <w:pPr>
        <w:ind w:left="800" w:hanging="797"/>
        <w:spacing w:after="0"/>
        <w:tabs>
          <w:tab w:leader="none" w:pos="8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Screen savers or connection timeouts are required to prevent unauthorized access to unattended workstations.</w:t>
      </w:r>
    </w:p>
    <w:p>
      <w:pPr>
        <w:spacing w:after="0" w:line="131" w:lineRule="exact"/>
        <w:rPr>
          <w:sz w:val="20"/>
          <w:szCs w:val="20"/>
          <w:color w:val="auto"/>
        </w:rPr>
      </w:pPr>
    </w:p>
    <w:p>
      <w:pPr>
        <w:jc w:val="both"/>
        <w:ind w:left="800" w:right="60" w:hanging="797"/>
        <w:spacing w:after="0" w:line="264" w:lineRule="auto"/>
        <w:tabs>
          <w:tab w:leader="none" w:pos="8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Perform [***] revalidations on the user account list on firewalls, firewall management servers, and firewall hop boxes to ensure that only those users authorized for access to manage these devices have an account. This includes the need to revalidate the authorization level of each user account to ensure appropriate permission levels are maintained.</w:t>
      </w:r>
    </w:p>
    <w:p>
      <w:pPr>
        <w:spacing w:after="0" w:line="87" w:lineRule="exact"/>
        <w:rPr>
          <w:sz w:val="20"/>
          <w:szCs w:val="20"/>
          <w:color w:val="auto"/>
        </w:rPr>
      </w:pPr>
    </w:p>
    <w:p>
      <w:pPr>
        <w:ind w:left="800" w:right="360" w:hanging="797"/>
        <w:spacing w:after="0" w:line="277" w:lineRule="auto"/>
        <w:tabs>
          <w:tab w:leader="none" w:pos="8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Production support personnel and development personnel must have enough separation and auditable controls to ensure that standard change management procedures are always consistently followed.</w:t>
      </w:r>
    </w:p>
    <w:p>
      <w:pPr>
        <w:spacing w:after="0" w:line="76" w:lineRule="exact"/>
        <w:rPr>
          <w:sz w:val="20"/>
          <w:szCs w:val="20"/>
          <w:color w:val="auto"/>
        </w:rPr>
      </w:pPr>
    </w:p>
    <w:p>
      <w:pPr>
        <w:ind w:left="800" w:right="320" w:hanging="797"/>
        <w:spacing w:after="0" w:line="264" w:lineRule="auto"/>
        <w:tabs>
          <w:tab w:leader="none" w:pos="8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Developers cannot access production platforms “at will”. For some trouble-shooting situations, developers may be provided access to production platforms but only on an “as needed basis” and for a limited duration. All temporary access should be documented (who, what, when, where and why).</w:t>
      </w:r>
    </w:p>
    <w:p>
      <w:pPr>
        <w:spacing w:after="0" w:line="87" w:lineRule="exact"/>
        <w:rPr>
          <w:sz w:val="20"/>
          <w:szCs w:val="20"/>
          <w:color w:val="auto"/>
        </w:rPr>
      </w:pPr>
    </w:p>
    <w:p>
      <w:pPr>
        <w:ind w:left="800" w:right="360" w:hanging="797"/>
        <w:spacing w:after="0" w:line="277" w:lineRule="auto"/>
        <w:tabs>
          <w:tab w:leader="none" w:pos="8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Track and approve changes to firewall rules is required and must be validated annually. Inappropriate firewall rules must be removed immediately.</w:t>
      </w:r>
    </w:p>
    <w:p>
      <w:pPr>
        <w:spacing w:after="0" w:line="76" w:lineRule="exact"/>
        <w:rPr>
          <w:sz w:val="20"/>
          <w:szCs w:val="20"/>
          <w:color w:val="auto"/>
        </w:rPr>
      </w:pPr>
    </w:p>
    <w:p>
      <w:pPr>
        <w:ind w:left="800" w:hanging="797"/>
        <w:spacing w:after="0"/>
        <w:tabs>
          <w:tab w:leader="none" w:pos="8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Require a clean desk policy at the end of the day.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color w:val="auto"/>
        </w:rPr>
        <w:t>Supplier resources shall be notified of the restriction that AT&amp;T Data may not be downloaded and taken offsite.</w:t>
      </w:r>
    </w:p>
    <w:p>
      <w:pPr>
        <w:spacing w:after="0" w:line="131" w:lineRule="exact"/>
        <w:rPr>
          <w:sz w:val="20"/>
          <w:szCs w:val="20"/>
          <w:color w:val="auto"/>
        </w:rPr>
      </w:pPr>
    </w:p>
    <w:p>
      <w:pPr>
        <w:ind w:left="800" w:right="80" w:hanging="799"/>
        <w:spacing w:after="0" w:line="264" w:lineRule="auto"/>
        <w:tabs>
          <w:tab w:leader="none" w:pos="780" w:val="left"/>
        </w:tabs>
        <w:rPr>
          <w:sz w:val="20"/>
          <w:szCs w:val="20"/>
          <w:color w:val="auto"/>
        </w:rPr>
      </w:pPr>
      <w:r>
        <w:rPr>
          <w:rFonts w:ascii="Arial" w:cs="Arial" w:eastAsia="Arial" w:hAnsi="Arial"/>
          <w:sz w:val="18"/>
          <w:szCs w:val="18"/>
          <w:color w:val="auto"/>
        </w:rPr>
        <w:t>9B</w:t>
      </w:r>
      <w:r>
        <w:rPr>
          <w:sz w:val="20"/>
          <w:szCs w:val="20"/>
          <w:color w:val="auto"/>
        </w:rPr>
        <w:tab/>
      </w:r>
      <w:r>
        <w:rPr>
          <w:rFonts w:ascii="Arial" w:cs="Arial" w:eastAsia="Arial" w:hAnsi="Arial"/>
          <w:sz w:val="18"/>
          <w:szCs w:val="18"/>
          <w:color w:val="auto"/>
        </w:rPr>
        <w:t>Wireless networking technologies must not be used for communicating unless the following steps are taken by Amdocs to maintain the confidentiality and integrity of the communication and to prevent unauthorized access to the transmitting device and/or receiving device. When wireless networking technologies are used:</w:t>
      </w:r>
    </w:p>
    <w:p>
      <w:pPr>
        <w:spacing w:after="0" w:line="87" w:lineRule="exact"/>
        <w:rPr>
          <w:sz w:val="20"/>
          <w:szCs w:val="20"/>
          <w:color w:val="auto"/>
        </w:rPr>
      </w:pPr>
    </w:p>
    <w:p>
      <w:pPr>
        <w:ind w:left="1480" w:right="360" w:hanging="680"/>
        <w:spacing w:after="0" w:line="277" w:lineRule="auto"/>
        <w:tabs>
          <w:tab w:leader="none" w:pos="14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communications over wireless networks must be transmitted via Virtual Private Network (VPN) session(s) using Strong Encryption.</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Strong authentication (e.g., two factor token or digital certificates) must be used for authenticating VPN access.</w:t>
      </w:r>
    </w:p>
    <w:p>
      <w:pPr>
        <w:spacing w:after="0" w:line="130" w:lineRule="exact"/>
        <w:rPr>
          <w:rFonts w:ascii="Arial" w:cs="Arial" w:eastAsia="Arial" w:hAnsi="Arial"/>
          <w:sz w:val="18"/>
          <w:szCs w:val="18"/>
          <w:color w:val="auto"/>
        </w:rPr>
      </w:pPr>
    </w:p>
    <w:p>
      <w:pPr>
        <w:ind w:left="1480" w:right="140" w:hanging="680"/>
        <w:spacing w:after="0" w:line="277" w:lineRule="auto"/>
        <w:tabs>
          <w:tab w:leader="none" w:pos="14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Wireless hardware (with the exception of wireless network cards and access points) must be located in a physically secure area (e.g., in a locked wiring closet or locked machine room).</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services not being used on the access point, router, and VPN concentrator must be disabled.</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Enable Media Access Control (MAC)-based filtering so that only specified wireless cards can communicate to the access point.</w:t>
      </w:r>
    </w:p>
    <w:p>
      <w:pPr>
        <w:spacing w:after="0" w:line="17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740"/>
          </w:cols>
          <w:pgMar w:left="920" w:top="274"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180" w:hanging="797"/>
        <w:spacing w:after="0" w:line="286" w:lineRule="auto"/>
        <w:tabs>
          <w:tab w:leader="none" w:pos="8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Supplier must implement procedures to ensure that AT&amp;T Data is not downloaded and removed by Supplier. To the extent Supplier suspects that AT&amp;T Data may have been removed, Supplier agrees to conduct searches of suspected persons and their belongings when exiting AT&amp;T restricted areas and Supplier’s premises to the extent such searches are permissible by local law.</w:t>
      </w:r>
    </w:p>
    <w:p>
      <w:pPr>
        <w:spacing w:after="0" w:line="70" w:lineRule="exact"/>
        <w:rPr>
          <w:rFonts w:ascii="Arial" w:cs="Arial" w:eastAsia="Arial" w:hAnsi="Arial"/>
          <w:sz w:val="17"/>
          <w:szCs w:val="17"/>
          <w:color w:val="auto"/>
        </w:rPr>
      </w:pPr>
    </w:p>
    <w:p>
      <w:pPr>
        <w:ind w:left="800" w:right="560" w:hanging="797"/>
        <w:spacing w:after="0" w:line="264" w:lineRule="auto"/>
        <w:tabs>
          <w:tab w:leader="none" w:pos="8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Notify individuals that removal of AT&amp;T Data from the work area or Supplier’s premises is not allowed, to include signage that communicates this policy and that people and personal property including, without limitation, packages, briefcases, and purses are subject to inspection prior to exiting AT&amp;T restricted areas and Supplier’s premises.</w:t>
      </w:r>
    </w:p>
    <w:p>
      <w:pPr>
        <w:spacing w:after="0" w:line="86" w:lineRule="exact"/>
        <w:rPr>
          <w:rFonts w:ascii="Arial" w:cs="Arial" w:eastAsia="Arial" w:hAnsi="Arial"/>
          <w:sz w:val="18"/>
          <w:szCs w:val="18"/>
          <w:color w:val="auto"/>
        </w:rPr>
      </w:pPr>
    </w:p>
    <w:p>
      <w:pPr>
        <w:ind w:left="800" w:right="180" w:hanging="797"/>
        <w:spacing w:after="0" w:line="257" w:lineRule="auto"/>
        <w:tabs>
          <w:tab w:leader="none" w:pos="8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Verify that all printed media containing AT&amp;T Data (any information obtained from or provided by AT&amp;T, including information about AT&amp;T Systems, its employees and its customers) is securely stored, and that a mechanism is in place to protect the security and privacy of AT&amp;T Data. Procedures are required to restrict access to AT&amp;T Data to authorized Supplier personnel only, and to ensure that all media containing AT&amp;T Data is accounted for and reconciled on [***] to ensure that the information is not removed from Supplier’s premises.</w:t>
      </w:r>
    </w:p>
    <w:p>
      <w:pPr>
        <w:spacing w:after="0" w:line="93" w:lineRule="exact"/>
        <w:rPr>
          <w:rFonts w:ascii="Arial" w:cs="Arial" w:eastAsia="Arial" w:hAnsi="Arial"/>
          <w:sz w:val="18"/>
          <w:szCs w:val="18"/>
          <w:color w:val="auto"/>
        </w:rPr>
      </w:pPr>
    </w:p>
    <w:p>
      <w:pPr>
        <w:ind w:left="800" w:right="220" w:hanging="797"/>
        <w:spacing w:after="0" w:line="257" w:lineRule="auto"/>
        <w:tabs>
          <w:tab w:leader="none" w:pos="8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access to electronic documentation of AT&amp;T Data retained locally must be password protected and restricted to the very minimum number of Supplier personnel. Supplier must implement procedures to ensure that AT&amp;T Data is not downloaded and removed by Supplier personnel, including, at a minimum, searches. To the extent Supplier suspects that AT&amp;T Data may have been removed, Supplier agrees to conduct searches of persons and their belongings when exiting AT&amp;T restricted areas and Supplier’s premises to the extent searches are permissible under local law.</w:t>
      </w:r>
    </w:p>
    <w:p>
      <w:pPr>
        <w:spacing w:after="0" w:line="93" w:lineRule="exact"/>
        <w:rPr>
          <w:rFonts w:ascii="Arial" w:cs="Arial" w:eastAsia="Arial" w:hAnsi="Arial"/>
          <w:sz w:val="18"/>
          <w:szCs w:val="18"/>
          <w:color w:val="auto"/>
        </w:rPr>
      </w:pPr>
    </w:p>
    <w:p>
      <w:pPr>
        <w:ind w:left="800" w:right="300" w:hanging="797"/>
        <w:spacing w:after="0" w:line="342" w:lineRule="auto"/>
        <w:tabs>
          <w:tab w:leader="none" w:pos="8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All electronically stored or printed AT&amp;T Data no longer needed must be shredded onsite or destroyed onsite by authorized Supplier personnel assigned to AT&amp;T projects. Shred bins must be located in AT&amp;T restricted areas and locked until the shredding takes place.</w:t>
      </w:r>
    </w:p>
    <w:p>
      <w:pPr>
        <w:spacing w:after="0" w:line="29" w:lineRule="exact"/>
        <w:rPr>
          <w:rFonts w:ascii="Arial" w:cs="Arial" w:eastAsia="Arial" w:hAnsi="Arial"/>
          <w:sz w:val="16"/>
          <w:szCs w:val="16"/>
          <w:color w:val="auto"/>
        </w:rPr>
      </w:pPr>
    </w:p>
    <w:p>
      <w:pPr>
        <w:ind w:left="800" w:hanging="797"/>
        <w:spacing w:after="0"/>
        <w:tabs>
          <w:tab w:leader="none" w:pos="8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 [***] Metric Report of Perimeter Security on the Supplier’s system should be reported to AT&amp;T that consists of:</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Location</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 of Intrusions</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Type of Intrusions</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Source</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Detail</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Actions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Security IDS audit logs must be retained [***] and offline for a period of at least[***].</w:t>
      </w:r>
    </w:p>
    <w:p>
      <w:pPr>
        <w:spacing w:after="0" w:line="131" w:lineRule="exact"/>
        <w:rPr>
          <w:sz w:val="20"/>
          <w:szCs w:val="20"/>
          <w:color w:val="auto"/>
        </w:rPr>
      </w:pPr>
    </w:p>
    <w:p>
      <w:pPr>
        <w:ind w:left="800" w:right="440" w:hanging="797"/>
        <w:spacing w:after="0" w:line="259" w:lineRule="auto"/>
        <w:tabs>
          <w:tab w:leader="none" w:pos="8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Remote access to AT&amp;T Networks or AT&amp;T Data is prohibited. All work on AT&amp;T projects must be performed within the AT&amp;T restricted area on Supplier’s premises and any exceptions must be in accordance with the Limited Offshore Remote Access in this Appendix D. Prior written exception to this prohibition must be obtained from the [***]. Supplier’s use of laptops offsite must have written approval from the [***].</w:t>
      </w:r>
    </w:p>
    <w:p>
      <w:pPr>
        <w:spacing w:after="0" w:line="11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740"/>
          </w:cols>
          <w:pgMar w:left="920" w:top="274"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340" w:hanging="797"/>
        <w:spacing w:after="0" w:line="279" w:lineRule="auto"/>
        <w:tabs>
          <w:tab w:leader="none" w:pos="8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Randomly check Supplier-based email and internet-based email so that AT&amp;T Data is not sent to an unauthorized recipient. Effective January 1, 2011, Amdocs must check for the AT&amp;T Proprietary – Restricted and AT&amp;T Proprietary – Sensitive Personal Information markings in emails and attachments sent from Amdocs to non-AT&amp;T personnel outside. Any unauthorized transmissions must be reported by Amdocs in an email to the [***] promptly but in any case within [***].</w:t>
      </w:r>
    </w:p>
    <w:p>
      <w:pPr>
        <w:spacing w:after="0" w:line="76" w:lineRule="exact"/>
        <w:rPr>
          <w:rFonts w:ascii="Arial" w:cs="Arial" w:eastAsia="Arial" w:hAnsi="Arial"/>
          <w:sz w:val="17"/>
          <w:szCs w:val="17"/>
          <w:color w:val="auto"/>
        </w:rPr>
      </w:pPr>
    </w:p>
    <w:p>
      <w:pPr>
        <w:ind w:left="800" w:hanging="797"/>
        <w:spacing w:after="0"/>
        <w:tabs>
          <w:tab w:leader="none" w:pos="8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B2B VPN connections to AT&amp;T are required to be secured from other remote connections.</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Device-specific monitoring tools must be used to assure that firewall hardware is operational.</w:t>
      </w:r>
    </w:p>
    <w:p>
      <w:pPr>
        <w:spacing w:after="0" w:line="130" w:lineRule="exact"/>
        <w:rPr>
          <w:rFonts w:ascii="Arial" w:cs="Arial" w:eastAsia="Arial" w:hAnsi="Arial"/>
          <w:sz w:val="18"/>
          <w:szCs w:val="18"/>
          <w:color w:val="auto"/>
        </w:rPr>
      </w:pPr>
    </w:p>
    <w:p>
      <w:pPr>
        <w:ind w:left="800" w:right="220" w:hanging="797"/>
        <w:spacing w:after="0" w:line="277" w:lineRule="auto"/>
        <w:tabs>
          <w:tab w:leader="none" w:pos="8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minimize the risk exposure to visiting AT&amp;T employees in locations that are of medium-high risk of terrorist attacks, Supplier shall take necessary security measures customary for the location.</w:t>
      </w:r>
    </w:p>
    <w:p>
      <w:pPr>
        <w:spacing w:after="0" w:line="75" w:lineRule="exact"/>
        <w:rPr>
          <w:rFonts w:ascii="Arial" w:cs="Arial" w:eastAsia="Arial" w:hAnsi="Arial"/>
          <w:sz w:val="18"/>
          <w:szCs w:val="18"/>
          <w:color w:val="auto"/>
        </w:rPr>
      </w:pPr>
    </w:p>
    <w:p>
      <w:pPr>
        <w:ind w:left="800" w:hanging="797"/>
        <w:spacing w:after="0" w:line="257" w:lineRule="auto"/>
        <w:tabs>
          <w:tab w:leader="none" w:pos="8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All access points into the Supplier’s building(s) where AT&amp;T work is being performed must be locked by either physical keys or a card key system, or controlled by a guard service to restrict access only to authorized individuals. These mechanisms must be in working order and utilized at all times. Proper identification must be worn by all persons inside the Supplier’s building and a procedure in place to challenge those not wearing appropriate identification in the Supplier’s building. The cable vault, electrical and telephone areas should be secured to give access only to those authorized.</w:t>
      </w:r>
    </w:p>
    <w:p>
      <w:pPr>
        <w:spacing w:after="0" w:line="93" w:lineRule="exact"/>
        <w:rPr>
          <w:rFonts w:ascii="Arial" w:cs="Arial" w:eastAsia="Arial" w:hAnsi="Arial"/>
          <w:sz w:val="18"/>
          <w:szCs w:val="18"/>
          <w:color w:val="auto"/>
        </w:rPr>
      </w:pPr>
    </w:p>
    <w:p>
      <w:pPr>
        <w:ind w:left="800" w:right="20" w:hanging="797"/>
        <w:spacing w:after="0" w:line="272" w:lineRule="auto"/>
        <w:tabs>
          <w:tab w:leader="none" w:pos="8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Card key access lists and event logs must be reviewed by Supplier at a minimum of weekly to validate that building card key access is limited to only those individuals with a need to be in the Supplier’s building and restricted area where AT&amp;T work is being performed. Ensure that all keys are accounted for and limited to those individuals with a need to be in the Supplier’s building and restricted areas and all locks are changed on a regular interval (at a minimum annually). Ensure that Supplier personnel surrender company identification, keys and access cards before leaving the premises when access to an area is no longer required or upon voluntarily or involuntarily ceasing to work for Supplier and that the access cards are deactivated. Weekly reviews should include employee, contractor and supplier termination records and any associated unauthorized access attempts in the event logs.</w:t>
      </w:r>
    </w:p>
    <w:p>
      <w:pPr>
        <w:spacing w:after="0" w:line="83" w:lineRule="exact"/>
        <w:rPr>
          <w:rFonts w:ascii="Arial" w:cs="Arial" w:eastAsia="Arial" w:hAnsi="Arial"/>
          <w:sz w:val="17"/>
          <w:szCs w:val="17"/>
          <w:color w:val="auto"/>
        </w:rPr>
      </w:pPr>
    </w:p>
    <w:p>
      <w:pPr>
        <w:jc w:val="both"/>
        <w:ind w:left="800" w:right="160" w:hanging="797"/>
        <w:spacing w:after="0" w:line="264" w:lineRule="auto"/>
        <w:tabs>
          <w:tab w:leader="none" w:pos="8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Alarmed doors and monitored electronic systems are required to detect unauthorized access or access attempts with a plan to respond to and document incidents. 24/7 recorded video surveillance is required of the area where work on AT&amp;T projects is performed, including entry and exit points.</w:t>
      </w:r>
    </w:p>
    <w:p>
      <w:pPr>
        <w:spacing w:after="0" w:line="86" w:lineRule="exact"/>
        <w:rPr>
          <w:rFonts w:ascii="Arial" w:cs="Arial" w:eastAsia="Arial" w:hAnsi="Arial"/>
          <w:sz w:val="18"/>
          <w:szCs w:val="18"/>
          <w:color w:val="auto"/>
        </w:rPr>
      </w:pPr>
    </w:p>
    <w:p>
      <w:pPr>
        <w:ind w:left="800" w:right="140" w:hanging="797"/>
        <w:spacing w:after="0" w:line="259" w:lineRule="auto"/>
        <w:tabs>
          <w:tab w:leader="none" w:pos="8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Prior to permitting any person access to an AT&amp;T project source or origin code (for example, software development), and at annual intervals thereafter, Supplier must ensure that such person (employee, contractor, subcontractor) is not on the Denied Persons List or the Specially Designated Nationals List of the US Department of Commerce – Bureau of Industry and Security. – Those lists are located at </w:t>
      </w:r>
      <w:r>
        <w:rPr>
          <w:rFonts w:ascii="Arial" w:cs="Arial" w:eastAsia="Arial" w:hAnsi="Arial"/>
          <w:sz w:val="18"/>
          <w:szCs w:val="18"/>
          <w:u w:val="single" w:color="auto"/>
          <w:color w:val="auto"/>
        </w:rPr>
        <w:t>http://www.bis.doc.gov/ComplianceAndEnforcement/ListsToCheck.htm</w:t>
      </w:r>
      <w:r>
        <w:rPr>
          <w:rFonts w:ascii="Arial" w:cs="Arial" w:eastAsia="Arial" w:hAnsi="Arial"/>
          <w:sz w:val="18"/>
          <w:szCs w:val="18"/>
          <w:color w:val="auto"/>
        </w:rPr>
        <w:t>.</w:t>
      </w:r>
    </w:p>
    <w:p>
      <w:pPr>
        <w:spacing w:after="0" w:line="11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740"/>
          </w:cols>
          <w:pgMar w:left="920" w:top="274" w:right="239" w:bottom="1440" w:gutter="0" w:footer="0" w:header="0"/>
        </w:sectPr>
      </w:pPr>
    </w:p>
    <w:bookmarkStart w:id="241" w:name="page242"/>
    <w:bookmarkEnd w:id="241"/>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500" w:right="20"/>
        <w:spacing w:after="0" w:line="257" w:lineRule="auto"/>
        <w:rPr>
          <w:sz w:val="20"/>
          <w:szCs w:val="20"/>
          <w:color w:val="auto"/>
        </w:rPr>
      </w:pPr>
      <w:r>
        <w:rPr>
          <w:rFonts w:ascii="Arial" w:cs="Arial" w:eastAsia="Arial" w:hAnsi="Arial"/>
          <w:sz w:val="18"/>
          <w:szCs w:val="18"/>
          <w:color w:val="auto"/>
        </w:rPr>
        <w:t>Prior to permitting any person direct or indirect access, whether physical, virtual, or otherwise, to any of AT&amp;T’s company, employee, or customer information, or any of AT&amp;T’s or AT&amp;T’s customers’ premises, systems, software, or networks, Supplier must have a reputable security company perform a criminal background check and verification of the identity of such person (employee, contractor, or subcontractor including onsite security guards responsible for physical security of Supplier’s premises and AT&amp;T restricted areas, and unescorted cleaning/maintenance personnel).</w:t>
      </w:r>
    </w:p>
    <w:p>
      <w:pPr>
        <w:spacing w:after="0" w:line="94" w:lineRule="exact"/>
        <w:rPr>
          <w:sz w:val="20"/>
          <w:szCs w:val="20"/>
          <w:color w:val="auto"/>
        </w:rPr>
      </w:pPr>
    </w:p>
    <w:p>
      <w:pPr>
        <w:ind w:left="1480" w:right="160" w:hanging="797"/>
        <w:spacing w:after="0" w:line="264" w:lineRule="auto"/>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A security plan must be in place to include training of Supplier personnel to report suspicious activity/security incidents and complaints that did or could affect AT&amp;T, to include documentation, follow-up and reporting to the </w:t>
      </w:r>
      <w:r>
        <w:rPr>
          <w:rFonts w:ascii="Arial" w:cs="Arial" w:eastAsia="Arial" w:hAnsi="Arial"/>
          <w:sz w:val="18"/>
          <w:szCs w:val="18"/>
          <w:b w:val="1"/>
          <w:bCs w:val="1"/>
          <w:color w:val="auto"/>
        </w:rPr>
        <w:t>AT&amp;T IT:OFFSHORE</w:t>
      </w:r>
      <w:r>
        <w:rPr>
          <w:rFonts w:ascii="Arial" w:cs="Arial" w:eastAsia="Arial" w:hAnsi="Arial"/>
          <w:sz w:val="18"/>
          <w:szCs w:val="18"/>
          <w:color w:val="auto"/>
        </w:rPr>
        <w:t xml:space="preserve"> organization and, as necessary, law enforcement.</w:t>
      </w:r>
    </w:p>
    <w:p>
      <w:pPr>
        <w:spacing w:after="0" w:line="7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Information to be reported to the Executive Director of the IT:OFFSHORE organization would consist of at least:</w:t>
      </w:r>
    </w:p>
    <w:p>
      <w:pPr>
        <w:spacing w:after="0" w:line="130" w:lineRule="exact"/>
        <w:rPr>
          <w:rFonts w:ascii="Arial" w:cs="Arial" w:eastAsia="Arial" w:hAnsi="Arial"/>
          <w:sz w:val="18"/>
          <w:szCs w:val="18"/>
          <w:color w:val="auto"/>
        </w:rPr>
      </w:pPr>
    </w:p>
    <w:p>
      <w:pPr>
        <w:ind w:left="2720" w:hanging="781"/>
        <w:spacing w:after="0"/>
        <w:tabs>
          <w:tab w:leader="none" w:pos="27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Date of Incident</w:t>
      </w:r>
    </w:p>
    <w:p>
      <w:pPr>
        <w:spacing w:after="0" w:line="130" w:lineRule="exact"/>
        <w:rPr>
          <w:rFonts w:ascii="Arial" w:cs="Arial" w:eastAsia="Arial" w:hAnsi="Arial"/>
          <w:sz w:val="18"/>
          <w:szCs w:val="18"/>
          <w:color w:val="auto"/>
        </w:rPr>
      </w:pPr>
    </w:p>
    <w:p>
      <w:pPr>
        <w:ind w:left="2720" w:hanging="781"/>
        <w:spacing w:after="0"/>
        <w:tabs>
          <w:tab w:leader="none" w:pos="27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Who - Identify those involved and be descriptive (suspects, vehicles, property, license plate numbers, )</w:t>
      </w:r>
    </w:p>
    <w:p>
      <w:pPr>
        <w:spacing w:after="0" w:line="130" w:lineRule="exact"/>
        <w:rPr>
          <w:rFonts w:ascii="Arial" w:cs="Arial" w:eastAsia="Arial" w:hAnsi="Arial"/>
          <w:sz w:val="18"/>
          <w:szCs w:val="18"/>
          <w:color w:val="auto"/>
        </w:rPr>
      </w:pPr>
    </w:p>
    <w:p>
      <w:pPr>
        <w:ind w:left="2720" w:hanging="781"/>
        <w:spacing w:after="0"/>
        <w:tabs>
          <w:tab w:leader="none" w:pos="27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What - What happened and how?</w:t>
      </w:r>
    </w:p>
    <w:p>
      <w:pPr>
        <w:spacing w:after="0" w:line="130" w:lineRule="exact"/>
        <w:rPr>
          <w:rFonts w:ascii="Arial" w:cs="Arial" w:eastAsia="Arial" w:hAnsi="Arial"/>
          <w:sz w:val="18"/>
          <w:szCs w:val="18"/>
          <w:color w:val="auto"/>
        </w:rPr>
      </w:pPr>
    </w:p>
    <w:p>
      <w:pPr>
        <w:ind w:left="2720" w:hanging="781"/>
        <w:spacing w:after="0"/>
        <w:tabs>
          <w:tab w:leader="none" w:pos="27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When - When did the incident occur?</w:t>
      </w:r>
    </w:p>
    <w:p>
      <w:pPr>
        <w:spacing w:after="0" w:line="130" w:lineRule="exact"/>
        <w:rPr>
          <w:rFonts w:ascii="Arial" w:cs="Arial" w:eastAsia="Arial" w:hAnsi="Arial"/>
          <w:sz w:val="18"/>
          <w:szCs w:val="18"/>
          <w:color w:val="auto"/>
        </w:rPr>
      </w:pPr>
    </w:p>
    <w:p>
      <w:pPr>
        <w:ind w:left="2720" w:hanging="781"/>
        <w:spacing w:after="0"/>
        <w:tabs>
          <w:tab w:leader="none" w:pos="27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Where - Where did the incident take place?</w:t>
      </w:r>
    </w:p>
    <w:p>
      <w:pPr>
        <w:spacing w:after="0" w:line="130" w:lineRule="exact"/>
        <w:rPr>
          <w:rFonts w:ascii="Arial" w:cs="Arial" w:eastAsia="Arial" w:hAnsi="Arial"/>
          <w:sz w:val="18"/>
          <w:szCs w:val="18"/>
          <w:color w:val="auto"/>
        </w:rPr>
      </w:pPr>
    </w:p>
    <w:p>
      <w:pPr>
        <w:ind w:left="2720" w:hanging="781"/>
        <w:spacing w:after="0"/>
        <w:tabs>
          <w:tab w:leader="none" w:pos="27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Action Taken – What action was taken? Was law enforcement notified?</w:t>
      </w:r>
    </w:p>
    <w:p>
      <w:pPr>
        <w:spacing w:after="0" w:line="130" w:lineRule="exact"/>
        <w:rPr>
          <w:rFonts w:ascii="Arial" w:cs="Arial" w:eastAsia="Arial" w:hAnsi="Arial"/>
          <w:sz w:val="18"/>
          <w:szCs w:val="18"/>
          <w:color w:val="auto"/>
        </w:rPr>
      </w:pPr>
    </w:p>
    <w:p>
      <w:pPr>
        <w:ind w:left="1480" w:right="200" w:hanging="797"/>
        <w:spacing w:after="0" w:line="286" w:lineRule="auto"/>
        <w:tabs>
          <w:tab w:leader="none" w:pos="148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An exercise of Supplier’s recovery strategy must be conducted annually. Within [***] days from the completion of a disaster recovery exercise by Amdocs, Amdocs will produce a documented conclusion with a corrective action plan and proposed committed timeframes for corrective action upon which the Parties will agree within [***] days from receipt of the action plan.</w:t>
      </w:r>
    </w:p>
    <w:p>
      <w:pPr>
        <w:spacing w:after="0" w:line="70" w:lineRule="exact"/>
        <w:rPr>
          <w:rFonts w:ascii="Arial" w:cs="Arial" w:eastAsia="Arial" w:hAnsi="Arial"/>
          <w:sz w:val="17"/>
          <w:szCs w:val="17"/>
          <w:color w:val="auto"/>
        </w:rPr>
      </w:pPr>
    </w:p>
    <w:p>
      <w:pPr>
        <w:ind w:left="1480" w:right="160" w:hanging="797"/>
        <w:spacing w:after="0" w:line="277" w:lineRule="auto"/>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Failover processes and procedures are required to support AT&amp;T applications and these failover processes and procedures are exercised annually (at a minimum).</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Business continuity communication documents, processes, and procedures must be readily available and current.</w:t>
      </w:r>
    </w:p>
    <w:p>
      <w:pPr>
        <w:spacing w:after="0" w:line="130" w:lineRule="exact"/>
        <w:rPr>
          <w:rFonts w:ascii="Arial" w:cs="Arial" w:eastAsia="Arial" w:hAnsi="Arial"/>
          <w:sz w:val="18"/>
          <w:szCs w:val="18"/>
          <w:color w:val="auto"/>
        </w:rPr>
      </w:pPr>
    </w:p>
    <w:p>
      <w:pPr>
        <w:ind w:left="1480" w:right="240" w:hanging="797"/>
        <w:spacing w:after="0" w:line="264" w:lineRule="auto"/>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As soon as reasonably possible after the execution of this Agreement and on an annual basis thereafter, Supplier will, at no charge to AT&amp;T, perform a security audit utilizing a reputable independent auditor, as agreed by the Parties. Such security audit shall ensure that Supplier will strictly follow these AT&amp;T Supplier Information Security Requirements.</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Requirements for Offshore Information Technology Services Requiring Elevated Rights</w:t>
      </w:r>
    </w:p>
    <w:p>
      <w:pPr>
        <w:spacing w:after="0" w:line="121"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In the event Supplier currently provides or will be providing system, database, and or network administrator/root (or privileged, super user, or the like) access to host operating systems located on AT&amp;T non-public networks in conjunction with this Agreement from an Offshore Location, then, in addition to the foregoing, the following requirements shall apply to Supplier:</w:t>
      </w:r>
    </w:p>
    <w:p>
      <w:pPr>
        <w:spacing w:after="0" w:line="87" w:lineRule="exact"/>
        <w:rPr>
          <w:sz w:val="20"/>
          <w:szCs w:val="20"/>
          <w:color w:val="auto"/>
        </w:rPr>
      </w:pPr>
    </w:p>
    <w:p>
      <w:pPr>
        <w:jc w:val="both"/>
        <w:ind w:left="1480" w:right="80" w:hanging="797"/>
        <w:spacing w:after="0" w:line="264" w:lineRule="auto"/>
        <w:tabs>
          <w:tab w:leader="none" w:pos="14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Access for privileged offshore users will be via a front-end Citrix farm that requires SecurID authentication, with front end Citrix servers located in a DMZ segment. An alternative to this is an AT&amp;T-provided Client VPN with a SecurID token used over a </w:t>
      </w:r>
      <w:r>
        <w:rPr>
          <w:rFonts w:ascii="Arial" w:cs="Arial" w:eastAsia="Arial" w:hAnsi="Arial"/>
          <w:sz w:val="18"/>
          <w:szCs w:val="18"/>
          <w:b w:val="1"/>
          <w:bCs w:val="1"/>
          <w:color w:val="auto"/>
        </w:rPr>
        <w:t>secure connection</w:t>
      </w:r>
      <w:r>
        <w:rPr>
          <w:rFonts w:ascii="Arial" w:cs="Arial" w:eastAsia="Arial" w:hAnsi="Arial"/>
          <w:sz w:val="18"/>
          <w:szCs w:val="18"/>
          <w:color w:val="auto"/>
        </w:rPr>
        <w:t xml:space="preserve"> (NOT the public Internet) as reviewed and approved by AT&amp;T’s Chief Security Office (CSO).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74"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800" w:right="280" w:hanging="797"/>
        <w:spacing w:after="0" w:line="259" w:lineRule="auto"/>
        <w:tabs>
          <w:tab w:leader="none" w:pos="8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Auditing options must be enabled on any Supplier perimeter equipment which controls access to the Supplier equipment used to do AT&amp;T work. To ensure integrity of audit log entries, all Supplier system clocks must be synchronized to the same time source. Synchronization to AT&amp;T clocks is not required. At a minimum, security audit log(s) must be automatically updated for the following system events:</w:t>
      </w:r>
    </w:p>
    <w:p>
      <w:pPr>
        <w:spacing w:after="0" w:line="92"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Successful and unsuccessful login attempts.</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Successful and unsuccessful attempts to switch to another user’s account (where applicable).</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Logoffs.</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User attempts to access files or resources outside their privilege level.</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User access to all privileged files and/or processes.</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Operating system configuration changes.</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Operating system program changes.</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All changes that can feasibly be captured, to system hardware and software.</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All security-related changes, including adding users.</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Failures for computer, program, communications, and operations.</w:t>
      </w:r>
    </w:p>
    <w:p>
      <w:pPr>
        <w:spacing w:after="0" w:line="130" w:lineRule="exact"/>
        <w:rPr>
          <w:rFonts w:ascii="Arial" w:cs="Arial" w:eastAsia="Arial" w:hAnsi="Arial"/>
          <w:sz w:val="18"/>
          <w:szCs w:val="18"/>
          <w:color w:val="auto"/>
        </w:rPr>
      </w:pPr>
    </w:p>
    <w:p>
      <w:pPr>
        <w:ind w:left="2060" w:hanging="801"/>
        <w:spacing w:after="0"/>
        <w:tabs>
          <w:tab w:leader="none" w:pos="2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Starting and stopping of audit logging.</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Security audit logs must be maintained [***] and offline for [***].</w:t>
      </w:r>
    </w:p>
    <w:p>
      <w:pPr>
        <w:spacing w:after="0" w:line="131" w:lineRule="exact"/>
        <w:rPr>
          <w:sz w:val="20"/>
          <w:szCs w:val="20"/>
          <w:color w:val="auto"/>
        </w:rPr>
      </w:pPr>
    </w:p>
    <w:p>
      <w:pPr>
        <w:ind w:left="800" w:right="180" w:hanging="797"/>
        <w:spacing w:after="0" w:line="259" w:lineRule="auto"/>
        <w:tabs>
          <w:tab w:leader="none" w:pos="8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AT&amp;T reserves the right to perform vulnerability scans and review the scanning results of Supplier systems in a pre-announced, scheduled manner on Supplier’s equipment on an AT&amp;T isolated LAN segment and Supplier Network equipment used to access AT&amp;T Networks, systems, and data or Supplier agrees to reveal to the [***] the detailed scanning findings and closure activities related to vulnerabilities found [***].</w:t>
      </w:r>
    </w:p>
    <w:p>
      <w:pPr>
        <w:spacing w:after="0" w:line="7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Information to be reported to the AT&amp;T-IT OCE would consist of at least:</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Date of discovery of vulnerability</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How it was remediated</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What was remediated</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What are the plans to remediate</w:t>
      </w:r>
    </w:p>
    <w:p>
      <w:pPr>
        <w:spacing w:after="0" w:line="130" w:lineRule="exact"/>
        <w:rPr>
          <w:rFonts w:ascii="Arial" w:cs="Arial" w:eastAsia="Arial" w:hAnsi="Arial"/>
          <w:sz w:val="18"/>
          <w:szCs w:val="18"/>
          <w:color w:val="auto"/>
        </w:rPr>
      </w:pPr>
    </w:p>
    <w:p>
      <w:pPr>
        <w:ind w:left="2040" w:hanging="781"/>
        <w:spacing w:after="0"/>
        <w:tabs>
          <w:tab w:leader="none" w:pos="20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Estimated Date of closure</w:t>
      </w:r>
    </w:p>
    <w:p>
      <w:pPr>
        <w:spacing w:after="0" w:line="131" w:lineRule="exact"/>
        <w:rPr>
          <w:sz w:val="20"/>
          <w:szCs w:val="20"/>
          <w:color w:val="auto"/>
        </w:rPr>
      </w:pPr>
    </w:p>
    <w:p>
      <w:pPr>
        <w:ind w:left="800" w:hanging="797"/>
        <w:spacing w:after="0"/>
        <w:tabs>
          <w:tab w:leader="none" w:pos="8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 Intrusion Prevention System (IPS) is required on Supplier’s data network to prevent unauthorized access.</w:t>
      </w:r>
    </w:p>
    <w:p>
      <w:pPr>
        <w:spacing w:after="0" w:line="154"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740"/>
          </w:cols>
          <w:pgMar w:left="920" w:top="274"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6"/>
          <w:szCs w:val="16"/>
          <w:b w:val="1"/>
          <w:bCs w:val="1"/>
          <w:color w:val="auto"/>
        </w:rPr>
        <w:t>Limited Offshore Remote Access (“LORA”) to AT&amp;T Systems</w:t>
      </w:r>
    </w:p>
    <w:p>
      <w:pPr>
        <w:spacing w:after="0" w:line="121" w:lineRule="exact"/>
        <w:rPr>
          <w:sz w:val="20"/>
          <w:szCs w:val="20"/>
          <w:color w:val="auto"/>
        </w:rPr>
      </w:pPr>
    </w:p>
    <w:p>
      <w:pPr>
        <w:ind w:left="700" w:right="260"/>
        <w:spacing w:after="0" w:line="264" w:lineRule="auto"/>
        <w:rPr>
          <w:sz w:val="20"/>
          <w:szCs w:val="20"/>
          <w:color w:val="auto"/>
        </w:rPr>
      </w:pPr>
      <w:r>
        <w:rPr>
          <w:rFonts w:ascii="Arial" w:cs="Arial" w:eastAsia="Arial" w:hAnsi="Arial"/>
          <w:sz w:val="18"/>
          <w:szCs w:val="18"/>
          <w:color w:val="auto"/>
        </w:rPr>
        <w:t>The following outlines the AT&amp;T requirements and procedures to which the Supplier must adhere for allowance of select pre-authorized offshore Supplier personnel to have remote access to AT&amp;T systems, for which the Supplier is already under contract with AT&amp;T to perform IT support services.</w:t>
      </w:r>
    </w:p>
    <w:p>
      <w:pPr>
        <w:spacing w:after="0" w:line="73" w:lineRule="exact"/>
        <w:rPr>
          <w:sz w:val="20"/>
          <w:szCs w:val="20"/>
          <w:color w:val="auto"/>
        </w:rPr>
      </w:pPr>
    </w:p>
    <w:p>
      <w:pPr>
        <w:ind w:left="700" w:right="100"/>
        <w:spacing w:after="0" w:line="302" w:lineRule="auto"/>
        <w:rPr>
          <w:sz w:val="20"/>
          <w:szCs w:val="20"/>
          <w:color w:val="auto"/>
        </w:rPr>
      </w:pPr>
      <w:r>
        <w:rPr>
          <w:rFonts w:ascii="Arial" w:cs="Arial" w:eastAsia="Arial" w:hAnsi="Arial"/>
          <w:sz w:val="16"/>
          <w:szCs w:val="16"/>
          <w:color w:val="auto"/>
        </w:rPr>
        <w:t>This remote access program (the “Limited Offshore Remote Access”) set forth herein defines the program requirements and how the Supplier shall work with the AT&amp;T Offshore Compliance and Enablement organization to determine if Supplier can utilize the LORA for an existing or new information technology Services engagement. Examples of engagements where AT&amp;T will consider Supplier’s request for LORA would be a Work Order where offshore Supplier personnel are required to perform after-hours work monitoring support services and access AT&amp;T data.</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 Definitions</w:t>
      </w:r>
    </w:p>
    <w:p>
      <w:pPr>
        <w:spacing w:after="0" w:line="117" w:lineRule="exact"/>
        <w:rPr>
          <w:sz w:val="20"/>
          <w:szCs w:val="20"/>
          <w:color w:val="auto"/>
        </w:rPr>
      </w:pPr>
    </w:p>
    <w:p>
      <w:pPr>
        <w:ind w:left="700" w:right="180"/>
        <w:spacing w:after="0" w:line="266" w:lineRule="auto"/>
        <w:rPr>
          <w:sz w:val="20"/>
          <w:szCs w:val="20"/>
          <w:color w:val="auto"/>
        </w:rPr>
      </w:pPr>
      <w:r>
        <w:rPr>
          <w:rFonts w:ascii="Arial" w:cs="Arial" w:eastAsia="Arial" w:hAnsi="Arial"/>
          <w:sz w:val="18"/>
          <w:szCs w:val="18"/>
          <w:b w:val="1"/>
          <w:bCs w:val="1"/>
          <w:color w:val="auto"/>
        </w:rPr>
        <w:t xml:space="preserve">AT&amp;T IT Offshore Compliance &amp; Enablement (IT OCE) </w:t>
      </w:r>
      <w:r>
        <w:rPr>
          <w:rFonts w:ascii="Arial" w:cs="Arial" w:eastAsia="Arial" w:hAnsi="Arial"/>
          <w:sz w:val="18"/>
          <w:szCs w:val="18"/>
          <w:color w:val="auto"/>
        </w:rPr>
        <w:t>– AT&amp;T Information Technology organization that manages oversight of the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Offshore Remote Access program. The IT OCE will serve as the front door and provide authorization to Supplier. IT OCE point of contact is identified below.</w:t>
      </w:r>
    </w:p>
    <w:p>
      <w:pPr>
        <w:spacing w:after="0" w:line="68"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b w:val="1"/>
          <w:bCs w:val="1"/>
          <w:color w:val="auto"/>
        </w:rPr>
        <w:t>“AT&amp;T Proprietary – Restricted Information</w:t>
      </w:r>
      <w:r>
        <w:rPr>
          <w:rFonts w:ascii="Arial" w:cs="Arial" w:eastAsia="Arial" w:hAnsi="Arial"/>
          <w:sz w:val="17"/>
          <w:szCs w:val="17"/>
          <w:color w:val="auto"/>
        </w:rPr>
        <w:t>” or “</w:t>
      </w:r>
      <w:r>
        <w:rPr>
          <w:rFonts w:ascii="Arial" w:cs="Arial" w:eastAsia="Arial" w:hAnsi="Arial"/>
          <w:sz w:val="17"/>
          <w:szCs w:val="17"/>
          <w:b w:val="1"/>
          <w:bCs w:val="1"/>
          <w:color w:val="auto"/>
        </w:rPr>
        <w:t>Restricted Information</w:t>
      </w:r>
      <w:r>
        <w:rPr>
          <w:rFonts w:ascii="Arial" w:cs="Arial" w:eastAsia="Arial" w:hAnsi="Arial"/>
          <w:sz w:val="17"/>
          <w:szCs w:val="17"/>
          <w:color w:val="auto"/>
        </w:rPr>
        <w:t>” means: any Information that has a higher level of sensitivity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must be shared only among persons with a clear business need to know; or any Information that requires a high degree of protection by law and loss or unauthorized disclosure could require notification by AT&amp;T to government agencies, individuals or law enforcement; or any Information that if revealed widely could present an increased risk of compromising computer systems, fraud, or increased likelihood of disrupting business operations. Examples of Restricted Information include, but are not limited to, unpublished financial information, designs and development plans for new or improved products, services, or processes, Customer Proprietary Network Information (CPNI), marketing information including customer contact lists, software source code for business critical applications, other companies’ confidential information that is shared with AT&amp;T under contract or an NDA, internal AT&amp;T authentication credentials (e.g., passwords, PINs and password hint answers), and security and/or network information including: logs, engineering or architecture diagrams, configuration files, firewall rules, security incident reports, and vulnerability information.</w:t>
      </w:r>
    </w:p>
    <w:p>
      <w:pPr>
        <w:spacing w:after="0" w:line="70" w:lineRule="exact"/>
        <w:rPr>
          <w:sz w:val="20"/>
          <w:szCs w:val="20"/>
          <w:color w:val="auto"/>
        </w:rPr>
      </w:pPr>
    </w:p>
    <w:p>
      <w:pPr>
        <w:ind w:left="700" w:right="360"/>
        <w:spacing w:after="0" w:line="347" w:lineRule="auto"/>
        <w:rPr>
          <w:sz w:val="20"/>
          <w:szCs w:val="20"/>
          <w:color w:val="auto"/>
        </w:rPr>
      </w:pPr>
      <w:r>
        <w:rPr>
          <w:rFonts w:ascii="Arial" w:cs="Arial" w:eastAsia="Arial" w:hAnsi="Arial"/>
          <w:sz w:val="16"/>
          <w:szCs w:val="16"/>
          <w:b w:val="1"/>
          <w:bCs w:val="1"/>
          <w:color w:val="auto"/>
        </w:rPr>
        <w:t>Limited Offshore Remote Access (“LORA”)</w:t>
      </w:r>
      <w:r>
        <w:rPr>
          <w:rFonts w:ascii="Arial" w:cs="Arial" w:eastAsia="Arial" w:hAnsi="Arial"/>
          <w:sz w:val="16"/>
          <w:szCs w:val="16"/>
          <w:color w:val="auto"/>
        </w:rPr>
        <w:t>—the ability, with prior AT&amp;T IT OCE approval, for an Offshore Supplier resource to connect to</w:t>
      </w:r>
      <w:r>
        <w:rPr>
          <w:rFonts w:ascii="Arial" w:cs="Arial" w:eastAsia="Arial" w:hAnsi="Arial"/>
          <w:sz w:val="16"/>
          <w:szCs w:val="16"/>
          <w:b w:val="1"/>
          <w:bCs w:val="1"/>
          <w:color w:val="auto"/>
        </w:rPr>
        <w:t xml:space="preserve"> </w:t>
      </w:r>
      <w:r>
        <w:rPr>
          <w:rFonts w:ascii="Arial" w:cs="Arial" w:eastAsia="Arial" w:hAnsi="Arial"/>
          <w:sz w:val="16"/>
          <w:szCs w:val="16"/>
          <w:color w:val="auto"/>
        </w:rPr>
        <w:t>AT&amp;T systems via AT&amp;T client VPN from their Resource Home Location for the purposes of completing contracted work for AT&amp;T.</w:t>
      </w:r>
    </w:p>
    <w:p>
      <w:pPr>
        <w:spacing w:after="0" w:line="8" w:lineRule="exact"/>
        <w:rPr>
          <w:sz w:val="20"/>
          <w:szCs w:val="20"/>
          <w:color w:val="auto"/>
        </w:rPr>
      </w:pPr>
    </w:p>
    <w:p>
      <w:pPr>
        <w:ind w:left="700" w:right="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Remote Access Laptop</w:t>
      </w:r>
      <w:r>
        <w:rPr>
          <w:rFonts w:ascii="Arial" w:cs="Arial" w:eastAsia="Arial" w:hAnsi="Arial"/>
          <w:sz w:val="16"/>
          <w:szCs w:val="16"/>
          <w:color w:val="auto"/>
        </w:rPr>
        <w:t xml:space="preserve">”- limited in use by Amdocs Offshore resources that require a laptop to perform their day-to-day duties, who support the AT&amp;T account, from the Amdocs facility, Resource Home Location or travel. There will be no transfer of or storage of SPI and </w:t>
      </w:r>
      <w:r>
        <w:rPr>
          <w:rFonts w:ascii="Arial" w:cs="Arial" w:eastAsia="Arial" w:hAnsi="Arial"/>
          <w:sz w:val="16"/>
          <w:szCs w:val="16"/>
          <w:b w:val="1"/>
          <w:bCs w:val="1"/>
          <w:color w:val="auto"/>
        </w:rPr>
        <w:t>AT&amp;T Proprietary</w:t>
      </w:r>
    </w:p>
    <w:p>
      <w:pPr>
        <w:spacing w:after="0" w:line="1" w:lineRule="exact"/>
        <w:rPr>
          <w:sz w:val="20"/>
          <w:szCs w:val="20"/>
          <w:color w:val="auto"/>
        </w:rPr>
      </w:pPr>
    </w:p>
    <w:p>
      <w:pPr>
        <w:ind w:left="700" w:right="520"/>
        <w:spacing w:after="0" w:line="261" w:lineRule="auto"/>
        <w:rPr>
          <w:sz w:val="20"/>
          <w:szCs w:val="20"/>
          <w:color w:val="auto"/>
        </w:rPr>
      </w:pPr>
      <w:r>
        <w:rPr>
          <w:rFonts w:ascii="Arial" w:cs="Arial" w:eastAsia="Arial" w:hAnsi="Arial"/>
          <w:sz w:val="18"/>
          <w:szCs w:val="18"/>
          <w:b w:val="1"/>
          <w:bCs w:val="1"/>
          <w:color w:val="auto"/>
        </w:rPr>
        <w:t xml:space="preserve">– Restricted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Restricted Information </w:t>
      </w:r>
      <w:r>
        <w:rPr>
          <w:rFonts w:ascii="Arial" w:cs="Arial" w:eastAsia="Arial" w:hAnsi="Arial"/>
          <w:sz w:val="18"/>
          <w:szCs w:val="18"/>
          <w:color w:val="auto"/>
        </w:rPr>
        <w:t>on this device. For clarity the only access to SPI and</w:t>
      </w:r>
      <w:r>
        <w:rPr>
          <w:rFonts w:ascii="Arial" w:cs="Arial" w:eastAsia="Arial" w:hAnsi="Arial"/>
          <w:sz w:val="18"/>
          <w:szCs w:val="18"/>
          <w:b w:val="1"/>
          <w:bCs w:val="1"/>
          <w:color w:val="auto"/>
        </w:rPr>
        <w:t xml:space="preserve"> AT&amp;T Proprietary – Restricted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Restricted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74" w:right="239" w:bottom="1440" w:gutter="0" w:footer="0" w:header="0"/>
        </w:sectPr>
      </w:pPr>
    </w:p>
    <w:bookmarkStart w:id="244" w:name="page245"/>
    <w:bookmarkEnd w:id="244"/>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Information </w:t>
      </w:r>
      <w:r>
        <w:rPr>
          <w:rFonts w:ascii="Arial" w:cs="Arial" w:eastAsia="Arial" w:hAnsi="Arial"/>
          <w:sz w:val="18"/>
          <w:szCs w:val="18"/>
          <w:color w:val="auto"/>
        </w:rPr>
        <w:t>will be as defined in Article II #3 below, “</w:t>
      </w:r>
      <w:r>
        <w:rPr>
          <w:rFonts w:ascii="Arial" w:cs="Arial" w:eastAsia="Arial" w:hAnsi="Arial"/>
          <w:sz w:val="18"/>
          <w:szCs w:val="18"/>
          <w:b w:val="1"/>
          <w:bCs w:val="1"/>
          <w:color w:val="auto"/>
        </w:rPr>
        <w:t>Remote Access Laptop with AT&amp;T Data other than SPI</w:t>
      </w:r>
      <w:r>
        <w:rPr>
          <w:rFonts w:ascii="Arial" w:cs="Arial" w:eastAsia="Arial" w:hAnsi="Arial"/>
          <w:sz w:val="18"/>
          <w:szCs w:val="18"/>
          <w:color w:val="auto"/>
        </w:rPr>
        <w:t>”.</w:t>
      </w:r>
    </w:p>
    <w:p>
      <w:pPr>
        <w:spacing w:after="0" w:line="117"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b w:val="1"/>
          <w:bCs w:val="1"/>
          <w:color w:val="auto"/>
        </w:rPr>
        <w:t xml:space="preserve">Resource Home Location </w:t>
      </w:r>
      <w:r>
        <w:rPr>
          <w:rFonts w:ascii="Arial" w:cs="Arial" w:eastAsia="Arial" w:hAnsi="Arial"/>
          <w:sz w:val="18"/>
          <w:szCs w:val="18"/>
          <w:color w:val="auto"/>
        </w:rPr>
        <w:t>– The home residence of a Supplier resource. Each approved Supplier resource can have LORA from only one Resource</w:t>
      </w:r>
      <w:r>
        <w:rPr>
          <w:rFonts w:ascii="Arial" w:cs="Arial" w:eastAsia="Arial" w:hAnsi="Arial"/>
          <w:sz w:val="18"/>
          <w:szCs w:val="18"/>
          <w:b w:val="1"/>
          <w:bCs w:val="1"/>
          <w:color w:val="auto"/>
        </w:rPr>
        <w:t xml:space="preserve"> </w:t>
      </w:r>
      <w:r>
        <w:rPr>
          <w:rFonts w:ascii="Arial" w:cs="Arial" w:eastAsia="Arial" w:hAnsi="Arial"/>
          <w:sz w:val="18"/>
          <w:szCs w:val="18"/>
          <w:color w:val="auto"/>
        </w:rPr>
        <w:t>Home Location.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Controlled and Audited Supplier Facility </w:t>
      </w:r>
      <w:r>
        <w:rPr>
          <w:rFonts w:ascii="Arial" w:cs="Arial" w:eastAsia="Arial" w:hAnsi="Arial"/>
          <w:sz w:val="16"/>
          <w:szCs w:val="16"/>
          <w:color w:val="auto"/>
        </w:rPr>
        <w:t>– The designated offshore Supplier work location, which is governed by controls specified by AT&amp;T.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is the Supplier resource’s primary work location.</w:t>
      </w:r>
    </w:p>
    <w:p>
      <w:pPr>
        <w:spacing w:after="0" w:line="99"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 xml:space="preserve">Remote Access Solution </w:t>
      </w:r>
      <w:r>
        <w:rPr>
          <w:rFonts w:ascii="Arial" w:cs="Arial" w:eastAsia="Arial" w:hAnsi="Arial"/>
          <w:sz w:val="18"/>
          <w:szCs w:val="18"/>
          <w:color w:val="auto"/>
        </w:rPr>
        <w:t>– From the Resource Home Location, an approved Supplier resource will use a Remote Access Laptop/Desktop to connect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AT&amp;T Secure VPN Gateway.</w:t>
      </w:r>
    </w:p>
    <w:p>
      <w:pPr>
        <w:spacing w:after="0" w:line="54" w:lineRule="exact"/>
        <w:rPr>
          <w:sz w:val="20"/>
          <w:szCs w:val="20"/>
          <w:color w:val="auto"/>
        </w:rPr>
      </w:pPr>
    </w:p>
    <w:p>
      <w:pPr>
        <w:ind w:left="20" w:right="240"/>
        <w:spacing w:after="0" w:line="282" w:lineRule="auto"/>
        <w:rPr>
          <w:sz w:val="20"/>
          <w:szCs w:val="20"/>
          <w:color w:val="auto"/>
        </w:rPr>
      </w:pPr>
      <w:r>
        <w:rPr>
          <w:rFonts w:ascii="Arial" w:cs="Arial" w:eastAsia="Arial" w:hAnsi="Arial"/>
          <w:sz w:val="18"/>
          <w:szCs w:val="18"/>
          <w:b w:val="1"/>
          <w:bCs w:val="1"/>
          <w:color w:val="auto"/>
        </w:rPr>
        <w:t xml:space="preserve">Permanent Workstation/Virtual Workstation </w:t>
      </w:r>
      <w:r>
        <w:rPr>
          <w:rFonts w:ascii="Arial" w:cs="Arial" w:eastAsia="Arial" w:hAnsi="Arial"/>
          <w:sz w:val="18"/>
          <w:szCs w:val="18"/>
          <w:color w:val="auto"/>
        </w:rPr>
        <w:t>A laptop or desktop located in a controlled and audited Supplier facility that is used to access the</w:t>
      </w:r>
      <w:r>
        <w:rPr>
          <w:rFonts w:ascii="Arial" w:cs="Arial" w:eastAsia="Arial" w:hAnsi="Arial"/>
          <w:sz w:val="18"/>
          <w:szCs w:val="18"/>
          <w:b w:val="1"/>
          <w:bCs w:val="1"/>
          <w:color w:val="auto"/>
        </w:rPr>
        <w:t xml:space="preserve"> </w:t>
      </w:r>
      <w:r>
        <w:rPr>
          <w:rFonts w:ascii="Arial" w:cs="Arial" w:eastAsia="Arial" w:hAnsi="Arial"/>
          <w:sz w:val="18"/>
          <w:szCs w:val="18"/>
          <w:color w:val="auto"/>
        </w:rPr>
        <w:t>AT&amp;T network for contracted services.</w:t>
      </w:r>
    </w:p>
    <w:p>
      <w:pPr>
        <w:spacing w:after="0" w:line="54" w:lineRule="exact"/>
        <w:rPr>
          <w:sz w:val="20"/>
          <w:szCs w:val="20"/>
          <w:color w:val="auto"/>
        </w:rPr>
      </w:pPr>
    </w:p>
    <w:p>
      <w:pPr>
        <w:ind w:left="240" w:hanging="227"/>
        <w:spacing w:after="0"/>
        <w:tabs>
          <w:tab w:leader="none" w:pos="240" w:val="left"/>
        </w:tabs>
        <w:numPr>
          <w:ilvl w:val="1"/>
          <w:numId w:val="29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LORA requirements:</w:t>
      </w:r>
    </w:p>
    <w:p>
      <w:pPr>
        <w:spacing w:after="0" w:line="130" w:lineRule="exact"/>
        <w:rPr>
          <w:rFonts w:ascii="Arial" w:cs="Arial" w:eastAsia="Arial" w:hAnsi="Arial"/>
          <w:sz w:val="18"/>
          <w:szCs w:val="18"/>
          <w:b w:val="1"/>
          <w:bCs w:val="1"/>
          <w:u w:val="single" w:color="auto"/>
          <w:color w:val="auto"/>
        </w:rPr>
      </w:pPr>
    </w:p>
    <w:p>
      <w:pPr>
        <w:ind w:left="800" w:hanging="797"/>
        <w:spacing w:after="0"/>
        <w:tabs>
          <w:tab w:leader="none" w:pos="800"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 Supplier shall adhere to the following:</w:t>
      </w:r>
    </w:p>
    <w:p>
      <w:pPr>
        <w:spacing w:after="0" w:line="134" w:lineRule="exact"/>
        <w:rPr>
          <w:rFonts w:ascii="Arial" w:cs="Arial" w:eastAsia="Arial" w:hAnsi="Arial"/>
          <w:sz w:val="18"/>
          <w:szCs w:val="18"/>
          <w:color w:val="auto"/>
        </w:rPr>
      </w:pPr>
    </w:p>
    <w:p>
      <w:pPr>
        <w:ind w:left="1480" w:right="100" w:hanging="680"/>
        <w:spacing w:after="0" w:line="277" w:lineRule="auto"/>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Each individual LORA user shall be reviewed and either approved or denied [***] from receipt of written request to the AT&amp;T IT Offshore Compliance &amp; Enablement (IT OCE).</w:t>
      </w:r>
    </w:p>
    <w:p>
      <w:pPr>
        <w:spacing w:after="0" w:line="75" w:lineRule="exact"/>
        <w:rPr>
          <w:rFonts w:ascii="Arial" w:cs="Arial" w:eastAsia="Arial" w:hAnsi="Arial"/>
          <w:sz w:val="18"/>
          <w:szCs w:val="18"/>
          <w:color w:val="auto"/>
        </w:rPr>
      </w:pPr>
    </w:p>
    <w:p>
      <w:pPr>
        <w:ind w:left="1480" w:right="320" w:hanging="680"/>
        <w:spacing w:after="0" w:line="277" w:lineRule="auto"/>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Each individual LORA request must be linked with a specific statement of work covered under an existing or pending Work Order issued under a current Master Agreement between AT&amp;T and the Supplier.</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Supplier is to maintain a history log of all requests for LORA.</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Supplier is to submit all new LORA requests to IT OCE, in a format specified by AT&amp;T.</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The IT OCE Sr. Technical Director or equivalent will approve or deny each request.</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2"/>
          <w:numId w:val="293"/>
        </w:numPr>
        <w:rPr>
          <w:rFonts w:ascii="Arial" w:cs="Arial" w:eastAsia="Arial" w:hAnsi="Arial"/>
          <w:sz w:val="17"/>
          <w:szCs w:val="17"/>
          <w:color w:val="auto"/>
        </w:rPr>
      </w:pPr>
      <w:r>
        <w:rPr>
          <w:rFonts w:ascii="Arial" w:cs="Arial" w:eastAsia="Arial" w:hAnsi="Arial"/>
          <w:sz w:val="17"/>
          <w:szCs w:val="17"/>
          <w:color w:val="auto"/>
        </w:rPr>
        <w:t>[***] is the AT&amp;T IT OCE interface at the time of this document being implemented. This is subject to change by AT&amp;T.</w:t>
      </w:r>
    </w:p>
    <w:p>
      <w:pPr>
        <w:spacing w:after="0" w:line="142" w:lineRule="exact"/>
        <w:rPr>
          <w:rFonts w:ascii="Arial" w:cs="Arial" w:eastAsia="Arial" w:hAnsi="Arial"/>
          <w:sz w:val="17"/>
          <w:szCs w:val="17"/>
          <w:color w:val="auto"/>
        </w:rPr>
      </w:pPr>
    </w:p>
    <w:p>
      <w:pPr>
        <w:ind w:left="1480" w:right="120" w:hanging="680"/>
        <w:spacing w:after="0" w:line="277" w:lineRule="auto"/>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Supplier may also request AT&amp;T IT OCE approval for temporary remote access from a location other than the Resource Home Location.</w:t>
      </w:r>
    </w:p>
    <w:p>
      <w:pPr>
        <w:spacing w:after="0" w:line="75" w:lineRule="exact"/>
        <w:rPr>
          <w:rFonts w:ascii="Arial" w:cs="Arial" w:eastAsia="Arial" w:hAnsi="Arial"/>
          <w:sz w:val="18"/>
          <w:szCs w:val="18"/>
          <w:color w:val="auto"/>
        </w:rPr>
      </w:pPr>
    </w:p>
    <w:p>
      <w:pPr>
        <w:ind w:left="1480" w:right="320" w:hanging="680"/>
        <w:spacing w:after="0" w:line="264" w:lineRule="auto"/>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Resource Home Location shall be subject to voluntary inspection /verification, as agreed upon by the Parties, by Supplier or AT&amp;T representative if AT&amp;T information/resource is present. The Supplier resource must notify AT&amp;T/Supplier of any changes in Resource Home Location.</w:t>
      </w:r>
    </w:p>
    <w:p>
      <w:pPr>
        <w:spacing w:after="0" w:line="86" w:lineRule="exact"/>
        <w:rPr>
          <w:rFonts w:ascii="Arial" w:cs="Arial" w:eastAsia="Arial" w:hAnsi="Arial"/>
          <w:sz w:val="18"/>
          <w:szCs w:val="18"/>
          <w:color w:val="auto"/>
        </w:rPr>
      </w:pPr>
    </w:p>
    <w:p>
      <w:pPr>
        <w:ind w:left="1480" w:right="100" w:hanging="680"/>
        <w:spacing w:after="0" w:line="277" w:lineRule="auto"/>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Amdocs will notify AT&amp;T immediately upon an Amdocs resource’s change in status that would no longer require them to have LORA.</w:t>
      </w:r>
    </w:p>
    <w:p>
      <w:pPr>
        <w:spacing w:after="0" w:line="75" w:lineRule="exact"/>
        <w:rPr>
          <w:rFonts w:ascii="Arial" w:cs="Arial" w:eastAsia="Arial" w:hAnsi="Arial"/>
          <w:sz w:val="18"/>
          <w:szCs w:val="18"/>
          <w:color w:val="auto"/>
        </w:rPr>
      </w:pPr>
    </w:p>
    <w:p>
      <w:pPr>
        <w:ind w:left="800" w:right="80" w:hanging="797"/>
        <w:spacing w:after="0" w:line="277" w:lineRule="auto"/>
        <w:tabs>
          <w:tab w:leader="none" w:pos="8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and immediately upon approval, all offshore Supplier personnel approved for LORA must complete Supplier-provided compliance training, which shall include but not be limited to:</w:t>
      </w:r>
    </w:p>
    <w:p>
      <w:pPr>
        <w:spacing w:after="0" w:line="75" w:lineRule="exact"/>
        <w:rPr>
          <w:rFonts w:ascii="Arial" w:cs="Arial" w:eastAsia="Arial" w:hAnsi="Arial"/>
          <w:sz w:val="18"/>
          <w:szCs w:val="18"/>
          <w:color w:val="auto"/>
        </w:rPr>
      </w:pPr>
    </w:p>
    <w:p>
      <w:pPr>
        <w:ind w:left="1480" w:right="80" w:hanging="680"/>
        <w:spacing w:after="0" w:line="259" w:lineRule="auto"/>
        <w:tabs>
          <w:tab w:leader="none" w:pos="1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A review of all of the requirements outlined in this Agreement that pertain to the end-users of the Remote Access Solution. The review shall include but not be limited to: the use of the Remote Access Solution from only a single Resource Home Location; the Remote Access Laptop theft/loss reporting requirements; and the prohibition of the use of the Remote Access Solution for anything other than responding to on-call situations.</w:t>
      </w:r>
    </w:p>
    <w:p>
      <w:pPr>
        <w:spacing w:after="0" w:line="11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740"/>
          </w:cols>
          <w:pgMar w:left="920" w:top="274"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hanging="680"/>
        <w:spacing w:after="0"/>
        <w:tabs>
          <w:tab w:leader="none" w:pos="148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Review of the following guidelines: </w:t>
      </w:r>
      <w:r>
        <w:rPr>
          <w:rFonts w:ascii="Arial" w:cs="Arial" w:eastAsia="Arial" w:hAnsi="Arial"/>
          <w:sz w:val="17"/>
          <w:szCs w:val="17"/>
          <w:u w:val="single" w:color="auto"/>
          <w:color w:val="auto"/>
        </w:rPr>
        <w:t>https://spsf05.web.att.com/sites/AssetProtection/APO/Investigations/LaptopThefts.aspx.</w:t>
      </w:r>
    </w:p>
    <w:p>
      <w:pPr>
        <w:spacing w:after="0" w:line="142" w:lineRule="exact"/>
        <w:rPr>
          <w:rFonts w:ascii="Arial" w:cs="Arial" w:eastAsia="Arial" w:hAnsi="Arial"/>
          <w:sz w:val="17"/>
          <w:szCs w:val="17"/>
          <w:color w:val="auto"/>
        </w:rPr>
      </w:pPr>
    </w:p>
    <w:p>
      <w:pPr>
        <w:ind w:left="1480" w:right="140" w:hanging="680"/>
        <w:spacing w:after="0" w:line="277" w:lineRule="auto"/>
        <w:tabs>
          <w:tab w:leader="none" w:pos="14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Upon AT&amp;T request, Supplier shall provide to the AT&amp;T IT Offshore Compliance &amp; Enablement (IT OCE) team confirmation that the above training has been completed annually and upon LORA approvals.</w:t>
      </w:r>
    </w:p>
    <w:p>
      <w:pPr>
        <w:spacing w:after="0" w:line="71" w:lineRule="exact"/>
        <w:rPr>
          <w:rFonts w:ascii="Arial" w:cs="Arial" w:eastAsia="Arial" w:hAnsi="Arial"/>
          <w:sz w:val="18"/>
          <w:szCs w:val="18"/>
          <w:color w:val="auto"/>
        </w:rPr>
      </w:pPr>
    </w:p>
    <w:p>
      <w:pPr>
        <w:ind w:left="800" w:right="560" w:hanging="797"/>
        <w:spacing w:after="0" w:line="282" w:lineRule="auto"/>
        <w:tabs>
          <w:tab w:leader="none" w:pos="800"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 xml:space="preserve">Remote Access Laptop with AT&amp;T Data other than SPI or </w:t>
      </w:r>
      <w:r>
        <w:rPr>
          <w:rFonts w:ascii="Arial" w:cs="Arial" w:eastAsia="Arial" w:hAnsi="Arial"/>
          <w:sz w:val="18"/>
          <w:szCs w:val="18"/>
          <w:color w:val="auto"/>
        </w:rPr>
        <w:t>AT&amp;T Proprietary – Restricted Information (“APRI”) or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(“RI”) </w:t>
      </w:r>
      <w:r>
        <w:rPr>
          <w:rFonts w:ascii="Arial" w:cs="Arial" w:eastAsia="Arial" w:hAnsi="Arial"/>
          <w:sz w:val="18"/>
          <w:szCs w:val="18"/>
          <w:b w:val="1"/>
          <w:bCs w:val="1"/>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208915</wp:posOffset>
            </wp:positionV>
            <wp:extent cx="5600065" cy="14751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560006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Supplier shall adhere to the following:</w:t>
      </w:r>
    </w:p>
    <w:p>
      <w:pPr>
        <w:spacing w:after="0" w:line="131" w:lineRule="exact"/>
        <w:rPr>
          <w:sz w:val="20"/>
          <w:szCs w:val="20"/>
          <w:color w:val="auto"/>
        </w:rPr>
      </w:pPr>
    </w:p>
    <w:p>
      <w:pPr>
        <w:ind w:left="1480" w:right="20" w:hanging="680"/>
        <w:spacing w:after="0" w:line="277" w:lineRule="auto"/>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Supplier shall designate, provide and support the Remote Access Laptop to be used from the Resource Home Location, Amdocs Facility and travel.</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Remote Access Laptop shall have anti-virus and firewall software installed and operating.</w:t>
      </w:r>
    </w:p>
    <w:p>
      <w:pPr>
        <w:spacing w:after="0" w:line="130" w:lineRule="exact"/>
        <w:rPr>
          <w:rFonts w:ascii="Arial" w:cs="Arial" w:eastAsia="Arial" w:hAnsi="Arial"/>
          <w:sz w:val="18"/>
          <w:szCs w:val="18"/>
          <w:color w:val="auto"/>
        </w:rPr>
      </w:pPr>
    </w:p>
    <w:p>
      <w:pPr>
        <w:ind w:left="1480" w:right="480" w:hanging="680"/>
        <w:spacing w:after="0" w:line="312" w:lineRule="auto"/>
        <w:tabs>
          <w:tab w:leader="none" w:pos="14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configuration file that controls these settings required for LORA shall be read only for the user and editable only by authorized domain administrators (e.g., settings that control full hard drive encryption, antivirus and [***], for application installations) or resources approved for LORA shall not have administrator rights on the Remote Access Laptop.</w:t>
      </w:r>
    </w:p>
    <w:p>
      <w:pPr>
        <w:spacing w:after="0" w:line="52" w:lineRule="exact"/>
        <w:rPr>
          <w:rFonts w:ascii="Arial" w:cs="Arial" w:eastAsia="Arial" w:hAnsi="Arial"/>
          <w:sz w:val="16"/>
          <w:szCs w:val="16"/>
          <w:color w:val="auto"/>
        </w:rPr>
      </w:pPr>
    </w:p>
    <w:p>
      <w:pPr>
        <w:ind w:left="1480" w:right="20" w:hanging="680"/>
        <w:spacing w:after="0" w:line="259" w:lineRule="auto"/>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Remote Access Laptop shall have a full hard drive encryption solution, such as [***], installed and operating, with all data encrypted as long as the laptop is “locked” (screensaver has turned on) or the Remote Access Laptop is shut down. The configuration file that controls the above settings shall be read only for the user and editable only by authorized domain administrators.</w:t>
      </w:r>
    </w:p>
    <w:p>
      <w:pPr>
        <w:spacing w:after="0" w:line="92" w:lineRule="exact"/>
        <w:rPr>
          <w:rFonts w:ascii="Arial" w:cs="Arial" w:eastAsia="Arial" w:hAnsi="Arial"/>
          <w:sz w:val="18"/>
          <w:szCs w:val="18"/>
          <w:color w:val="auto"/>
        </w:rPr>
      </w:pPr>
    </w:p>
    <w:p>
      <w:pPr>
        <w:jc w:val="both"/>
        <w:ind w:left="1480" w:right="20" w:hanging="680"/>
        <w:spacing w:after="0" w:line="259" w:lineRule="auto"/>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Remote Access Laptops with no [***] software or equivalent product installed must require both a password and biometric (i.e., thumb print scan) authentication for both logging into the device and “unlocking” the device (gaining control of the device after the screensaver has turned on). The configuration file that controls the above settings shall be read only for the user and editable only by authorized domain administrators.</w:t>
      </w:r>
    </w:p>
    <w:p>
      <w:pPr>
        <w:spacing w:after="0" w:line="92" w:lineRule="exact"/>
        <w:rPr>
          <w:rFonts w:ascii="Arial" w:cs="Arial" w:eastAsia="Arial" w:hAnsi="Arial"/>
          <w:sz w:val="18"/>
          <w:szCs w:val="18"/>
          <w:color w:val="auto"/>
        </w:rPr>
      </w:pPr>
    </w:p>
    <w:p>
      <w:pPr>
        <w:ind w:left="1480" w:right="480" w:hanging="680"/>
        <w:spacing w:after="0" w:line="264" w:lineRule="auto"/>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Password and/or biometric-protected screensavers must be set with the inactivity timeout set to [***] minutes or less. The configuration file that controls the above settings shall be read only for the user and editable only by authorized domain administrators.</w:t>
      </w:r>
    </w:p>
    <w:p>
      <w:pPr>
        <w:spacing w:after="0" w:line="86" w:lineRule="exact"/>
        <w:rPr>
          <w:rFonts w:ascii="Arial" w:cs="Arial" w:eastAsia="Arial" w:hAnsi="Arial"/>
          <w:sz w:val="18"/>
          <w:szCs w:val="18"/>
          <w:color w:val="auto"/>
        </w:rPr>
      </w:pPr>
    </w:p>
    <w:p>
      <w:pPr>
        <w:ind w:left="1480" w:right="60" w:hanging="680"/>
        <w:spacing w:after="0" w:line="286" w:lineRule="auto"/>
        <w:tabs>
          <w:tab w:leader="none" w:pos="148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Each Remote Access Laptop shall have the [***] or equivalent product installed and operating, with the configuration file that controls the above settings set to be read only for the user and editable only by authorized domain administrators. Supplier shall initiate the [***] or equivalent data wipe process for all lost or stolen laptops within [***] of the</w:t>
      </w:r>
    </w:p>
    <w:p>
      <w:pPr>
        <w:spacing w:after="0" w:line="94"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740"/>
          </w:cols>
          <w:pgMar w:left="920" w:top="274" w:right="239" w:bottom="1440" w:gutter="0" w:footer="0" w:header="0"/>
        </w:sectPr>
      </w:pPr>
    </w:p>
    <w:bookmarkStart w:id="246" w:name="page247"/>
    <w:bookmarkEnd w:id="246"/>
    <w:p>
      <w:pPr>
        <w:ind w:left="7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1480" w:right="40"/>
        <w:spacing w:after="0" w:line="273" w:lineRule="auto"/>
        <w:rPr>
          <w:sz w:val="20"/>
          <w:szCs w:val="20"/>
          <w:color w:val="auto"/>
        </w:rPr>
      </w:pPr>
      <w:r>
        <w:rPr>
          <w:rFonts w:ascii="Arial" w:cs="Arial" w:eastAsia="Arial" w:hAnsi="Arial"/>
          <w:sz w:val="17"/>
          <w:szCs w:val="17"/>
          <w:color w:val="auto"/>
        </w:rPr>
        <w:t>reported theft or loss of a Remote Access Laptop. Supplier is to notify AT&amp;T at [***] of a lost or stolen Remote Access Laptop within [***], including in such notification a description of AT&amp;T information that was on the Remote Access Laptop. Supplier shall provide full and proactive cooperation with any investigation related to AT&amp;T. In addition to Amdocs’ obligation to indemnify , in the event of such a loss of equipment, if it is determined that the lost equipment included personnel Information (personal data such as HR information, SSN, address, etc.) and the Supplier has failed to comply with the provisions of subsections b, c, d, e, and f, above the Supplier shall provide[***].</w:t>
      </w:r>
    </w:p>
    <w:p>
      <w:pPr>
        <w:spacing w:after="0" w:line="84" w:lineRule="exact"/>
        <w:rPr>
          <w:sz w:val="20"/>
          <w:szCs w:val="20"/>
          <w:color w:val="auto"/>
        </w:rPr>
      </w:pPr>
    </w:p>
    <w:p>
      <w:pPr>
        <w:ind w:left="1480" w:hanging="680"/>
        <w:spacing w:after="0"/>
        <w:tabs>
          <w:tab w:leader="none" w:pos="148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Each Remote Access Laptop shall only be able to connect to [***] network at any one time.</w:t>
      </w:r>
    </w:p>
    <w:p>
      <w:pPr>
        <w:spacing w:after="0" w:line="130" w:lineRule="exact"/>
        <w:rPr>
          <w:rFonts w:ascii="Arial" w:cs="Arial" w:eastAsia="Arial" w:hAnsi="Arial"/>
          <w:sz w:val="18"/>
          <w:szCs w:val="18"/>
          <w:color w:val="auto"/>
        </w:rPr>
      </w:pPr>
    </w:p>
    <w:p>
      <w:pPr>
        <w:ind w:left="1480" w:right="100" w:hanging="680"/>
        <w:spacing w:after="0" w:line="264" w:lineRule="auto"/>
        <w:tabs>
          <w:tab w:leader="none" w:pos="148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Remote Access Laptops shall use either (i) a VPN connection to AT&amp;T through AT&amp;T’s approved Client VPN or (ii) another VPN connection to connect to the Supplier’s corporate network. The Remote Access Laptop may not use both (i) and (ii) at the same time or any other connection method(s).</w:t>
      </w:r>
    </w:p>
    <w:p>
      <w:pPr>
        <w:spacing w:after="0" w:line="86" w:lineRule="exact"/>
        <w:rPr>
          <w:rFonts w:ascii="Arial" w:cs="Arial" w:eastAsia="Arial" w:hAnsi="Arial"/>
          <w:sz w:val="18"/>
          <w:szCs w:val="18"/>
          <w:color w:val="auto"/>
        </w:rPr>
      </w:pPr>
    </w:p>
    <w:p>
      <w:pPr>
        <w:ind w:left="1480" w:right="40" w:hanging="680"/>
        <w:spacing w:after="0" w:line="302" w:lineRule="auto"/>
        <w:tabs>
          <w:tab w:leader="none" w:pos="148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The data and voice connection in the Resource Home Location and all associated costs shall be provided by the Supplier per the Supplier’s policy and will be either a wired or wireless connection. AT&amp;T will not be required to cover the charges for data and voice connections in the Resource Home Locations. Wired data connections are preferred. However, if the connection is wireless (e.g., WIFI or cellular wireless connection), the connection must be encrypted and adequately secured.</w:t>
      </w:r>
    </w:p>
    <w:p>
      <w:pPr>
        <w:spacing w:after="0" w:line="59" w:lineRule="exact"/>
        <w:rPr>
          <w:rFonts w:ascii="Arial" w:cs="Arial" w:eastAsia="Arial" w:hAnsi="Arial"/>
          <w:sz w:val="16"/>
          <w:szCs w:val="16"/>
          <w:color w:val="auto"/>
        </w:rPr>
      </w:pPr>
    </w:p>
    <w:p>
      <w:pPr>
        <w:ind w:left="1480" w:hanging="680"/>
        <w:spacing w:after="0"/>
        <w:tabs>
          <w:tab w:leader="none" w:pos="148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Supplier resources shall be notified of the restriction that AT&amp;T Data may not be downloaded and taken offsite.</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Except where expressly stated, all aforementioned software and hardware shall be provided by the Supplier.</w:t>
      </w:r>
    </w:p>
    <w:p>
      <w:pPr>
        <w:spacing w:after="0" w:line="130" w:lineRule="exact"/>
        <w:rPr>
          <w:rFonts w:ascii="Arial" w:cs="Arial" w:eastAsia="Arial" w:hAnsi="Arial"/>
          <w:sz w:val="18"/>
          <w:szCs w:val="18"/>
          <w:color w:val="auto"/>
        </w:rPr>
      </w:pPr>
    </w:p>
    <w:p>
      <w:pPr>
        <w:ind w:left="1480" w:right="180" w:hanging="680"/>
        <w:spacing w:after="0" w:line="342" w:lineRule="auto"/>
        <w:tabs>
          <w:tab w:leader="none" w:pos="148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Security audit logs shall be maintained by the Supplier to track system events, including login attempts, user sessions, logoffs, configuration changes, and other pertinent events and data. Logs shall be retained online for [***] and offline for [***].</w:t>
      </w:r>
    </w:p>
    <w:p>
      <w:pPr>
        <w:spacing w:after="0" w:line="29" w:lineRule="exact"/>
        <w:rPr>
          <w:rFonts w:ascii="Arial" w:cs="Arial" w:eastAsia="Arial" w:hAnsi="Arial"/>
          <w:sz w:val="16"/>
          <w:szCs w:val="16"/>
          <w:color w:val="auto"/>
        </w:rPr>
      </w:pPr>
    </w:p>
    <w:p>
      <w:pPr>
        <w:ind w:left="1480" w:right="80" w:hanging="680"/>
        <w:spacing w:after="0" w:line="342" w:lineRule="auto"/>
        <w:tabs>
          <w:tab w:leader="none" w:pos="148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At all times, the Remote Access Laptop shall be kept in the possession of either the AT&amp;T-approved offshore Supplier resource to whom Supplier has assigned the device or Supplier personnel that are responsible for administering the LORA.</w:t>
      </w:r>
    </w:p>
    <w:p>
      <w:pPr>
        <w:spacing w:after="0" w:line="25" w:lineRule="exact"/>
        <w:rPr>
          <w:rFonts w:ascii="Arial" w:cs="Arial" w:eastAsia="Arial" w:hAnsi="Arial"/>
          <w:sz w:val="16"/>
          <w:szCs w:val="16"/>
          <w:color w:val="auto"/>
        </w:rPr>
      </w:pPr>
    </w:p>
    <w:p>
      <w:pPr>
        <w:ind w:left="800" w:hanging="797"/>
        <w:spacing w:after="0"/>
        <w:tabs>
          <w:tab w:leader="none" w:pos="80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Program:</w:t>
      </w:r>
    </w:p>
    <w:p>
      <w:pPr>
        <w:spacing w:after="0" w:line="134" w:lineRule="exact"/>
        <w:rPr>
          <w:rFonts w:ascii="Arial" w:cs="Arial" w:eastAsia="Arial" w:hAnsi="Arial"/>
          <w:sz w:val="18"/>
          <w:szCs w:val="18"/>
          <w:b w:val="1"/>
          <w:bCs w:val="1"/>
          <w:color w:val="auto"/>
        </w:rPr>
      </w:pPr>
    </w:p>
    <w:p>
      <w:pPr>
        <w:ind w:left="1480" w:hanging="680"/>
        <w:spacing w:after="0"/>
        <w:tabs>
          <w:tab w:leader="none" w:pos="14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Limited Remote Offshore Access program is subject to change as directed by AT&amp;T.</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AT&amp;T reserves the right to cancel any approved Limited Remote Offshore Access requests upon written notice to the Supplier</w:t>
      </w:r>
    </w:p>
    <w:p>
      <w:pPr>
        <w:spacing w:after="0" w:line="17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740"/>
          </w:cols>
          <w:pgMar w:left="920" w:top="274"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Appendix E – Prime Supplier MBE/WBE/DVBE Participation Plan and Results</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220"/>
          </w:cols>
          <w:pgMar w:left="1440" w:top="274" w:right="239" w:bottom="1440" w:gutter="0" w:footer="0" w:header="0"/>
        </w:sectPr>
      </w:pPr>
    </w:p>
    <w:bookmarkStart w:id="248" w:name="page249"/>
    <w:bookmarkEnd w:id="248"/>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7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Appendix E, Exhibit 1 – Prime Supplier MBE/WBE/DVBE Participation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PRIME SUPPLIER MBE/WBE/DVBE PARTICIPATION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PRIME SUPPLIER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224663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22466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22466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224663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DESCRIBE GOODS OR SERVICES BEING PROVIDED UNDER THIS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(What product or service is the Prime Supplier providing to AT&amp;T)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DESCRIBE YOUR M/WBE-DVBE OR SUPPLIER DIVERSITY PROGRAM AND THE PERSONNEL DEDICATED TO THAT PROGRAM</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(Prime Supplier should note their outreach activities to diverse suppliers, membership in National Diversity Organizations, commitment from company leadership on engaging diversity suppliers, etc.)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TOGETHER WITH ANY ATTACHMENTS IS SUBMITTED AS AN MBE/WBE/DVBE PARTICIPATION PLAN.</w:t>
      </w:r>
    </w:p>
    <w:p>
      <w:pPr>
        <w:spacing w:after="0" w:line="370" w:lineRule="exact"/>
        <w:rPr>
          <w:sz w:val="20"/>
          <w:szCs w:val="20"/>
          <w:color w:val="auto"/>
        </w:rPr>
      </w:pPr>
    </w:p>
    <w:p>
      <w:pPr>
        <w:ind w:left="680" w:hanging="672"/>
        <w:spacing w:after="0"/>
        <w:tabs>
          <w:tab w:leader="none" w:pos="6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GOALS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A. WHAT ARE YOUR MBE/WBE/DVBE PARTICIPATION GOALS?</w:t>
      </w:r>
    </w:p>
    <w:p>
      <w:pPr>
        <w:sectPr>
          <w:pgSz w:w="11900" w:h="16838" w:orient="portrait"/>
          <w:cols w:equalWidth="0" w:num="1">
            <w:col w:w="11420"/>
          </w:cols>
          <w:pgMar w:left="240" w:top="274" w:right="239" w:bottom="1440" w:gutter="0" w:footer="0" w:header="0"/>
        </w:sectPr>
      </w:pPr>
    </w:p>
    <w:p>
      <w:pPr>
        <w:spacing w:after="0" w:line="248"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MINORITY BUSINESS ENTERPRISES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24765</wp:posOffset>
            </wp:positionV>
            <wp:extent cx="10121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5700" w:space="720"/>
            <w:col w:w="5000"/>
          </w:cols>
          <w:pgMar w:left="240" w:top="274" w:right="239" w:bottom="1440" w:gutter="0" w:footer="0" w:header="0"/>
          <w:type w:val="continuous"/>
        </w:sectPr>
      </w:pPr>
    </w:p>
    <w:p>
      <w:pPr>
        <w:ind w:left="700"/>
        <w:spacing w:after="0"/>
        <w:rPr>
          <w:sz w:val="20"/>
          <w:szCs w:val="20"/>
          <w:color w:val="auto"/>
        </w:rPr>
      </w:pPr>
      <w:r>
        <w:rPr>
          <w:rFonts w:ascii="Arial" w:cs="Arial" w:eastAsia="Arial" w:hAnsi="Arial"/>
          <w:sz w:val="17"/>
          <w:szCs w:val="17"/>
          <w:b w:val="1"/>
          <w:bCs w:val="1"/>
          <w:color w:val="auto"/>
        </w:rPr>
        <w:t>WOMAN BUSINESS ENTERPRISES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(WBEs)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24765</wp:posOffset>
            </wp:positionV>
            <wp:extent cx="10121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5700" w:space="720"/>
            <w:col w:w="5000"/>
          </w:cols>
          <w:pgMar w:left="240" w:top="274" w:right="239" w:bottom="1440" w:gutter="0" w:footer="0" w:header="0"/>
          <w:type w:val="continuous"/>
        </w:sectPr>
      </w:pPr>
    </w:p>
    <w:p>
      <w:pPr>
        <w:ind w:left="700"/>
        <w:spacing w:after="0"/>
        <w:rPr>
          <w:sz w:val="20"/>
          <w:szCs w:val="20"/>
          <w:color w:val="auto"/>
        </w:rPr>
      </w:pPr>
      <w:r>
        <w:rPr>
          <w:rFonts w:ascii="Arial" w:cs="Arial" w:eastAsia="Arial" w:hAnsi="Arial"/>
          <w:sz w:val="17"/>
          <w:szCs w:val="17"/>
          <w:b w:val="1"/>
          <w:bCs w:val="1"/>
          <w:color w:val="auto"/>
        </w:rPr>
        <w:t>DISABLED VETERAN BUSINESS ENTERPRISES (DVBEs)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24765</wp:posOffset>
            </wp:positionV>
            <wp:extent cx="10121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 WHAT IS THE ESTIMATED ANNUAL VALUE OF THIS CONTRACT: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571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WHAT ARE THE DOLLAR AMOUNTS OF YOUR PROJECTED MBE/WBE/DVBE PURCHASES: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Multiply % in A. above against contract value listed in B. above</w:t>
      </w:r>
    </w:p>
    <w:p>
      <w:pPr>
        <w:spacing w:after="0" w:line="248" w:lineRule="exact"/>
        <w:rPr>
          <w:sz w:val="20"/>
          <w:szCs w:val="20"/>
          <w:color w:val="auto"/>
        </w:rPr>
      </w:pPr>
    </w:p>
    <w:p>
      <w:pPr>
        <w:ind w:left="300"/>
        <w:spacing w:after="0"/>
        <w:tabs>
          <w:tab w:leader="none" w:pos="6040" w:val="left"/>
        </w:tabs>
        <w:rPr>
          <w:sz w:val="20"/>
          <w:szCs w:val="20"/>
          <w:color w:val="auto"/>
        </w:rPr>
      </w:pPr>
      <w:r>
        <w:rPr>
          <w:rFonts w:ascii="Arial" w:cs="Arial" w:eastAsia="Arial" w:hAnsi="Arial"/>
          <w:sz w:val="18"/>
          <w:szCs w:val="18"/>
          <w:b w:val="1"/>
          <w:bCs w:val="1"/>
          <w:color w:val="auto"/>
        </w:rPr>
        <w:t>MINORITY BUSINESS ENTERPRISES (MBEs)</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-7620</wp:posOffset>
            </wp:positionV>
            <wp:extent cx="1028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274" w:right="239" w:bottom="1440" w:gutter="0" w:footer="0" w:header="0"/>
          <w:type w:val="continuous"/>
        </w:sectPr>
      </w:pPr>
    </w:p>
    <w:bookmarkStart w:id="249" w:name="page250"/>
    <w:bookmarkEnd w:id="2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Arial" w:cs="Arial" w:eastAsia="Arial" w:hAnsi="Arial"/>
                <w:sz w:val="18"/>
                <w:szCs w:val="18"/>
                <w:b w:val="1"/>
                <w:bCs w:val="1"/>
                <w:color w:val="auto"/>
              </w:rPr>
              <w:t>WOMAN BUSINESS ENTERPRISES (WBEs)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line="196" w:lineRule="exact"/>
              <w:rPr>
                <w:sz w:val="20"/>
                <w:szCs w:val="20"/>
                <w:color w:val="auto"/>
              </w:rPr>
            </w:pPr>
            <w:r>
              <w:rPr>
                <w:rFonts w:ascii="Arial" w:cs="Arial" w:eastAsia="Arial" w:hAnsi="Arial"/>
                <w:sz w:val="18"/>
                <w:szCs w:val="18"/>
                <w:b w:val="1"/>
                <w:bCs w:val="1"/>
                <w:color w:val="auto"/>
              </w:rPr>
              <w:t>DISABLED VETERAN BUSINESS ENTERPRISES (DVBEs)</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spacing w:after="0"/>
              <w:rPr>
                <w:sz w:val="17"/>
                <w:szCs w:val="17"/>
                <w:color w:val="auto"/>
              </w:rPr>
            </w:pPr>
          </w:p>
        </w:tc>
      </w:tr>
    </w:tbl>
    <w:p>
      <w:pPr>
        <w:spacing w:after="0" w:line="134" w:lineRule="exact"/>
        <w:rPr>
          <w:sz w:val="20"/>
          <w:szCs w:val="20"/>
          <w:color w:val="auto"/>
        </w:rPr>
      </w:pPr>
    </w:p>
    <w:p>
      <w:pPr>
        <w:ind w:left="680" w:right="800" w:hanging="672"/>
        <w:spacing w:after="0" w:line="277" w:lineRule="auto"/>
        <w:tabs>
          <w:tab w:leader="none" w:pos="680"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LIST THE PRINCIPAL GOODS AND SERVICES TO BE SUBCONTRACTED TO MBE/WBE/DVBEs OR DELIVERED THROUGH MBE/WBE/DVBE VALUE ADDED RESELLERS</w:t>
      </w:r>
    </w:p>
    <w:p>
      <w:pPr>
        <w:spacing w:after="0" w:line="62"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(What part of the Prime Suppliers supply chain provides opportunities for diversity subcontracting)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274"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E, Exhibit 2 – MBE/WBE/DVBE Results Report</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MBE/WBE/DVBE RESULTS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DETAILED PLAN FOR USE OF MBE/WBE/DVBEs AS SUBCONTRACTORS, DISTRIBUTORS, VALUE ADDED RESELLERS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every product and service you intend to use, provide the following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(attach additional sheets if necessary)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1640" w:type="dxa"/>
            <w:vAlign w:val="bottom"/>
          </w:tcPr>
          <w:p>
            <w:pPr>
              <w:spacing w:after="0"/>
              <w:rPr>
                <w:sz w:val="14"/>
                <w:szCs w:val="14"/>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Classification (MBE/WBE/</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Products/Services to be</w:t>
            </w:r>
          </w:p>
        </w:tc>
        <w:tc>
          <w:tcPr>
            <w:tcW w:w="20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 Value</w:t>
            </w:r>
          </w:p>
        </w:tc>
        <w:tc>
          <w:tcPr>
            <w:tcW w:w="200" w:type="dxa"/>
            <w:vAlign w:val="bottom"/>
            <w:vMerge w:val="restart"/>
          </w:tcPr>
          <w:p>
            <w:pPr>
              <w:spacing w:after="0"/>
              <w:rPr>
                <w:sz w:val="14"/>
                <w:szCs w:val="14"/>
                <w:color w:val="auto"/>
              </w:rPr>
            </w:pPr>
          </w:p>
        </w:tc>
        <w:tc>
          <w:tcPr>
            <w:tcW w:w="19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to Begin</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16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DVBE)</w:t>
            </w:r>
          </w:p>
        </w:tc>
        <w:tc>
          <w:tcPr>
            <w:tcW w:w="2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provided</w:t>
            </w:r>
          </w:p>
        </w:tc>
        <w:tc>
          <w:tcPr>
            <w:tcW w:w="220" w:type="dxa"/>
            <w:vAlign w:val="bottom"/>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SELLER AGREES THAT IT WILL MAINTAIN ALL NECESSARY DOCUMENTS AND RECORDS TO SUPPORT ITS EFFORTS TO ACHIEVE ITS MBE/WBE/DVBE PARTICIPATION GOAL(S). SELLER ALSO ACKNOWLEDGES THE FACT THAT IT IS RESPONSIBLE FOR IDENTIFYING, SOLICITING AND QUALIFYING MBE/WBE/DVBE SUBCONTRACTORS, DISTRIBUTORS AND VALUE ADDED RESELLERS.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ACTING IN THE CAPACITY OF MBE/WBE/DVBE COORDINATOR FOR SELLER, WILL:</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Administer the MBE/WBE/DVBE Participation Plan, submit summary reports, and cooperate in any studies or surveys as may be required in order to determine the extent of compliance by the Seller with the participation plan.</w:t>
      </w:r>
    </w:p>
    <w:p>
      <w:pPr>
        <w:spacing w:after="0" w:line="62"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 xml:space="preserve">In accordance with Section 3.42, Supplier shall email a copy of the annual plan to [***]. Thereafter, Supplier shall furnish its [***] results to AT&amp;T in accordance with instructions to be provided to Supplier following AT&amp;T’s receipt of Supplier’s initial annual plan. When reporting results, Supplier shall count only expenditures with entities that are certified as MBE, WBE, or DVBE firms by Third Party certifying agencies recognized by AT&amp;T, as listed on </w:t>
      </w:r>
      <w:r>
        <w:rPr>
          <w:rFonts w:ascii="Arial" w:cs="Arial" w:eastAsia="Arial" w:hAnsi="Arial"/>
          <w:sz w:val="18"/>
          <w:szCs w:val="18"/>
          <w:u w:val="single" w:color="auto"/>
          <w:color w:val="auto"/>
        </w:rPr>
        <w:t>http://www.attsuppliers.com</w:t>
      </w:r>
      <w:r>
        <w:rPr>
          <w:rFonts w:ascii="Arial" w:cs="Arial" w:eastAsia="Arial" w:hAnsi="Arial"/>
          <w:sz w:val="18"/>
          <w:szCs w:val="18"/>
          <w:color w:val="auto"/>
        </w:rPr>
        <w:t>.</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wp:posOffset>
            </wp:positionV>
            <wp:extent cx="1912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wp:posOffset>
            </wp:positionV>
            <wp:extent cx="1912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wp:posOffset>
            </wp:positionV>
            <wp:extent cx="1912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wp:posOffset>
            </wp:positionV>
            <wp:extent cx="1912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wp:posOffset>
            </wp:positionV>
            <wp:extent cx="1912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74"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F – Acceptance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[Print on AT&amp;T Letterhead Stationery]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[Supplier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1"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 xml:space="preserve">In accordance with Section 3.0, “General Terms”, of that certain Master Services Agreement 53258.C, between </w:t>
      </w:r>
      <w:r>
        <w:rPr>
          <w:rFonts w:ascii="Arial" w:cs="Arial" w:eastAsia="Arial" w:hAnsi="Arial"/>
          <w:sz w:val="18"/>
          <w:szCs w:val="18"/>
          <w:b w:val="1"/>
          <w:bCs w:val="1"/>
          <w:color w:val="auto"/>
        </w:rPr>
        <w:t>[Supplier Name]</w:t>
      </w:r>
      <w:r>
        <w:rPr>
          <w:rFonts w:ascii="Arial" w:cs="Arial" w:eastAsia="Arial" w:hAnsi="Arial"/>
          <w:sz w:val="18"/>
          <w:szCs w:val="18"/>
          <w:color w:val="auto"/>
        </w:rPr>
        <w:t xml:space="preserve"> and AT&amp;T, effective </w:t>
      </w:r>
      <w:r>
        <w:rPr>
          <w:rFonts w:ascii="Arial" w:cs="Arial" w:eastAsia="Arial" w:hAnsi="Arial"/>
          <w:sz w:val="18"/>
          <w:szCs w:val="18"/>
          <w:b w:val="1"/>
          <w:bCs w:val="1"/>
          <w:color w:val="auto"/>
        </w:rPr>
        <w:t>[Effective Date]</w:t>
      </w:r>
      <w:r>
        <w:rPr>
          <w:rFonts w:ascii="Arial" w:cs="Arial" w:eastAsia="Arial" w:hAnsi="Arial"/>
          <w:sz w:val="18"/>
          <w:szCs w:val="18"/>
          <w:color w:val="auto"/>
        </w:rPr>
        <w:t>, the undersigned accepts the Custom Software described on Order</w:t>
      </w:r>
      <w:r>
        <w:rPr>
          <w:rFonts w:ascii="Arial" w:cs="Arial" w:eastAsia="Arial" w:hAnsi="Arial"/>
          <w:sz w:val="18"/>
          <w:szCs w:val="18"/>
          <w:b w:val="1"/>
          <w:bCs w:val="1"/>
          <w:color w:val="auto"/>
        </w:rPr>
        <w:t xml:space="preserve"> [Order No.] </w:t>
      </w:r>
      <w:r>
        <w:rPr>
          <w:rFonts w:ascii="Arial" w:cs="Arial" w:eastAsia="Arial" w:hAnsi="Arial"/>
          <w:sz w:val="18"/>
          <w:szCs w:val="18"/>
          <w:color w:val="auto"/>
        </w:rPr>
        <w:t>to the above-mentioned Agreement as of</w:t>
      </w:r>
      <w:r>
        <w:rPr>
          <w:rFonts w:ascii="Arial" w:cs="Arial" w:eastAsia="Arial" w:hAnsi="Arial"/>
          <w:sz w:val="18"/>
          <w:szCs w:val="18"/>
          <w:b w:val="1"/>
          <w:bCs w:val="1"/>
          <w:color w:val="auto"/>
        </w:rPr>
        <w:t xml:space="preserve"> [Date of Acceptance]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30702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30702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30702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30702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274" w:right="239" w:bottom="1440" w:gutter="0" w:footer="0" w:header="0"/>
        </w:sectPr>
      </w:pPr>
    </w:p>
    <w:bookmarkStart w:id="252" w:name="page253"/>
    <w:bookmarkEnd w:id="252"/>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Appendix G – Agreement Regarding Non-Employment Status with AT&amp;T</w:t>
      </w:r>
    </w:p>
    <w:p>
      <w:pPr>
        <w:spacing w:after="0" w:line="229"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This Agreement (“Agreement”) dated</w:t>
      </w:r>
      <w:r>
        <w:rPr>
          <w:sz w:val="20"/>
          <w:szCs w:val="20"/>
          <w:color w:val="auto"/>
        </w:rPr>
        <w:tab/>
      </w:r>
      <w:r>
        <w:rPr>
          <w:rFonts w:ascii="Arial" w:cs="Arial" w:eastAsia="Arial" w:hAnsi="Arial"/>
          <w:sz w:val="16"/>
          <w:szCs w:val="16"/>
          <w:color w:val="auto"/>
        </w:rPr>
        <w:t>is made by the individual named below (“I” or “me”), who is engaged to perform work at</w:t>
      </w:r>
    </w:p>
    <w:p>
      <w:pPr>
        <w:spacing w:after="0" w:line="23"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color w:val="auto"/>
        </w:rPr>
        <w:t>[Insert name of AT&amp;T company that worker will be doing work for.]</w:t>
      </w:r>
      <w:r>
        <w:rPr>
          <w:sz w:val="20"/>
          <w:szCs w:val="20"/>
          <w:color w:val="auto"/>
        </w:rPr>
        <w:tab/>
      </w:r>
      <w:r>
        <w:rPr>
          <w:rFonts w:ascii="Arial" w:cs="Arial" w:eastAsia="Arial" w:hAnsi="Arial"/>
          <w:sz w:val="17"/>
          <w:szCs w:val="17"/>
          <w:color w:val="auto"/>
        </w:rPr>
        <w:t>(“AT&amp;T Company”), as a worker of Amdocs, Inc. (“Supplier”)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and conditions of the agreement named below, between Supplier and AT&amp;T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-19050</wp:posOffset>
            </wp:positionV>
            <wp:extent cx="285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2" w:lineRule="exact"/>
        <w:rPr>
          <w:sz w:val="20"/>
          <w:szCs w:val="20"/>
          <w:color w:val="auto"/>
        </w:rPr>
      </w:pPr>
    </w:p>
    <w:p>
      <w:pPr>
        <w:ind w:left="680" w:hanging="672"/>
        <w:spacing w:after="0"/>
        <w:tabs>
          <w:tab w:leader="none" w:pos="68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Status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 have been hired by Supplier as a full or part-time employee, a temporary worker, or as an independent contractor and Supplier will be providing services to AT&amp;T Company. I understand that no employment relationship between me and the AT&amp;T Company is created by this Agreement or by my agreement with the Supplier to provide services to Supplier or AT&amp;T Company.</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 acknowledge and agree that Supplier shall be solely responsible for all payments to me including payment of compensation, premium payments for overtime, bonuses, and other incentive payments, if any, and payments for vacation, holiday, sick days or other personal days, if any. Also, I will be solely responsible for negotiating and agreeing with Supplier for participation in any Supplier benefit plans, including any pension, savings, or health and welfare plan. Unless AT&amp;T Company expressly provides otherwise in writing, I further understand and agree that I am not eligible to participate in or receive any benefits under the terms of the AT&amp;T Company’s pension plans, savings plans, health plans, vision plans, disability plans, life insurance plans, stock option plans, or any employee benefit plan sponsored by the AT&amp;T Company for any period of time. I understand and agree that the cash payments and benefits which I receive from Supplier shall represent the sole compensation to which I am entitled, and that Supplier will be solely responsible for all matters relating to compliance with all employer tax obligations arising from the performance of Services in connection with this Agreement. These tax obligations include but are not limited to the obligation to withhold employee taxes under local, state and federal income tax laws, unemployment compensation insurance tax laws, state disability insurance tax laws, social security and Medicare tax laws, and all other payroll tax laws or similar laws.</w:t>
      </w:r>
    </w:p>
    <w:p>
      <w:pPr>
        <w:spacing w:after="0" w:line="71" w:lineRule="exact"/>
        <w:rPr>
          <w:sz w:val="20"/>
          <w:szCs w:val="20"/>
          <w:color w:val="auto"/>
        </w:rPr>
      </w:pPr>
    </w:p>
    <w:p>
      <w:pPr>
        <w:ind w:left="680" w:hanging="672"/>
        <w:spacing w:after="0"/>
        <w:tabs>
          <w:tab w:leader="none" w:pos="68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Work Policies and Rules</w:t>
      </w:r>
    </w:p>
    <w:p>
      <w:pPr>
        <w:spacing w:after="0" w:line="134" w:lineRule="exact"/>
        <w:rPr>
          <w:rFonts w:ascii="Arial" w:cs="Arial" w:eastAsia="Arial" w:hAnsi="Arial"/>
          <w:sz w:val="18"/>
          <w:szCs w:val="18"/>
          <w:b w:val="1"/>
          <w:bCs w:val="1"/>
          <w:color w:val="auto"/>
        </w:rPr>
      </w:pPr>
    </w:p>
    <w:p>
      <w:pPr>
        <w:ind w:left="2160" w:right="40" w:hanging="680"/>
        <w:spacing w:after="0" w:line="291" w:lineRule="auto"/>
        <w:tabs>
          <w:tab w:leader="none" w:pos="216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I understand that it is my responsibility to ensure that my personal conduct and comments in the workplace are ethical, evidence a high degree of integrity, and support a professional environment free of (i) inappropriate behavior, language, jokes or actions;</w:t>
      </w:r>
    </w:p>
    <w:p>
      <w:pPr>
        <w:ind w:left="2420" w:hanging="265"/>
        <w:spacing w:after="0"/>
        <w:tabs>
          <w:tab w:leader="none" w:pos="2420" w:val="left"/>
        </w:tabs>
        <w:numPr>
          <w:ilvl w:val="2"/>
          <w:numId w:val="302"/>
        </w:numPr>
        <w:rPr>
          <w:rFonts w:ascii="Arial" w:cs="Arial" w:eastAsia="Arial" w:hAnsi="Arial"/>
          <w:sz w:val="17"/>
          <w:szCs w:val="17"/>
          <w:color w:val="auto"/>
        </w:rPr>
      </w:pPr>
      <w:r>
        <w:rPr>
          <w:rFonts w:ascii="Arial" w:cs="Arial" w:eastAsia="Arial" w:hAnsi="Arial"/>
          <w:sz w:val="17"/>
          <w:szCs w:val="17"/>
          <w:color w:val="auto"/>
        </w:rPr>
        <w:t>harassment or biased, demeaning, offensive, or derogatory behavior to others based upon race, color, religion, national</w:t>
      </w:r>
    </w:p>
    <w:p>
      <w:pPr>
        <w:spacing w:after="0" w:line="20" w:lineRule="exact"/>
        <w:rPr>
          <w:rFonts w:ascii="Arial" w:cs="Arial" w:eastAsia="Arial" w:hAnsi="Arial"/>
          <w:sz w:val="17"/>
          <w:szCs w:val="17"/>
          <w:color w:val="auto"/>
        </w:rPr>
      </w:pPr>
    </w:p>
    <w:p>
      <w:pPr>
        <w:ind w:left="2160"/>
        <w:spacing w:after="0"/>
        <w:rPr>
          <w:rFonts w:ascii="Arial" w:cs="Arial" w:eastAsia="Arial" w:hAnsi="Arial"/>
          <w:sz w:val="17"/>
          <w:szCs w:val="17"/>
          <w:color w:val="auto"/>
        </w:rPr>
      </w:pPr>
      <w:r>
        <w:rPr>
          <w:rFonts w:ascii="Arial" w:cs="Arial" w:eastAsia="Arial" w:hAnsi="Arial"/>
          <w:sz w:val="16"/>
          <w:szCs w:val="16"/>
          <w:color w:val="auto"/>
        </w:rPr>
        <w:t>origin, sex, age, sexual orientation, marital status, veteran’s status or disability; or (iii) violence. I further agree to refrain from</w:t>
      </w:r>
    </w:p>
    <w:p>
      <w:pPr>
        <w:spacing w:after="0" w:line="32" w:lineRule="exact"/>
        <w:rPr>
          <w:rFonts w:ascii="Arial" w:cs="Arial" w:eastAsia="Arial" w:hAnsi="Arial"/>
          <w:sz w:val="17"/>
          <w:szCs w:val="17"/>
          <w:color w:val="auto"/>
        </w:rPr>
      </w:pPr>
    </w:p>
    <w:p>
      <w:pPr>
        <w:ind w:left="2160" w:right="40" w:hanging="5"/>
        <w:spacing w:after="0" w:line="254" w:lineRule="auto"/>
        <w:tabs>
          <w:tab w:leader="none" w:pos="2375" w:val="left"/>
        </w:tabs>
        <w:numPr>
          <w:ilvl w:val="2"/>
          <w:numId w:val="303"/>
        </w:numPr>
        <w:rPr>
          <w:rFonts w:ascii="Arial" w:cs="Arial" w:eastAsia="Arial" w:hAnsi="Arial"/>
          <w:sz w:val="18"/>
          <w:szCs w:val="18"/>
          <w:color w:val="auto"/>
        </w:rPr>
      </w:pPr>
      <w:r>
        <w:rPr>
          <w:rFonts w:ascii="Arial" w:cs="Arial" w:eastAsia="Arial" w:hAnsi="Arial"/>
          <w:sz w:val="18"/>
          <w:szCs w:val="18"/>
          <w:color w:val="auto"/>
        </w:rPr>
        <w:t>words or conduct that is threatening, intimidating and/or disrespectful of others, (ii) bringing a firearm or other weapon on any AT&amp;T premises; and (iii) using data services on a wireless device, such as texting or accessing the mobile web or other distracting activities, while driving to or from AT&amp;T’s premises or while operating a vehicle in the performance of any work for AT&amp;T.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274"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2160" w:right="60" w:hanging="680"/>
        <w:spacing w:after="0" w:line="288" w:lineRule="auto"/>
        <w:tabs>
          <w:tab w:leader="none" w:pos="216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If AT&amp;T Company provides me access to its computer systems, I agree (a) to use such systems in a professional manner, (b) to use such systems only for business purposes and solely for the purposes of performing under the agreement named below, (c) to use such systems in compliance with AT&amp;T Company’s applicable standards and guidelines for computer systems use, and</w:t>
      </w:r>
    </w:p>
    <w:p>
      <w:pPr>
        <w:ind w:left="2160" w:right="40"/>
        <w:spacing w:after="0" w:line="253" w:lineRule="auto"/>
        <w:rPr>
          <w:rFonts w:ascii="Arial" w:cs="Arial" w:eastAsia="Arial" w:hAnsi="Arial"/>
          <w:sz w:val="16"/>
          <w:szCs w:val="16"/>
          <w:color w:val="auto"/>
        </w:rPr>
      </w:pPr>
      <w:r>
        <w:rPr>
          <w:rFonts w:ascii="Arial" w:cs="Arial" w:eastAsia="Arial" w:hAnsi="Arial"/>
          <w:sz w:val="18"/>
          <w:szCs w:val="18"/>
          <w:color w:val="auto"/>
        </w:rPr>
        <w:t>(d) to use password devices, if applicable and if requested by AT&amp;T Company. Without limiting the foregoing, AT&amp;T Company property, including but not limited to Intranet and Internet services, shall not be used for personal purposes or for any purpose which is not directly related to the business which is the subject of the agreement named below. I acknowledge and agree that I must have a valid AT&amp;T Company business reason to access the Intranet and/ or the Internet from within AT&amp;T Company’s private corporate network.</w:t>
      </w:r>
    </w:p>
    <w:p>
      <w:pPr>
        <w:spacing w:after="0" w:line="92" w:lineRule="exact"/>
        <w:rPr>
          <w:rFonts w:ascii="Arial" w:cs="Arial" w:eastAsia="Arial" w:hAnsi="Arial"/>
          <w:sz w:val="16"/>
          <w:szCs w:val="16"/>
          <w:color w:val="auto"/>
        </w:rPr>
      </w:pPr>
    </w:p>
    <w:p>
      <w:pPr>
        <w:ind w:left="680" w:hanging="672"/>
        <w:spacing w:after="0"/>
        <w:tabs>
          <w:tab w:leader="none" w:pos="68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Terms</w:t>
      </w:r>
    </w:p>
    <w:p>
      <w:pPr>
        <w:spacing w:after="0" w:line="134" w:lineRule="exact"/>
        <w:rPr>
          <w:rFonts w:ascii="Arial" w:cs="Arial" w:eastAsia="Arial" w:hAnsi="Arial"/>
          <w:sz w:val="18"/>
          <w:szCs w:val="18"/>
          <w:b w:val="1"/>
          <w:bCs w:val="1"/>
          <w:color w:val="auto"/>
        </w:rPr>
      </w:pPr>
    </w:p>
    <w:p>
      <w:pPr>
        <w:ind w:left="2160" w:right="200" w:hanging="680"/>
        <w:spacing w:after="0" w:line="277" w:lineRule="auto"/>
        <w:tabs>
          <w:tab w:leader="none" w:pos="21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This Agreement shall be effective as of the date executed below, and shall remain in effect notwithstanding my termination of employment with Supplier or termination of my work at AT&amp;T Company.</w:t>
      </w:r>
    </w:p>
    <w:p>
      <w:pPr>
        <w:spacing w:after="0" w:line="76" w:lineRule="exact"/>
        <w:rPr>
          <w:sz w:val="20"/>
          <w:szCs w:val="20"/>
          <w:color w:val="auto"/>
        </w:rPr>
      </w:pPr>
    </w:p>
    <w:p>
      <w:pPr>
        <w:ind w:left="2160" w:right="160" w:hanging="680"/>
        <w:spacing w:after="0" w:line="264" w:lineRule="auto"/>
        <w:tabs>
          <w:tab w:leader="none" w:pos="2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the event that any provision of this Agreement is held to be invalid or unenforceable, then such invalid or enforceable provisions shall be severed, and the remaining provisions shall remain in full force and effect to the fullest extent permitted by law.</w:t>
      </w:r>
    </w:p>
    <w:p>
      <w:pPr>
        <w:spacing w:after="0" w:line="7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I have read, understand and agree to abide by this Agreement.</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-10160</wp:posOffset>
            </wp:positionV>
            <wp:extent cx="2857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2857500" cy="8890"/>
                    </a:xfrm>
                    <a:prstGeom prst="rect">
                      <a:avLst/>
                    </a:prstGeom>
                    <a:noFill/>
                  </pic:spPr>
                </pic:pic>
              </a:graphicData>
            </a:graphic>
          </wp:anchor>
        </w:drawing>
      </w:r>
    </w:p>
    <w:p>
      <w:pPr>
        <w:spacing w:after="0" w:line="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-19050</wp:posOffset>
            </wp:positionV>
            <wp:extent cx="27717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2771775"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-19050</wp:posOffset>
            </wp:positionV>
            <wp:extent cx="24574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AT&amp;T User ID (if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-19050</wp:posOffset>
            </wp:positionV>
            <wp:extent cx="16859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-19050</wp:posOffset>
            </wp:positionV>
            <wp:extent cx="260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Agreement No. between Supplier and AT&amp;T: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-19050</wp:posOffset>
            </wp:positionV>
            <wp:extent cx="8572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-19050</wp:posOffset>
            </wp:positionV>
            <wp:extent cx="22860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274"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H – Vendor Expense Policy</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The AT&amp;T Vendor Expense Policy (VEP) provides guidelines to be followed by all vendors of AT&amp;T in requesting reimbursement for business travel, meals and other business related expense. Expenses outside this policy are not reimbursable.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When spending money that is to be reimbursed, vendors must ensure that an AT&amp;T Company (“Company”) receives proper value in return.</w:t>
      </w:r>
    </w:p>
    <w:p>
      <w:pPr>
        <w:spacing w:after="0" w:line="129"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62" w:lineRule="exact"/>
        <w:rPr>
          <w:sz w:val="20"/>
          <w:szCs w:val="20"/>
          <w:color w:val="auto"/>
        </w:rPr>
      </w:pPr>
    </w:p>
    <w:p>
      <w:pPr>
        <w:ind w:left="700" w:right="160"/>
        <w:spacing w:after="0" w:line="286" w:lineRule="auto"/>
        <w:rPr>
          <w:sz w:val="20"/>
          <w:szCs w:val="20"/>
          <w:color w:val="auto"/>
        </w:rPr>
      </w:pPr>
      <w:r>
        <w:rPr>
          <w:rFonts w:ascii="Arial" w:cs="Arial" w:eastAsia="Arial" w:hAnsi="Arial"/>
          <w:sz w:val="17"/>
          <w:szCs w:val="17"/>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Deviations from this VEP </w:t>
      </w:r>
      <w:r>
        <w:rPr>
          <w:rFonts w:ascii="Arial" w:cs="Arial" w:eastAsia="Arial" w:hAnsi="Arial"/>
          <w:sz w:val="18"/>
          <w:szCs w:val="18"/>
          <w:i w:val="1"/>
          <w:iCs w:val="1"/>
          <w:color w:val="auto"/>
        </w:rPr>
        <w:t>must be approved in writing</w:t>
      </w:r>
      <w:r>
        <w:rPr>
          <w:rFonts w:ascii="Arial" w:cs="Arial" w:eastAsia="Arial" w:hAnsi="Arial"/>
          <w:sz w:val="18"/>
          <w:szCs w:val="18"/>
          <w:color w:val="auto"/>
        </w:rPr>
        <w:t xml:space="preserve"> by the sponsoring Senior Manager or Officer of an AT&amp;T Company.</w:t>
      </w:r>
    </w:p>
    <w:p>
      <w:pPr>
        <w:spacing w:after="0" w:line="117" w:lineRule="exact"/>
        <w:rPr>
          <w:sz w:val="20"/>
          <w:szCs w:val="20"/>
          <w:color w:val="auto"/>
        </w:rPr>
      </w:pPr>
    </w:p>
    <w:p>
      <w:pPr>
        <w:ind w:left="700" w:right="860"/>
        <w:spacing w:after="0" w:line="277" w:lineRule="auto"/>
        <w:rPr>
          <w:sz w:val="20"/>
          <w:szCs w:val="20"/>
          <w:color w:val="auto"/>
        </w:rPr>
      </w:pPr>
      <w:r>
        <w:rPr>
          <w:rFonts w:ascii="Arial" w:cs="Arial" w:eastAsia="Arial" w:hAnsi="Arial"/>
          <w:sz w:val="18"/>
          <w:szCs w:val="18"/>
          <w:color w:val="auto"/>
        </w:rPr>
        <w:t>Receipts will be requested and reviewed for any unusual or out of the ordinary expenses or where the approver cannot make a reasonable determination of the propriety of the invoice without a receipt.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Non-Reimbursable Expenses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although not all inclusive, of expenses considered not reimbursable:</w:t>
      </w:r>
    </w:p>
    <w:p>
      <w:pPr>
        <w:spacing w:after="0" w:line="131" w:lineRule="exact"/>
        <w:rPr>
          <w:sz w:val="20"/>
          <w:szCs w:val="20"/>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Airline club membership fees, dues, or upgrade coupon</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Baggage fees beyond the first piece of luggage</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Barber/Hairstylist/Beautician Expenses</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Break-room supplies for the vendor, such as coffee, creamer, paper products, soft drinks, snack food</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Car rental additional fees as an example: Global Positioning System (GPS) devices, or fee charged for airline frequent flyer miles.</w:t>
      </w:r>
    </w:p>
    <w:p>
      <w:pPr>
        <w:spacing w:after="0" w:line="142" w:lineRule="exact"/>
        <w:rPr>
          <w:rFonts w:ascii="Arial" w:cs="Arial" w:eastAsia="Arial" w:hAnsi="Arial"/>
          <w:sz w:val="17"/>
          <w:szCs w:val="17"/>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Car Washes</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Clothing, personal care items, and toiletries</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Dependent care</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Entertainment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274"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Expenses to cover meals or expenses for an AT&amp;T employee, whether in a home location or on official travel</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Health Club and Fitness facilities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Hotel pay-per-view movies, Video Games and/or mini bar items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Hotel no-show or cancellation charges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Insurance for rental car and or flight</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Internet access in hotels (added to 3.5)</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Lawn care</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Lost: luggage, cash, personal items and valuables, and tickets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color w:val="auto"/>
        </w:rPr>
      </w:pPr>
    </w:p>
    <w:p>
      <w:pPr>
        <w:ind w:left="780" w:right="160" w:hanging="777"/>
        <w:spacing w:after="0" w:line="277" w:lineRule="auto"/>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Meals not consistent with AT&amp;T’s Global Employee Expense Policy and or meals not directly required for doing business on the AT&amp;T account (e.g. vendors cannot voucher lunch with each other simply to talk about AT&amp;T)</w:t>
      </w:r>
    </w:p>
    <w:p>
      <w:pPr>
        <w:spacing w:after="0" w:line="75"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Office expenses of vendors for example: a calendar</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PC, cell phone, and other vendor support expenses (unless specifically authorized in the agreement)</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Personal entertainment</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Phone usage / Wi-Fi on airline unless prior written approval by AT&amp;T</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Safe rentals during a hotel stay</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Souvenirs, personal gifts</w:t>
      </w:r>
    </w:p>
    <w:p>
      <w:pPr>
        <w:spacing w:after="0" w:line="130" w:lineRule="exact"/>
        <w:rPr>
          <w:rFonts w:ascii="Arial" w:cs="Arial" w:eastAsia="Arial" w:hAnsi="Arial"/>
          <w:sz w:val="18"/>
          <w:szCs w:val="18"/>
          <w:color w:val="auto"/>
        </w:rPr>
      </w:pPr>
    </w:p>
    <w:p>
      <w:pPr>
        <w:ind w:left="780" w:right="240" w:hanging="777"/>
        <w:spacing w:after="0" w:line="264" w:lineRule="auto"/>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Surcharges for providing fast service (not related to delivery charges such as FedEx, UPS, etc.). AT&amp;T expects all vendors to complete the terms of contracts in the shortest period practicable. Charges for shortening the timeframe in which contracts are fulfilled are not permissible.</w:t>
      </w:r>
    </w:p>
    <w:p>
      <w:pPr>
        <w:spacing w:after="0" w:line="86"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Tips for housekeeping and excessive tips, i.e., in excess of 15% to 18% of cost of meal or services, excluding tax</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Tobacco Products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Traffic or Parking Fines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Upgrades on airline, hotel, or car rental fees</w:t>
      </w:r>
    </w:p>
    <w:p>
      <w:pPr>
        <w:spacing w:after="0" w:line="130" w:lineRule="exact"/>
        <w:rPr>
          <w:rFonts w:ascii="Arial" w:cs="Arial" w:eastAsia="Arial" w:hAnsi="Arial"/>
          <w:sz w:val="18"/>
          <w:szCs w:val="18"/>
          <w:color w:val="auto"/>
        </w:rPr>
      </w:pPr>
    </w:p>
    <w:p>
      <w:pPr>
        <w:ind w:left="780" w:hanging="777"/>
        <w:spacing w:after="0"/>
        <w:tabs>
          <w:tab w:leader="none" w:pos="7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Water (bottled or dispensed by a supplier), (unless authorized for specific countries where it is recommended that bottled water is used)</w:t>
      </w:r>
    </w:p>
    <w:p>
      <w:pPr>
        <w:spacing w:after="0" w:line="153" w:lineRule="exact"/>
        <w:rPr>
          <w:rFonts w:ascii="Arial" w:cs="Arial" w:eastAsia="Arial" w:hAnsi="Arial"/>
          <w:sz w:val="16"/>
          <w:szCs w:val="16"/>
          <w:color w:val="auto"/>
        </w:rPr>
      </w:pPr>
    </w:p>
    <w:p>
      <w:pPr>
        <w:ind w:left="780" w:hanging="777"/>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Fee charged for advanced reservation for airport parking</w:t>
      </w:r>
    </w:p>
    <w:p>
      <w:pPr>
        <w:spacing w:after="0" w:line="130" w:lineRule="exact"/>
        <w:rPr>
          <w:rFonts w:ascii="Arial" w:cs="Arial" w:eastAsia="Arial" w:hAnsi="Arial"/>
          <w:sz w:val="18"/>
          <w:szCs w:val="18"/>
          <w:color w:val="auto"/>
        </w:rPr>
      </w:pPr>
    </w:p>
    <w:p>
      <w:pPr>
        <w:ind w:left="780" w:right="120" w:hanging="777"/>
        <w:spacing w:after="0" w:line="308" w:lineRule="auto"/>
        <w:tabs>
          <w:tab w:leader="none" w:pos="78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Supplier shall not bill for travel, meal, or living expenses when its employees are working from their own homes or office locations or at an AT&amp;T location that is one hour’s driving time or less away from the employees’ residences or office locations.</w:t>
      </w:r>
    </w:p>
    <w:p>
      <w:pPr>
        <w:spacing w:after="0" w:line="7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740"/>
          </w:cols>
          <w:pgMar w:left="920" w:top="274" w:right="239" w:bottom="1440" w:gutter="0" w:footer="0" w:header="0"/>
        </w:sectPr>
      </w:pPr>
    </w:p>
    <w:bookmarkStart w:id="256" w:name="page257"/>
    <w:bookmarkEnd w:id="256"/>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77" w:lineRule="exact"/>
        <w:rPr>
          <w:sz w:val="20"/>
          <w:szCs w:val="20"/>
          <w:color w:val="auto"/>
        </w:rPr>
      </w:pPr>
    </w:p>
    <w:p>
      <w:pPr>
        <w:ind w:left="700" w:right="60"/>
        <w:spacing w:after="0" w:line="282" w:lineRule="auto"/>
        <w:rPr>
          <w:sz w:val="20"/>
          <w:szCs w:val="20"/>
          <w:color w:val="auto"/>
        </w:rPr>
      </w:pPr>
      <w:r>
        <w:rPr>
          <w:rFonts w:ascii="Arial" w:cs="Arial" w:eastAsia="Arial" w:hAnsi="Arial"/>
          <w:sz w:val="18"/>
          <w:szCs w:val="18"/>
          <w:b w:val="1"/>
          <w:bCs w:val="1"/>
          <w:color w:val="auto"/>
        </w:rPr>
        <w:t>The failure to comply with the above mentioned restrictions will result in the Company refusing payment of charges or pursuing restitution from the vendor.</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Responsibilities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Vendor’s Responsibility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Vendors are responsible for ensuring clarification of any questions from sponsoring AT&amp;T managers relative to reimbursable business expenses.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 is mandatory that financial transactions are recorded in a timely manner.</w:t>
      </w:r>
    </w:p>
    <w:p>
      <w:pPr>
        <w:spacing w:after="0" w:line="113" w:lineRule="exact"/>
        <w:rPr>
          <w:sz w:val="20"/>
          <w:szCs w:val="20"/>
          <w:color w:val="auto"/>
        </w:rPr>
      </w:pPr>
    </w:p>
    <w:p>
      <w:pPr>
        <w:ind w:left="700" w:right="280"/>
        <w:spacing w:after="0" w:line="282" w:lineRule="auto"/>
        <w:rPr>
          <w:sz w:val="20"/>
          <w:szCs w:val="20"/>
          <w:color w:val="auto"/>
        </w:rPr>
      </w:pPr>
      <w:r>
        <w:rPr>
          <w:rFonts w:ascii="Arial" w:cs="Arial" w:eastAsia="Arial" w:hAnsi="Arial"/>
          <w:sz w:val="18"/>
          <w:szCs w:val="18"/>
          <w:b w:val="1"/>
          <w:bCs w:val="1"/>
          <w:color w:val="auto"/>
        </w:rPr>
        <w:t>Out-of-pocket business expense(s) for vendors that are not submitted for reimbursement within 90 calendar days from the date incurred are considered non-reimbursable.</w:t>
      </w:r>
    </w:p>
    <w:p>
      <w:pPr>
        <w:spacing w:after="0" w:line="58"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Company managers who are responsible for approving reimbursable expenses of vendors should ensure they are submitted and approved in a timely manner.</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Travel Policy</w:t>
      </w:r>
    </w:p>
    <w:p>
      <w:pPr>
        <w:spacing w:after="0" w:line="121" w:lineRule="exact"/>
        <w:rPr>
          <w:sz w:val="20"/>
          <w:szCs w:val="20"/>
          <w:color w:val="auto"/>
        </w:rPr>
      </w:pPr>
    </w:p>
    <w:p>
      <w:pPr>
        <w:ind w:left="700" w:right="120"/>
        <w:spacing w:after="0" w:line="308" w:lineRule="auto"/>
        <w:rPr>
          <w:sz w:val="20"/>
          <w:szCs w:val="20"/>
          <w:color w:val="auto"/>
        </w:rPr>
      </w:pPr>
      <w:r>
        <w:rPr>
          <w:rFonts w:ascii="Arial" w:cs="Arial" w:eastAsia="Arial" w:hAnsi="Arial"/>
          <w:sz w:val="17"/>
          <w:szCs w:val="17"/>
          <w:color w:val="auto"/>
        </w:rPr>
        <w:t>Vendors must first consider the feasibility of using videoconferencing or teleconferencing as an alternative to travel. Travel that is to be reimbursed by AT&amp;T should be incurred only as necessary and pre-approved by AT&amp;T (unless otherwise authorized in the agreement).</w:t>
      </w:r>
    </w:p>
    <w:p>
      <w:pPr>
        <w:spacing w:after="0" w:line="38"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AT&amp;T reserves the right to dispute any expense submittal and if not verifiable as valid may reject reimbursement. Reimbursements will be made to vendor only after expenses are verified as valid.</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Travel Authorization</w:t>
      </w:r>
    </w:p>
    <w:p>
      <w:pPr>
        <w:spacing w:after="0" w:line="121"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Travel requiring overnight stays must be pre-approved by the sponsoring AT&amp;T 3rd Level Manager or above and should be approved only if it is necessary for the vendor to travel to perform required work.</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Travel Reservations</w:t>
      </w:r>
    </w:p>
    <w:p>
      <w:pPr>
        <w:spacing w:after="0" w:line="121" w:lineRule="exact"/>
        <w:rPr>
          <w:sz w:val="20"/>
          <w:szCs w:val="20"/>
          <w:color w:val="auto"/>
        </w:rPr>
      </w:pPr>
    </w:p>
    <w:p>
      <w:pPr>
        <w:ind w:left="700" w:right="54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AT&amp;T discount rate. AT&amp;T does not reimburse for travel purchased with prepaid air passes.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Travel Expense Reimbursement</w:t>
      </w:r>
    </w:p>
    <w:p>
      <w:pPr>
        <w:spacing w:after="0" w:line="121"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76" w:lineRule="exact"/>
        <w:rPr>
          <w:sz w:val="20"/>
          <w:szCs w:val="20"/>
          <w:color w:val="auto"/>
        </w:rPr>
      </w:pPr>
    </w:p>
    <w:p>
      <w:pPr>
        <w:ind w:left="1460" w:hanging="777"/>
        <w:spacing w:after="0"/>
        <w:tabs>
          <w:tab w:leader="none" w:pos="14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Transportation (airfare or other commercial transportation, car rental, personal auto mileage, taxi and shuttle service)</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Tips/porter service (if necessary and reasonable)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274"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1460" w:right="60" w:hanging="777"/>
        <w:spacing w:after="0" w:line="266" w:lineRule="auto"/>
        <w:tabs>
          <w:tab w:leader="none" w:pos="1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Vendors who stay with friends or relatives or other vendor employees while on a Company business trip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reimbursed for lodging, nor will they be reimbursed for expenditures made to reciprocate their hospitality by buying groceries, being host at a restaurant, etc.</w:t>
      </w:r>
    </w:p>
    <w:p>
      <w:pPr>
        <w:spacing w:after="0" w:line="72"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The expense must be ordinary and necessary, not lavish or extravagant, in the judgment of the AT&amp;T sponsoring management. Any reimbursement request must be for actual expenditures only.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Air Travel Arrangements</w:t>
      </w:r>
    </w:p>
    <w:p>
      <w:pPr>
        <w:spacing w:after="0" w:line="121"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Vendors must select lowest logical coach airfare (fares available in the market at the time of booking, preferably well in advance of trip to attain lowest possible airfare). Vendors must consider non-refundable fares, routing requiring one additional interim stop in each direction, or an alternate flight within 2 hours of the original departure and arrival time. First class bookings are not reimbursable</w:t>
      </w:r>
      <w:r>
        <w:rPr>
          <w:rFonts w:ascii="Arial" w:cs="Arial" w:eastAsia="Arial" w:hAnsi="Arial"/>
          <w:sz w:val="18"/>
          <w:szCs w:val="18"/>
          <w:b w:val="1"/>
          <w:bCs w:val="1"/>
          <w:color w:val="auto"/>
        </w:rPr>
        <w:t>.</w:t>
      </w:r>
      <w:r>
        <w:rPr>
          <w:rFonts w:ascii="Arial" w:cs="Arial" w:eastAsia="Arial" w:hAnsi="Arial"/>
          <w:sz w:val="18"/>
          <w:szCs w:val="18"/>
          <w:color w:val="auto"/>
        </w:rPr>
        <w:t xml:space="preserve"> Vendors can request business class when a single segment of flight time (“in air time” excluding stops, layovers and ground time) is greater than 8 continuous hours providing the relevant manager pre-approves.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Hotel Arrangements</w:t>
      </w:r>
    </w:p>
    <w:p>
      <w:pPr>
        <w:spacing w:after="0" w:line="121" w:lineRule="exact"/>
        <w:rPr>
          <w:sz w:val="20"/>
          <w:szCs w:val="20"/>
          <w:color w:val="auto"/>
        </w:rPr>
      </w:pPr>
    </w:p>
    <w:p>
      <w:pPr>
        <w:ind w:left="700" w:right="80"/>
        <w:spacing w:after="0" w:line="290" w:lineRule="auto"/>
        <w:rPr>
          <w:sz w:val="20"/>
          <w:szCs w:val="20"/>
          <w:color w:val="auto"/>
        </w:rPr>
      </w:pPr>
      <w:r>
        <w:rPr>
          <w:rFonts w:ascii="Arial" w:cs="Arial" w:eastAsia="Arial" w:hAnsi="Arial"/>
          <w:sz w:val="16"/>
          <w:szCs w:val="16"/>
          <w:color w:val="auto"/>
        </w:rPr>
        <w:t>AT&amp;T has established Market-Based Room Rate Guidelines for vendors to reference when making hotel reservations in the United States. Vendors should contact their AT&amp;T sponsoring manager to receive guidance for hotel rates when traveling in the U.S. Sponsoring managers may access Travel Central to obtain information on the AT&amp;T U.S. Market Guidelines. Vendors traveling outside the U.S. should reference the GSA, Government Per Diem as a guide: https://aoprals.state.gov/web920/per_diem.asp. Non-US vendors may use these dollar per diems as a guide, but any locally specified per diems will take precedence. Vendors are expected to abide by these guidelines when making hotel arrangements or use specified AT&amp;T preferred hotels/maximum location rates or reasonably priced hotels outside of the U.S. The AT&amp;T sponsoring manager can advise which hotel/max rate to use if there is a hotel in the location concerned. AT&amp;T will only reimburse vendors up to the established room rate guideline/AT&amp;T preferred hotel rate in each market, or for actual hotel lodging charges incurred, whichever is less.</w:t>
      </w:r>
    </w:p>
    <w:p>
      <w:pPr>
        <w:spacing w:after="0" w:line="58"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There must be a strong business justification for incurring any cost for internet access, and a request for reimbursement must be accompanied by a detailed explanation regarding reason for charge.</w:t>
      </w:r>
    </w:p>
    <w:p>
      <w:pPr>
        <w:spacing w:after="0" w:line="58" w:lineRule="exact"/>
        <w:rPr>
          <w:sz w:val="20"/>
          <w:szCs w:val="20"/>
          <w:color w:val="auto"/>
        </w:rPr>
      </w:pPr>
    </w:p>
    <w:p>
      <w:pPr>
        <w:ind w:left="700" w:right="2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Vendors must indicate the number of room nights on the transaction line when invoicing for reimbursement of hotel expenses. Copies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hotel bills must be made available for any invoice containing lodging charges.</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Ground Transportation</w:t>
      </w:r>
    </w:p>
    <w:p>
      <w:pPr>
        <w:spacing w:after="0" w:line="121" w:lineRule="exact"/>
        <w:rPr>
          <w:sz w:val="20"/>
          <w:szCs w:val="20"/>
          <w:color w:val="auto"/>
        </w:rPr>
      </w:pPr>
    </w:p>
    <w:p>
      <w:pPr>
        <w:ind w:left="700" w:right="60"/>
        <w:spacing w:after="0" w:line="286" w:lineRule="auto"/>
        <w:rPr>
          <w:sz w:val="20"/>
          <w:szCs w:val="20"/>
          <w:color w:val="auto"/>
        </w:rPr>
      </w:pPr>
      <w:r>
        <w:rPr>
          <w:rFonts w:ascii="Arial" w:cs="Arial" w:eastAsia="Arial" w:hAnsi="Arial"/>
          <w:sz w:val="17"/>
          <w:szCs w:val="17"/>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274" w:right="239" w:bottom="1440" w:gutter="0" w:footer="0" w:header="0"/>
        </w:sectPr>
      </w:pPr>
    </w:p>
    <w:bookmarkStart w:id="258" w:name="page259"/>
    <w:bookmarkEnd w:id="258"/>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8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73"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“Loss Damage Waiver” and “Extended Liability Coverage” are not considered reimbursable in the US. Prepaid fuel or refueling charges at the time of return are not reimbursable. Rental cars should be refueled before returning to the rental company, since gas purchased through the rental company carries an expensive refueling service charge.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Use of Personal Vehicle</w:t>
      </w:r>
    </w:p>
    <w:p>
      <w:pPr>
        <w:spacing w:after="0" w:line="121"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When use of personal vehicle is required for business travel, AT&amp;T will reimburse for daily mileage for amounts over 50 miles (first 50 miles not reimbursable). This includes parking and toll fees. Vendors/suppliers should provide the following information:</w:t>
      </w:r>
    </w:p>
    <w:p>
      <w:pPr>
        <w:spacing w:after="0" w:line="76" w:lineRule="exact"/>
        <w:rPr>
          <w:sz w:val="20"/>
          <w:szCs w:val="20"/>
          <w:color w:val="auto"/>
        </w:rPr>
      </w:pPr>
    </w:p>
    <w:p>
      <w:pPr>
        <w:ind w:left="1460" w:hanging="777"/>
        <w:spacing w:after="0"/>
        <w:tabs>
          <w:tab w:leader="none" w:pos="14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Purpose of the trip</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1460" w:hanging="777"/>
        <w:spacing w:after="0"/>
        <w:tabs>
          <w:tab w:leader="none" w:pos="14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Starting Point and Destination</w:t>
      </w:r>
    </w:p>
    <w:p>
      <w:pPr>
        <w:spacing w:after="0" w:line="130" w:lineRule="exact"/>
        <w:rPr>
          <w:rFonts w:ascii="Arial" w:cs="Arial" w:eastAsia="Arial" w:hAnsi="Arial"/>
          <w:sz w:val="18"/>
          <w:szCs w:val="18"/>
          <w:color w:val="auto"/>
        </w:rPr>
      </w:pPr>
    </w:p>
    <w:p>
      <w:pPr>
        <w:ind w:left="1460" w:right="220" w:hanging="777"/>
        <w:spacing w:after="0" w:line="342" w:lineRule="auto"/>
        <w:tabs>
          <w:tab w:leader="none" w:pos="14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Mileage log –when combining numerous trips, a mileage log should be provided showing the total mileage of the daily trips less the 50 miles not allowed for reimbursement (</w:t>
      </w:r>
      <w:r>
        <w:rPr>
          <w:rFonts w:ascii="Arial" w:cs="Arial" w:eastAsia="Arial" w:hAnsi="Arial"/>
          <w:sz w:val="16"/>
          <w:szCs w:val="16"/>
          <w:b w:val="1"/>
          <w:bCs w:val="1"/>
          <w:color w:val="auto"/>
        </w:rPr>
        <w:t>See Section 3.16, “Expenses Incurred in the vicinity of home/work location” below</w:t>
      </w:r>
      <w:r>
        <w:rPr>
          <w:rFonts w:ascii="Arial" w:cs="Arial" w:eastAsia="Arial" w:hAnsi="Arial"/>
          <w:sz w:val="16"/>
          <w:szCs w:val="16"/>
          <w:color w:val="auto"/>
        </w:rPr>
        <w:t>).</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Parking</w:t>
      </w:r>
    </w:p>
    <w:p>
      <w:pPr>
        <w:spacing w:after="0" w:line="121" w:lineRule="exact"/>
        <w:rPr>
          <w:sz w:val="20"/>
          <w:szCs w:val="20"/>
          <w:color w:val="auto"/>
        </w:rPr>
      </w:pPr>
    </w:p>
    <w:p>
      <w:pPr>
        <w:ind w:left="700" w:right="58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Entertainment</w:t>
      </w:r>
    </w:p>
    <w:p>
      <w:pPr>
        <w:spacing w:after="0" w:line="121"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Laundry and Cleaning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Reasonable laundry charges during business trips of seven or more </w:t>
      </w:r>
      <w:r>
        <w:rPr>
          <w:rFonts w:ascii="Arial" w:cs="Arial" w:eastAsia="Arial" w:hAnsi="Arial"/>
          <w:sz w:val="17"/>
          <w:szCs w:val="17"/>
          <w:b w:val="1"/>
          <w:bCs w:val="1"/>
          <w:color w:val="auto"/>
        </w:rPr>
        <w:t>consecutive</w:t>
      </w:r>
      <w:r>
        <w:rPr>
          <w:rFonts w:ascii="Arial" w:cs="Arial" w:eastAsia="Arial" w:hAnsi="Arial"/>
          <w:sz w:val="17"/>
          <w:szCs w:val="17"/>
          <w:color w:val="auto"/>
        </w:rPr>
        <w:t xml:space="preserve"> nights are reimbursable based on actual expenses incurred.</w:t>
      </w:r>
    </w:p>
    <w:p>
      <w:pPr>
        <w:spacing w:after="0" w:line="14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Communications</w:t>
      </w:r>
    </w:p>
    <w:p>
      <w:pPr>
        <w:spacing w:after="0" w:line="135" w:lineRule="exact"/>
        <w:rPr>
          <w:sz w:val="20"/>
          <w:szCs w:val="20"/>
          <w:color w:val="auto"/>
        </w:rPr>
      </w:pPr>
    </w:p>
    <w:p>
      <w:pPr>
        <w:ind w:left="1460" w:hanging="777"/>
        <w:spacing w:after="0"/>
        <w:tabs>
          <w:tab w:leader="none" w:pos="14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actual cost of landline telephone calls for AT&amp;T business is reimbursable. The use of AT&amp;T products is required when available.</w:t>
      </w:r>
    </w:p>
    <w:p>
      <w:pPr>
        <w:spacing w:after="0" w:line="142" w:lineRule="exact"/>
        <w:rPr>
          <w:rFonts w:ascii="Arial" w:cs="Arial" w:eastAsia="Arial" w:hAnsi="Arial"/>
          <w:sz w:val="17"/>
          <w:szCs w:val="17"/>
          <w:color w:val="auto"/>
        </w:rPr>
      </w:pPr>
    </w:p>
    <w:p>
      <w:pPr>
        <w:ind w:left="1460" w:right="300" w:hanging="777"/>
        <w:spacing w:after="0" w:line="264" w:lineRule="auto"/>
        <w:tabs>
          <w:tab w:leader="none" w:pos="1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AT&amp;T will not reimburse vendors for cell phone bills unless approved under the contract. With prior consent of the sponsoring AT&amp;T Senior Manager, only individual calls that </w:t>
      </w:r>
      <w:r>
        <w:rPr>
          <w:rFonts w:ascii="Arial" w:cs="Arial" w:eastAsia="Arial" w:hAnsi="Arial"/>
          <w:sz w:val="18"/>
          <w:szCs w:val="18"/>
          <w:b w:val="1"/>
          <w:bCs w:val="1"/>
          <w:color w:val="auto"/>
        </w:rPr>
        <w:t>exceed</w:t>
      </w:r>
      <w:r>
        <w:rPr>
          <w:rFonts w:ascii="Arial" w:cs="Arial" w:eastAsia="Arial" w:hAnsi="Arial"/>
          <w:sz w:val="18"/>
          <w:szCs w:val="18"/>
          <w:color w:val="auto"/>
        </w:rPr>
        <w:t xml:space="preserve"> a vendor’s rate plan that are necessary to conduct business for AT&amp;T may be reimbursed.</w:t>
      </w:r>
    </w:p>
    <w:p>
      <w:pPr>
        <w:spacing w:after="0" w:line="86" w:lineRule="exact"/>
        <w:rPr>
          <w:rFonts w:ascii="Arial" w:cs="Arial" w:eastAsia="Arial" w:hAnsi="Arial"/>
          <w:sz w:val="18"/>
          <w:szCs w:val="18"/>
          <w:color w:val="auto"/>
        </w:rPr>
      </w:pPr>
    </w:p>
    <w:p>
      <w:pPr>
        <w:ind w:left="1460" w:hanging="777"/>
        <w:spacing w:after="0"/>
        <w:tabs>
          <w:tab w:leader="none" w:pos="1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Charges for high speed internet access are not reimbursable unless specifically approved in the contract.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274"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Business Meals (Travel and Non-Travel)</w:t>
      </w:r>
    </w:p>
    <w:p>
      <w:pPr>
        <w:spacing w:after="0" w:line="121" w:lineRule="exact"/>
        <w:rPr>
          <w:sz w:val="20"/>
          <w:szCs w:val="20"/>
          <w:color w:val="auto"/>
        </w:rPr>
      </w:pPr>
    </w:p>
    <w:p>
      <w:pPr>
        <w:jc w:val="both"/>
        <w:ind w:left="700" w:right="220"/>
        <w:spacing w:after="0" w:line="259" w:lineRule="auto"/>
        <w:rPr>
          <w:sz w:val="20"/>
          <w:szCs w:val="20"/>
          <w:color w:val="auto"/>
        </w:rPr>
      </w:pPr>
      <w:r>
        <w:rPr>
          <w:rFonts w:ascii="Arial" w:cs="Arial" w:eastAsia="Arial" w:hAnsi="Arial"/>
          <w:sz w:val="18"/>
          <w:szCs w:val="18"/>
          <w:color w:val="auto"/>
        </w:rPr>
        <w:t>Vendors when dining alone on an out-of-town business trip are expected to spend $62 USD or less per day inclusive of tax and gratuity for meals within the U.S. and $153 USD equivalent or less per day inclusive of tax and gratuity for meals outside the U.S. except where governed by law or mandatory per diem. This includes all meals purchased during the day. Vendors should take into consideration the travel destination and exercise good judgment in incurring reasonable meal expenses.</w:t>
      </w:r>
    </w:p>
    <w:p>
      <w:pPr>
        <w:spacing w:after="0" w:line="79"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AT&amp;T managers authorizing invoices will be held accountable for ensuring that vendors are following this policy and are spending Company funds economically.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Flowers, Greeting Cards, Gifts and Incentive Awards</w:t>
      </w:r>
    </w:p>
    <w:p>
      <w:pPr>
        <w:spacing w:after="0" w:line="121" w:lineRule="exact"/>
        <w:rPr>
          <w:sz w:val="20"/>
          <w:szCs w:val="20"/>
          <w:color w:val="auto"/>
        </w:rPr>
      </w:pPr>
    </w:p>
    <w:p>
      <w:pPr>
        <w:ind w:left="700" w:right="560"/>
        <w:spacing w:after="0" w:line="308" w:lineRule="auto"/>
        <w:rPr>
          <w:sz w:val="20"/>
          <w:szCs w:val="20"/>
          <w:color w:val="auto"/>
        </w:rPr>
      </w:pPr>
      <w:r>
        <w:rPr>
          <w:rFonts w:ascii="Arial" w:cs="Arial" w:eastAsia="Arial" w:hAnsi="Arial"/>
          <w:sz w:val="17"/>
          <w:szCs w:val="17"/>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Loss or Damage to Personal Property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assumes no responsibility for loss or damage to a vendor’s personal property during business functions or hours.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Publications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Expenses incurred in the vicinity of home/work location</w:t>
      </w:r>
    </w:p>
    <w:p>
      <w:pPr>
        <w:spacing w:after="0" w:line="121"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Supplier shall not bill for travel, meal or living expenses when employees are working from their own homes, office locations or an AT&amp;T location that is within 50 miles of the employees’ residence or work location.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74"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Appendix I – Non-Disclosure Agreements</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220"/>
          </w:cols>
          <w:pgMar w:left="1440" w:top="274"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Appendix I, Exhibit 1 – Non-Disclosure Agreement between Amdocs and external auditors for AT&amp;T</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220"/>
          </w:cols>
          <w:pgMar w:left="1440" w:top="274" w:right="239" w:bottom="1440" w:gutter="0" w:footer="0" w:header="0"/>
        </w:sectPr>
      </w:pPr>
    </w:p>
    <w:bookmarkStart w:id="262" w:name="page263"/>
    <w:bookmarkEnd w:id="262"/>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NON-DISCLOSURE AND CONFIDENTIALITY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NON-DISCLOSURE AND CONFIDENTIALITY AGREEMENT</w:t>
      </w:r>
    </w:p>
    <w:p>
      <w:pPr>
        <w:spacing w:after="0" w:line="9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(“Agreement”) is made as of the </w:t>
      </w:r>
      <w:r>
        <w:rPr>
          <w:rFonts w:ascii="MS PGothic" w:cs="MS PGothic" w:eastAsia="MS PGothic" w:hAnsi="MS PGothic"/>
          <w:sz w:val="18"/>
          <w:szCs w:val="18"/>
          <w:color w:val="auto"/>
        </w:rPr>
        <w:t>∎</w:t>
      </w:r>
      <w:r>
        <w:rPr>
          <w:rFonts w:ascii="Arial" w:cs="Arial" w:eastAsia="Arial" w:hAnsi="Arial"/>
          <w:sz w:val="18"/>
          <w:szCs w:val="18"/>
          <w:color w:val="auto"/>
        </w:rPr>
        <w:t xml:space="preserve"> day of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AMDOCS INC.</w:t>
      </w:r>
      <w:r>
        <w:rPr>
          <w:rFonts w:ascii="Arial" w:cs="Arial" w:eastAsia="Arial" w:hAnsi="Arial"/>
          <w:sz w:val="18"/>
          <w:szCs w:val="18"/>
          <w:color w:val="auto"/>
        </w:rPr>
        <w:t>, a corporation organized and existing under the laws of the State of Delaware, having its principal offices at 1390 Timberlake Manor</w:t>
      </w:r>
      <w:r>
        <w:rPr>
          <w:rFonts w:ascii="Arial" w:cs="Arial" w:eastAsia="Arial" w:hAnsi="Arial"/>
          <w:sz w:val="18"/>
          <w:szCs w:val="18"/>
          <w:b w:val="1"/>
          <w:bCs w:val="1"/>
          <w:color w:val="auto"/>
        </w:rPr>
        <w:t xml:space="preserve"> </w:t>
      </w:r>
      <w:r>
        <w:rPr>
          <w:rFonts w:ascii="Arial" w:cs="Arial" w:eastAsia="Arial" w:hAnsi="Arial"/>
          <w:sz w:val="18"/>
          <w:szCs w:val="18"/>
          <w:color w:val="auto"/>
        </w:rPr>
        <w:t>Parkway, Chesterfield, MO 63017 (hereinafter referred to as “AMDOCS”);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88" w:lineRule="exact"/>
        <w:rPr>
          <w:sz w:val="20"/>
          <w:szCs w:val="20"/>
          <w:color w:val="auto"/>
        </w:rPr>
      </w:pPr>
    </w:p>
    <w:p>
      <w:pPr>
        <w:ind w:right="280" w:firstLine="8"/>
        <w:spacing w:after="0" w:line="239" w:lineRule="exact"/>
        <w:tabs>
          <w:tab w:leader="none" w:pos="153" w:val="left"/>
        </w:tabs>
        <w:numPr>
          <w:ilvl w:val="0"/>
          <w:numId w:val="313"/>
        </w:numPr>
        <w:rPr>
          <w:rFonts w:ascii="MS PGothic" w:cs="MS PGothic" w:eastAsia="MS PGothic" w:hAnsi="MS PGothic"/>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[corporation, partnership, etc.]</w:t>
      </w:r>
      <w:r>
        <w:rPr>
          <w:rFonts w:ascii="Arial" w:cs="Arial" w:eastAsia="Arial" w:hAnsi="Arial"/>
          <w:sz w:val="18"/>
          <w:szCs w:val="18"/>
          <w:color w:val="auto"/>
        </w:rPr>
        <w:t xml:space="preserve"> organized and existing under the laws of </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having its principal offices at </w:t>
      </w:r>
      <w:r>
        <w:rPr>
          <w:rFonts w:ascii="MS PGothic" w:cs="MS PGothic" w:eastAsia="MS PGothic" w:hAnsi="MS PGothic"/>
          <w:sz w:val="18"/>
          <w:szCs w:val="18"/>
          <w:color w:val="auto"/>
        </w:rPr>
        <w:t>∎</w:t>
      </w:r>
      <w:r>
        <w:rPr>
          <w:rFonts w:ascii="Arial" w:cs="Arial" w:eastAsia="Arial" w:hAnsi="Arial"/>
          <w:sz w:val="18"/>
          <w:szCs w:val="18"/>
          <w:color w:val="auto"/>
        </w:rPr>
        <w:t xml:space="preserve"> (hereinafter referred to as the “Receiving Party”).</w:t>
      </w:r>
    </w:p>
    <w:p>
      <w:pPr>
        <w:spacing w:after="0" w:line="199"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AMDOCS (or any of its affiliated companies) is the owner and/or author of and/or has the right to license certain valuable proprietary routines,</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 programs, documentation, trade secrets, systems, methodology, know-how, marketing and other commercial knowledge, techniques, specifications, plans and other proprietary information, whether in oral, written, graphic, electronic, or any other form or medium whatsoever, including any related ideas and look-and-feel, which are referred to in this Agreement as “the AMDOCS Proprietary Information”; 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SERVICES, INC. (“AT&amp;T”) would like the Receiving Party to provide it with certain services (the “Services”)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order to perform the Services, the Receiving Party must have access to the AMDOCS Proprietary Information, and AMDOCS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Receiving Party with such access to the AMDOCS Proprietary Information, subject to the Receiving Party first obligating itself to confidentiality by signing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as follows:</w:t>
      </w:r>
    </w:p>
    <w:p>
      <w:pPr>
        <w:spacing w:after="0" w:line="135" w:lineRule="exact"/>
        <w:rPr>
          <w:sz w:val="20"/>
          <w:szCs w:val="20"/>
          <w:color w:val="auto"/>
        </w:rPr>
      </w:pPr>
    </w:p>
    <w:p>
      <w:pPr>
        <w:ind w:left="680" w:right="340" w:hanging="672"/>
        <w:spacing w:after="0" w:line="257" w:lineRule="auto"/>
        <w:tabs>
          <w:tab w:leader="none" w:pos="6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this Agreement, “AMDOCS Confidential Information” means the software and any other AMDOCS Proprietary Information received by the Receiving Party from AT&amp;T or Amdocs where the AMDOCS Proprietary Information is clearly so marked or where the Receiving Party has otherwise been made aware that the AMDOCS Proprietary Information is confidential. For greater certainty, if AMDOCS notifies the Receiving Party that certain AMDOCS Proprietary Information already disclosed is confidential, that AMDOCS Proprietary Information shall become AMDOCS Confidential Information under this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274"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680" w:right="60" w:hanging="672"/>
        <w:spacing w:after="0" w:line="259" w:lineRule="auto"/>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Receiving Party agrees to hold in confidence the AMDOCS Confidential Information, including derivatives thereof in any form (e.g., reports or analyses relating to such information, whether or not provided by AMDOCS), and to refrain from copying, distributing, disseminating or otherwise disclosing the AMDOCS Confidential Information to anyone, other than to employees of the Receiving Party who have a need to know such information for purposes of performing the Services.</w:t>
      </w:r>
    </w:p>
    <w:p>
      <w:pPr>
        <w:spacing w:after="0" w:line="92" w:lineRule="exact"/>
        <w:rPr>
          <w:rFonts w:ascii="Arial" w:cs="Arial" w:eastAsia="Arial" w:hAnsi="Arial"/>
          <w:sz w:val="18"/>
          <w:szCs w:val="18"/>
          <w:color w:val="auto"/>
        </w:rPr>
      </w:pPr>
    </w:p>
    <w:p>
      <w:pPr>
        <w:ind w:left="680" w:hanging="672"/>
        <w:spacing w:after="0"/>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Furthermore, the Receiving Party hereby undertakes: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not to use the AMDOCS Confidential Information for any purposes other than performance of the Services;</w:t>
      </w:r>
    </w:p>
    <w:p>
      <w:pPr>
        <w:spacing w:after="0" w:line="130" w:lineRule="exact"/>
        <w:rPr>
          <w:rFonts w:ascii="Arial" w:cs="Arial" w:eastAsia="Arial" w:hAnsi="Arial"/>
          <w:sz w:val="18"/>
          <w:szCs w:val="18"/>
          <w:color w:val="auto"/>
        </w:rPr>
      </w:pPr>
    </w:p>
    <w:p>
      <w:pPr>
        <w:ind w:left="1480" w:right="160" w:hanging="797"/>
        <w:spacing w:after="0" w:line="277" w:lineRule="auto"/>
        <w:tabs>
          <w:tab w:leader="none" w:pos="14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not to sell, grant, make available to, or otherwise allow the use of the AMDOCS Confidential Information by any third party, directly or indirectly; and</w:t>
      </w:r>
    </w:p>
    <w:p>
      <w:pPr>
        <w:spacing w:after="0" w:line="75" w:lineRule="exact"/>
        <w:rPr>
          <w:rFonts w:ascii="Arial" w:cs="Arial" w:eastAsia="Arial" w:hAnsi="Arial"/>
          <w:sz w:val="18"/>
          <w:szCs w:val="18"/>
          <w:color w:val="auto"/>
        </w:rPr>
      </w:pPr>
    </w:p>
    <w:p>
      <w:pPr>
        <w:ind w:left="1480" w:right="80" w:hanging="797"/>
        <w:spacing w:after="0" w:line="264" w:lineRule="auto"/>
        <w:tabs>
          <w:tab w:leader="none" w:pos="14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not to use, directly or indirectly, the AMDOCS Confidential Information in the development and/or sale of software systems, for itself or for a third party, and/or in the provision of any services to a third party, except for the Services to be provided by the Receiving Party to AT&amp;T.</w:t>
      </w:r>
    </w:p>
    <w:p>
      <w:pPr>
        <w:spacing w:after="0" w:line="86" w:lineRule="exact"/>
        <w:rPr>
          <w:rFonts w:ascii="Arial" w:cs="Arial" w:eastAsia="Arial" w:hAnsi="Arial"/>
          <w:sz w:val="18"/>
          <w:szCs w:val="18"/>
          <w:color w:val="auto"/>
        </w:rPr>
      </w:pPr>
    </w:p>
    <w:p>
      <w:pPr>
        <w:ind w:left="680" w:right="180" w:hanging="672"/>
        <w:spacing w:after="0" w:line="277" w:lineRule="auto"/>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Upon the termination or expiration of this Agreement for any reason or upon the conclusion of the Services and/or at the request of AMDOCS, the Receiving Party shall:</w:t>
      </w:r>
    </w:p>
    <w:p>
      <w:pPr>
        <w:spacing w:after="0" w:line="75" w:lineRule="exact"/>
        <w:rPr>
          <w:rFonts w:ascii="Arial" w:cs="Arial" w:eastAsia="Arial" w:hAnsi="Arial"/>
          <w:sz w:val="18"/>
          <w:szCs w:val="18"/>
          <w:color w:val="auto"/>
        </w:rPr>
      </w:pPr>
    </w:p>
    <w:p>
      <w:pPr>
        <w:ind w:left="1480" w:right="800" w:hanging="797"/>
        <w:spacing w:after="0" w:line="277" w:lineRule="auto"/>
        <w:tabs>
          <w:tab w:leader="none" w:pos="14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return to AMDOCS any document or other material in tangible form in its possession being part of the AMDOCS Confidential Information; and</w:t>
      </w:r>
    </w:p>
    <w:p>
      <w:pPr>
        <w:spacing w:after="0" w:line="75" w:lineRule="exact"/>
        <w:rPr>
          <w:rFonts w:ascii="Arial" w:cs="Arial" w:eastAsia="Arial" w:hAnsi="Arial"/>
          <w:sz w:val="18"/>
          <w:szCs w:val="18"/>
          <w:color w:val="auto"/>
        </w:rPr>
      </w:pPr>
    </w:p>
    <w:p>
      <w:pPr>
        <w:ind w:left="1480" w:right="100" w:hanging="797"/>
        <w:spacing w:after="0" w:line="277" w:lineRule="auto"/>
        <w:tabs>
          <w:tab w:leader="none" w:pos="14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destroy any document or other material in tangible form that contains the AMDOCS Confidential Information together with confidential and/or proprietary information of a third party, and confirm such destruction in writing to AMDOCS.</w:t>
      </w:r>
    </w:p>
    <w:p>
      <w:pPr>
        <w:spacing w:after="0" w:line="75" w:lineRule="exact"/>
        <w:rPr>
          <w:rFonts w:ascii="Arial" w:cs="Arial" w:eastAsia="Arial" w:hAnsi="Arial"/>
          <w:sz w:val="18"/>
          <w:szCs w:val="18"/>
          <w:color w:val="auto"/>
        </w:rPr>
      </w:pPr>
    </w:p>
    <w:p>
      <w:pPr>
        <w:ind w:left="680" w:right="280" w:hanging="672"/>
        <w:spacing w:after="0" w:line="277" w:lineRule="auto"/>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Disclosure of the AMDOCS Confidential Information to the Receiving Party may be made in writing or other tangible form, electronically, or by demonstration of any product</w:t>
      </w:r>
      <w:r>
        <w:rPr>
          <w:rFonts w:ascii="Arial" w:cs="Arial" w:eastAsia="Arial" w:hAnsi="Arial"/>
          <w:sz w:val="18"/>
          <w:szCs w:val="18"/>
          <w:b w:val="1"/>
          <w:bCs w:val="1"/>
          <w:color w:val="auto"/>
        </w:rPr>
        <w:t>.</w:t>
      </w:r>
    </w:p>
    <w:p>
      <w:pPr>
        <w:spacing w:after="0" w:line="75" w:lineRule="exact"/>
        <w:rPr>
          <w:rFonts w:ascii="Arial" w:cs="Arial" w:eastAsia="Arial" w:hAnsi="Arial"/>
          <w:sz w:val="18"/>
          <w:szCs w:val="18"/>
          <w:color w:val="auto"/>
        </w:rPr>
      </w:pPr>
    </w:p>
    <w:p>
      <w:pPr>
        <w:ind w:left="680" w:right="40" w:hanging="672"/>
        <w:spacing w:after="0" w:line="264" w:lineRule="auto"/>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Disclosure of the AMDOCS Confidential Information to the Receiving Party shall in no way serve to create, on the part of the Receiving Party, a license to use, or any proprietary right in, the AMDOCS Confidential Information or in any other proprietary product, trade mark, copyright or other right of AMDOCS.</w:t>
      </w:r>
    </w:p>
    <w:p>
      <w:pPr>
        <w:spacing w:after="0" w:line="86" w:lineRule="exact"/>
        <w:rPr>
          <w:rFonts w:ascii="Arial" w:cs="Arial" w:eastAsia="Arial" w:hAnsi="Arial"/>
          <w:sz w:val="18"/>
          <w:szCs w:val="18"/>
          <w:color w:val="auto"/>
        </w:rPr>
      </w:pPr>
    </w:p>
    <w:p>
      <w:pPr>
        <w:ind w:left="680" w:right="20" w:hanging="672"/>
        <w:spacing w:after="0" w:line="297" w:lineRule="auto"/>
        <w:tabs>
          <w:tab w:leader="none" w:pos="68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Any use by the Receiving Party of the AMDOCS Confidential Information permitted under this Agreement is conditioned upon the Receiving Party first taking the safeguards and measures required to secure the confidentiality of such Proprietary Information. Without limiting the generality of the foregoing, the Receiving Party shall draw to the attention of its employees who will have access to the AMDOCS Confidential Information, all the obligations concerning the AMDOCS Confidential Information contained in this Agreement, and shall require each and every such employee to sign a written acknowledgment with respect to such obligations substantially in the form of the Annex attached hereto and made a part hereof.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74"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680" w:right="240" w:hanging="672"/>
        <w:spacing w:after="0" w:line="277" w:lineRule="auto"/>
        <w:tabs>
          <w:tab w:leader="none" w:pos="6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confidentiality obligations of the Receiving Party regarding the AMDOCS Confidential Information shall have not apply to such information which:</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becomes public domain without fault on the part of the Receiving Party;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is lawfully obtained by the Receiving Party from any source other than AMDOCS, free of any obligation to keep it confidential;</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is previously known to the Receiving Party without an obligation to keep it confidential, as can be substantiated by written records;</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is expressly released in writing from such obligations by AMDOCS; or</w:t>
      </w:r>
    </w:p>
    <w:p>
      <w:pPr>
        <w:spacing w:after="0" w:line="130" w:lineRule="exact"/>
        <w:rPr>
          <w:rFonts w:ascii="Arial" w:cs="Arial" w:eastAsia="Arial" w:hAnsi="Arial"/>
          <w:sz w:val="18"/>
          <w:szCs w:val="18"/>
          <w:color w:val="auto"/>
        </w:rPr>
      </w:pPr>
    </w:p>
    <w:p>
      <w:pPr>
        <w:ind w:left="1480" w:right="280" w:hanging="797"/>
        <w:spacing w:after="0" w:line="312" w:lineRule="auto"/>
        <w:tabs>
          <w:tab w:leader="none" w:pos="148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is required to be disclosed pursuant to law, regulation, judicial or administrative order, or request by a governmental or other entity authorized by law to make such request; provided, however, that the Receiving Party first notifies AMDOCS to enable it to seek relief from such requirement, and renders reasonable assistance requested by AMDOCS (at AMDOCS’ expense) in connection therewith.</w:t>
      </w:r>
    </w:p>
    <w:p>
      <w:pPr>
        <w:spacing w:after="0" w:line="52" w:lineRule="exact"/>
        <w:rPr>
          <w:rFonts w:ascii="Arial" w:cs="Arial" w:eastAsia="Arial" w:hAnsi="Arial"/>
          <w:sz w:val="16"/>
          <w:szCs w:val="16"/>
          <w:color w:val="auto"/>
        </w:rPr>
      </w:pPr>
    </w:p>
    <w:p>
      <w:pPr>
        <w:ind w:left="680" w:right="180" w:hanging="672"/>
        <w:spacing w:after="0" w:line="277" w:lineRule="auto"/>
        <w:tabs>
          <w:tab w:leader="none" w:pos="6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This Agreement shall be in full force and effect for a period of seven (7) years commencing on the date first stated above. However, the provisions of Section 3.c. above shall survive the termination and/or expiration of this Agreement for any reason.</w:t>
      </w:r>
    </w:p>
    <w:p>
      <w:pPr>
        <w:spacing w:after="0" w:line="75" w:lineRule="exact"/>
        <w:rPr>
          <w:rFonts w:ascii="Arial" w:cs="Arial" w:eastAsia="Arial" w:hAnsi="Arial"/>
          <w:sz w:val="18"/>
          <w:szCs w:val="18"/>
          <w:color w:val="auto"/>
        </w:rPr>
      </w:pPr>
    </w:p>
    <w:p>
      <w:pPr>
        <w:jc w:val="both"/>
        <w:ind w:left="680" w:right="220" w:hanging="672"/>
        <w:spacing w:after="0" w:line="264" w:lineRule="auto"/>
        <w:tabs>
          <w:tab w:leader="none" w:pos="6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Receiving Party acknowledges that a breach of this Agreement may cause AMDOCS extensive and irreparable harm and damage, and agrees that AMDOCS shall be entitled to injunctive relief to prevent use or disclosure of its Proprietary Information not authorized by this Agreement, in addition to any other remedy available to AMDOCS under applicable law.</w:t>
      </w:r>
    </w:p>
    <w:p>
      <w:pPr>
        <w:spacing w:after="0" w:line="86" w:lineRule="exact"/>
        <w:rPr>
          <w:rFonts w:ascii="Arial" w:cs="Arial" w:eastAsia="Arial" w:hAnsi="Arial"/>
          <w:sz w:val="18"/>
          <w:szCs w:val="18"/>
          <w:color w:val="auto"/>
        </w:rPr>
      </w:pPr>
    </w:p>
    <w:p>
      <w:pPr>
        <w:ind w:left="680" w:right="340" w:hanging="672"/>
        <w:spacing w:after="0" w:line="342" w:lineRule="auto"/>
        <w:tabs>
          <w:tab w:leader="none" w:pos="68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29" w:lineRule="exact"/>
        <w:rPr>
          <w:rFonts w:ascii="Arial" w:cs="Arial" w:eastAsia="Arial" w:hAnsi="Arial"/>
          <w:sz w:val="16"/>
          <w:szCs w:val="16"/>
          <w:color w:val="auto"/>
        </w:rPr>
      </w:pPr>
    </w:p>
    <w:p>
      <w:pPr>
        <w:ind w:left="680" w:right="80" w:hanging="672"/>
        <w:spacing w:after="0" w:line="297" w:lineRule="auto"/>
        <w:tabs>
          <w:tab w:leader="none" w:pos="68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or provisions, and the rights and obligations of the parties shall be construed and enforced accordingly. In addition, the parties hereby agree to co-operate with each other to replace the invalid or unenforceable provision(s) with a valid and enforceable provision(s) which will achieve the same result (to the maximum legal extent) as the provision(s) determined to be invalid or unenforceable.</w:t>
      </w:r>
    </w:p>
    <w:p>
      <w:pPr>
        <w:spacing w:after="0" w:line="63" w:lineRule="exact"/>
        <w:rPr>
          <w:rFonts w:ascii="Arial" w:cs="Arial" w:eastAsia="Arial" w:hAnsi="Arial"/>
          <w:sz w:val="16"/>
          <w:szCs w:val="16"/>
          <w:color w:val="auto"/>
        </w:rPr>
      </w:pPr>
    </w:p>
    <w:p>
      <w:pPr>
        <w:ind w:left="680" w:right="340" w:hanging="672"/>
        <w:spacing w:after="0" w:line="277" w:lineRule="auto"/>
        <w:tabs>
          <w:tab w:leader="none" w:pos="6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This Agreement shall be governed and construed under the laws of the State of New York, USA without giving effect to its provisions regarding conflicts of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274"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date first stated above.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1260" w:type="dxa"/>
            <w:vAlign w:val="bottom"/>
          </w:tcPr>
          <w:p>
            <w:pPr>
              <w:spacing w:after="0"/>
              <w:rPr>
                <w:sz w:val="24"/>
                <w:szCs w:val="24"/>
                <w:color w:val="auto"/>
              </w:rPr>
            </w:pPr>
          </w:p>
        </w:tc>
        <w:tc>
          <w:tcPr>
            <w:tcW w:w="47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74"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[ANNEX TO NON-DISCLOSURE AND CONFIDENTIALITY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ACKNOWLEDGMENT OF NON-DISCLOSURE OBLIGATIONS</w:t>
      </w:r>
    </w:p>
    <w:p>
      <w:pPr>
        <w:sectPr>
          <w:pgSz w:w="11900" w:h="16838" w:orient="portrait"/>
          <w:cols w:equalWidth="0" w:num="1">
            <w:col w:w="11420"/>
          </w:cols>
          <w:pgMar w:left="240" w:top="274"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have read and understand the Non-Disclosure and Confidentiality Agreement dated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between AMDOCS INC. and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and agree to be</w:t>
      </w:r>
    </w:p>
    <w:p>
      <w:pPr>
        <w:spacing w:after="0" w:line="57" w:lineRule="exact"/>
        <w:rPr>
          <w:sz w:val="20"/>
          <w:szCs w:val="20"/>
          <w:color w:val="auto"/>
        </w:rPr>
      </w:pPr>
    </w:p>
    <w:p>
      <w:pPr>
        <w:sectPr>
          <w:pgSz w:w="11900" w:h="16838" w:orient="portrait"/>
          <w:cols w:equalWidth="0" w:num="3">
            <w:col w:w="6340" w:space="720"/>
            <w:col w:w="2340" w:space="720"/>
            <w:col w:w="13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bound by all the provisions of that Agreement as if I were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311785</wp:posOffset>
            </wp:positionV>
            <wp:extent cx="28987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274" w:right="239" w:bottom="1440" w:gutter="0" w:footer="0" w:header="0"/>
          <w:type w:val="continuous"/>
        </w:sectPr>
      </w:pPr>
    </w:p>
    <w:bookmarkStart w:id="267" w:name="page268"/>
    <w:bookmarkEnd w:id="2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Appendix I, Exhibit 2 – Non-Disclosure between a vendor, consultant, or third party to AT&amp;T and AT&amp;T</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220"/>
          </w:cols>
          <w:pgMar w:left="1440" w:top="274"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NON-DISCLOSURE AGREEMENT</w:t>
      </w:r>
    </w:p>
    <w:p>
      <w:pPr>
        <w:spacing w:after="0" w:line="225"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THIS AGREEMENT</w:t>
      </w:r>
      <w:r>
        <w:rPr>
          <w:rFonts w:ascii="Arial" w:cs="Arial" w:eastAsia="Arial" w:hAnsi="Arial"/>
          <w:sz w:val="16"/>
          <w:szCs w:val="16"/>
          <w:color w:val="auto"/>
        </w:rPr>
        <w:t>, effective on the date when signed by the last Party (“Effective Date”), is between &lt;AT&amp;T Company&gt;, a &lt;AT&amp;T State Inc&gt;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on behalf of itself and its Affiliates (collectively “AT&amp;T”), and &lt;Supplier Name&gt;, a &lt;Supplier State Inc&gt; corporation, on behalf of itself and its Affiliates (collectively the “Receiving Party”). Each Party may be referred to in the singular as “Party” or in the plural as “the Parties” to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131" w:lineRule="exact"/>
        <w:rPr>
          <w:sz w:val="20"/>
          <w:szCs w:val="20"/>
          <w:color w:val="auto"/>
        </w:rPr>
      </w:pPr>
    </w:p>
    <w:p>
      <w:pPr>
        <w:ind w:left="680" w:right="20" w:hanging="672"/>
        <w:spacing w:after="0" w:line="273" w:lineRule="auto"/>
        <w:tabs>
          <w:tab w:leader="none" w:pos="68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In connection with ongoing discussions or negotiations between AT&amp;T and the Receiving Party concerning Project Name (the “Project), AT&amp;T may find it beneficial to disclose to the Receiving Party certain confidential or proprietary information in written, oral or other tangible or intangible forms, which may include, but is not limited to, discoveries, ideas, concepts, know-how, techniques, designs, specifications, drawings, blueprints, tracings, diagrams, models, samples, flow charts, data, computer programs, disks, diskettes, tapes, marketing plans, customer names and other technical, financial or business information (individually and collectively, “Information”). Information provided by AT&amp;T or its contractors shall be deemed to be confidential and proprietary unless otherwise exempt as specified below.</w:t>
      </w:r>
    </w:p>
    <w:p>
      <w:pPr>
        <w:spacing w:after="0" w:line="83" w:lineRule="exact"/>
        <w:rPr>
          <w:rFonts w:ascii="Arial" w:cs="Arial" w:eastAsia="Arial" w:hAnsi="Arial"/>
          <w:sz w:val="17"/>
          <w:szCs w:val="17"/>
          <w:color w:val="auto"/>
        </w:rPr>
      </w:pPr>
    </w:p>
    <w:p>
      <w:pPr>
        <w:ind w:left="680" w:right="100" w:hanging="672"/>
        <w:spacing w:after="0" w:line="257" w:lineRule="auto"/>
        <w:tabs>
          <w:tab w:leader="none" w:pos="6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Receiving Party understands that, except as otherwise agreed in writing, the Information which it may receive concerning AT&amp;T’s future plans with respect to the Project is tentative and is not intended to represent firm decisions concerning the implementation of such plans. Information provided by AT&amp;T does not represent a commitment to purchase or otherwise acquire any products or services from the Receiving Party. If AT&amp;T desires to purchase or otherwise acquire any products or services from the Receiving Party, the Parties will execute a separate written Agreement to govern such transactions.</w:t>
      </w:r>
    </w:p>
    <w:p>
      <w:pPr>
        <w:spacing w:after="0" w:line="93" w:lineRule="exact"/>
        <w:rPr>
          <w:rFonts w:ascii="Arial" w:cs="Arial" w:eastAsia="Arial" w:hAnsi="Arial"/>
          <w:sz w:val="18"/>
          <w:szCs w:val="18"/>
          <w:color w:val="auto"/>
        </w:rPr>
      </w:pPr>
    </w:p>
    <w:p>
      <w:pPr>
        <w:ind w:left="680" w:hanging="672"/>
        <w:spacing w:after="0"/>
        <w:tabs>
          <w:tab w:leader="none" w:pos="6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Receiving Party shall:</w:t>
      </w:r>
    </w:p>
    <w:p>
      <w:pPr>
        <w:spacing w:after="0" w:line="130" w:lineRule="exact"/>
        <w:rPr>
          <w:rFonts w:ascii="Arial" w:cs="Arial" w:eastAsia="Arial" w:hAnsi="Arial"/>
          <w:sz w:val="18"/>
          <w:szCs w:val="18"/>
          <w:color w:val="auto"/>
        </w:rPr>
      </w:pPr>
    </w:p>
    <w:p>
      <w:pPr>
        <w:ind w:left="1480" w:right="620" w:hanging="797"/>
        <w:spacing w:after="0" w:line="277" w:lineRule="auto"/>
        <w:tabs>
          <w:tab w:leader="none" w:pos="14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hold such Information in confidence with the same degree of care with which the Receiving Party protects its own confidential or proprietary Information, but no less than reasonably prudent care;</w:t>
      </w:r>
    </w:p>
    <w:p>
      <w:pPr>
        <w:spacing w:after="0" w:line="75" w:lineRule="exact"/>
        <w:rPr>
          <w:rFonts w:ascii="Arial" w:cs="Arial" w:eastAsia="Arial" w:hAnsi="Arial"/>
          <w:sz w:val="18"/>
          <w:szCs w:val="18"/>
          <w:color w:val="auto"/>
        </w:rPr>
      </w:pPr>
    </w:p>
    <w:p>
      <w:pPr>
        <w:ind w:left="1480" w:right="160" w:hanging="797"/>
        <w:spacing w:after="0" w:line="264" w:lineRule="auto"/>
        <w:tabs>
          <w:tab w:leader="none" w:pos="14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restrict disclosure of the Information solely to its employees, contractors and agents with a need to know such Information, advise those persons of their obligations hereunder with respect to such Information, and assure that such persons are bound by obligations of confidentiality no less stringent than those imposed in this Agreement;</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use the Information only as needed for the purposes of the Project;</w:t>
      </w:r>
    </w:p>
    <w:p>
      <w:pPr>
        <w:spacing w:after="0" w:line="130" w:lineRule="exact"/>
        <w:rPr>
          <w:rFonts w:ascii="Arial" w:cs="Arial" w:eastAsia="Arial" w:hAnsi="Arial"/>
          <w:sz w:val="18"/>
          <w:szCs w:val="18"/>
          <w:color w:val="auto"/>
        </w:rPr>
      </w:pPr>
    </w:p>
    <w:p>
      <w:pPr>
        <w:jc w:val="both"/>
        <w:ind w:left="1480" w:right="220" w:hanging="797"/>
        <w:spacing w:after="0" w:line="342" w:lineRule="auto"/>
        <w:tabs>
          <w:tab w:leader="none" w:pos="148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except for the purposes of the Project, not copy, distribute, or otherwise use such Information or knowingly allow anyone else to copy, distribute, or otherwise use such Information, and any and all copies shall bear the same notices or legends, if any, as the originals; and</w:t>
      </w:r>
    </w:p>
    <w:p>
      <w:pPr>
        <w:spacing w:after="0" w:line="29" w:lineRule="exact"/>
        <w:rPr>
          <w:rFonts w:ascii="Arial" w:cs="Arial" w:eastAsia="Arial" w:hAnsi="Arial"/>
          <w:sz w:val="16"/>
          <w:szCs w:val="16"/>
          <w:color w:val="auto"/>
        </w:rPr>
      </w:pPr>
    </w:p>
    <w:p>
      <w:pPr>
        <w:ind w:left="1480" w:right="140" w:hanging="797"/>
        <w:spacing w:after="0" w:line="259" w:lineRule="auto"/>
        <w:tabs>
          <w:tab w:leader="none" w:pos="14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upon request, promptly return to the AT&amp;T all Information that is in tangible form; as to Information that was disclosed in intangible form, including, but not limited to electronic mail, upon request by AT&amp;T, the Receiving Party shall certify in writing within five (5) business days to AT&amp;T that all such Information has been destroyed or, if the Information was recorded on an erasable storage medium, that all such Information has been erased.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274"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680" w:right="820" w:hanging="672"/>
        <w:spacing w:after="0" w:line="277" w:lineRule="auto"/>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Receiving Party possessing or receiving Information shall have no obligation to preserve the confidential or proprietary nature of any Information which:</w:t>
      </w:r>
    </w:p>
    <w:p>
      <w:pPr>
        <w:spacing w:after="0" w:line="75" w:lineRule="exact"/>
        <w:rPr>
          <w:rFonts w:ascii="Arial" w:cs="Arial" w:eastAsia="Arial" w:hAnsi="Arial"/>
          <w:sz w:val="18"/>
          <w:szCs w:val="18"/>
          <w:color w:val="auto"/>
        </w:rPr>
      </w:pPr>
    </w:p>
    <w:p>
      <w:pPr>
        <w:ind w:left="1480" w:right="760" w:hanging="797"/>
        <w:spacing w:after="0" w:line="277" w:lineRule="auto"/>
        <w:tabs>
          <w:tab w:leader="none" w:pos="1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was already known to the Receiving Party free of any obligation to keep it confidential at the time of its disclosure by AT&amp;T as evidenced by the Receiving Party’s written records prepared prior to such disclosure; 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is or becomes publicly known through no wrongful act of the Receiving Party; or</w:t>
      </w:r>
    </w:p>
    <w:p>
      <w:pPr>
        <w:spacing w:after="0" w:line="130" w:lineRule="exact"/>
        <w:rPr>
          <w:rFonts w:ascii="Arial" w:cs="Arial" w:eastAsia="Arial" w:hAnsi="Arial"/>
          <w:sz w:val="18"/>
          <w:szCs w:val="18"/>
          <w:color w:val="auto"/>
        </w:rPr>
      </w:pPr>
    </w:p>
    <w:p>
      <w:pPr>
        <w:ind w:left="1480" w:right="180" w:hanging="797"/>
        <w:spacing w:after="0" w:line="277" w:lineRule="auto"/>
        <w:tabs>
          <w:tab w:leader="none" w:pos="1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is rightfully received from a third person having no direct or indirect secrecy or confidentiality obligation to AT&amp;T with respect to such Information; or</w:t>
      </w:r>
    </w:p>
    <w:p>
      <w:pPr>
        <w:spacing w:after="0" w:line="75" w:lineRule="exact"/>
        <w:rPr>
          <w:rFonts w:ascii="Arial" w:cs="Arial" w:eastAsia="Arial" w:hAnsi="Arial"/>
          <w:sz w:val="18"/>
          <w:szCs w:val="18"/>
          <w:color w:val="auto"/>
        </w:rPr>
      </w:pPr>
    </w:p>
    <w:p>
      <w:pPr>
        <w:ind w:left="1480" w:right="240" w:hanging="797"/>
        <w:spacing w:after="0" w:line="277" w:lineRule="auto"/>
        <w:tabs>
          <w:tab w:leader="none" w:pos="1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is independently developed by an employee, contractor or agent of the Receiving Party or another party not associated with the Project and who did not have any direct or indirect access to the Information; 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is approved for release by written authorization by AT&amp;T; or</w:t>
      </w:r>
    </w:p>
    <w:p>
      <w:pPr>
        <w:spacing w:after="0" w:line="130" w:lineRule="exact"/>
        <w:rPr>
          <w:rFonts w:ascii="Arial" w:cs="Arial" w:eastAsia="Arial" w:hAnsi="Arial"/>
          <w:sz w:val="18"/>
          <w:szCs w:val="18"/>
          <w:color w:val="auto"/>
        </w:rPr>
      </w:pPr>
    </w:p>
    <w:p>
      <w:pPr>
        <w:ind w:left="1480" w:right="80" w:hanging="797"/>
        <w:spacing w:after="0" w:line="308" w:lineRule="auto"/>
        <w:tabs>
          <w:tab w:leader="none" w:pos="148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it is required to disclose pursuant to an order of a duly empowered government agency or a court of competent jurisdiction, provided due notice and an adequate opportunity to intervene is given to AT&amp;T, unless such notice is prohibited by such order.</w:t>
      </w:r>
    </w:p>
    <w:p>
      <w:pPr>
        <w:spacing w:after="0" w:line="51" w:lineRule="exact"/>
        <w:rPr>
          <w:rFonts w:ascii="Arial" w:cs="Arial" w:eastAsia="Arial" w:hAnsi="Arial"/>
          <w:sz w:val="17"/>
          <w:szCs w:val="17"/>
          <w:color w:val="auto"/>
        </w:rPr>
      </w:pPr>
    </w:p>
    <w:p>
      <w:pPr>
        <w:ind w:left="680" w:right="160" w:hanging="672"/>
        <w:spacing w:after="0" w:line="277" w:lineRule="auto"/>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This Agreement shall apply to all Information relating to the Project disclosed by AT&amp;T and shall continue for a period of five (5) years thereafter. The term of this Agreement is three (3) years from the above stated Effective Date.</w:t>
      </w:r>
    </w:p>
    <w:p>
      <w:pPr>
        <w:spacing w:after="0" w:line="75" w:lineRule="exact"/>
        <w:rPr>
          <w:rFonts w:ascii="Arial" w:cs="Arial" w:eastAsia="Arial" w:hAnsi="Arial"/>
          <w:sz w:val="18"/>
          <w:szCs w:val="18"/>
          <w:color w:val="auto"/>
        </w:rPr>
      </w:pPr>
    </w:p>
    <w:p>
      <w:pPr>
        <w:ind w:left="680" w:right="560" w:hanging="672"/>
        <w:spacing w:after="0" w:line="342" w:lineRule="auto"/>
        <w:tabs>
          <w:tab w:leader="none" w:pos="68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Information shall be deemed the property of AT&amp;T, who exclusively shall retain all rights to such Information. Nothing contained in this Agreement shall be construed as granting or conferring any rights by license or otherwise in any such Information to the Receiving Party.</w:t>
      </w:r>
    </w:p>
    <w:p>
      <w:pPr>
        <w:spacing w:after="0" w:line="29" w:lineRule="exact"/>
        <w:rPr>
          <w:rFonts w:ascii="Arial" w:cs="Arial" w:eastAsia="Arial" w:hAnsi="Arial"/>
          <w:sz w:val="16"/>
          <w:szCs w:val="16"/>
          <w:color w:val="auto"/>
        </w:rPr>
      </w:pPr>
    </w:p>
    <w:p>
      <w:pPr>
        <w:ind w:left="680" w:right="140" w:hanging="672"/>
        <w:spacing w:after="0" w:line="259" w:lineRule="auto"/>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This Agreement shall benefit and be binding upon the Parties hereto and their respective Affiliates, successors and assigns. For the purposes of this Agreement, the term “Affiliate” means (1) a company, whether incorporated or not, which owns, directly or indirectly, a majority interest in either Party (a “parent company”), and (2) a company, whether incorporated or not, in which a five percent (5%) or greater interest is owned, either directly or indirectly, by: (i) either Party or (ii) a parent company.</w:t>
      </w:r>
    </w:p>
    <w:p>
      <w:pPr>
        <w:spacing w:after="0" w:line="92" w:lineRule="exact"/>
        <w:rPr>
          <w:rFonts w:ascii="Arial" w:cs="Arial" w:eastAsia="Arial" w:hAnsi="Arial"/>
          <w:sz w:val="18"/>
          <w:szCs w:val="18"/>
          <w:color w:val="auto"/>
        </w:rPr>
      </w:pPr>
    </w:p>
    <w:p>
      <w:pPr>
        <w:ind w:left="680" w:right="200" w:hanging="672"/>
        <w:spacing w:after="0" w:line="259" w:lineRule="auto"/>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AT&amp;T MAKES NO REPRESENTATIONS OR WARRANTIES OF ANY NATURE WHATSOEVER WITH RESPECT TO ANY INFORMATION FURNISHED HEREUNDER, INCLUDING, WITHOUT LIMITATION, ANY WARRANTIES OF MERCHANTABILITY OR FITNESS FOR A PARTICULAR PURPOSE OR AGAINST INFRINGEMENT.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274"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680" w:right="200" w:hanging="672"/>
        <w:spacing w:after="0" w:line="279" w:lineRule="auto"/>
        <w:tabs>
          <w:tab w:leader="none" w:pos="68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In the event the Receiving Party discloses, disseminates, or releases any confidential or proprietary Information received from AT&amp;T, except as provided in Section 4, such disclosure, dissemination, or release shall be deemed a material breach of this Agreement. AT&amp;T may demand prompt return of all confidential and proprietary Information previously provided to the Receiving Party and terminate this Agreement. The provisions of this Section are in addition to any other legal rights or remedies AT&amp;T may have in law or in equity.</w:t>
      </w:r>
    </w:p>
    <w:p>
      <w:pPr>
        <w:spacing w:after="0" w:line="76" w:lineRule="exact"/>
        <w:rPr>
          <w:rFonts w:ascii="Arial" w:cs="Arial" w:eastAsia="Arial" w:hAnsi="Arial"/>
          <w:sz w:val="17"/>
          <w:szCs w:val="17"/>
          <w:color w:val="auto"/>
        </w:rPr>
      </w:pPr>
    </w:p>
    <w:p>
      <w:pPr>
        <w:ind w:left="680" w:right="800" w:hanging="672"/>
        <w:spacing w:after="0" w:line="277" w:lineRule="auto"/>
        <w:tabs>
          <w:tab w:leader="none" w:pos="6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This Agreement may only be changed or supplemented by a written amendment signed by authorized representatives of the Parties to this Agreement.</w:t>
      </w:r>
    </w:p>
    <w:p>
      <w:pPr>
        <w:spacing w:after="0" w:line="75" w:lineRule="exact"/>
        <w:rPr>
          <w:rFonts w:ascii="Arial" w:cs="Arial" w:eastAsia="Arial" w:hAnsi="Arial"/>
          <w:sz w:val="18"/>
          <w:szCs w:val="18"/>
          <w:color w:val="auto"/>
        </w:rPr>
      </w:pPr>
    </w:p>
    <w:p>
      <w:pPr>
        <w:ind w:left="680" w:right="40" w:hanging="672"/>
        <w:spacing w:after="0" w:line="288" w:lineRule="auto"/>
        <w:tabs>
          <w:tab w:leader="none" w:pos="6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Texas, irrespective of its choice of law principles. Both Parties agree to comply with all laws, including, but not limited to, laws and regulations regarding the export of information outside the United States. The Receiving Party will not knowingly transmit, directly or indirectly, in whole or in part, any Information of AT&amp;T, or export, directly or indirectly, any product of the Information in contravention of the laws of the United States or the laws of any other country governing the aforesaid activities. The Receiving Party will not transfer any Information received hereunder or any product made using such Information to any country prohibited from receiving such data or product by the U.S. Department of Commerce Export Administration Regulations without first obtaining a valid export license and written consent of AT&amp;T. In the event the Receiving Party violates the foregoing, it agrees to defend, indemnify, and hold harmless AT&amp;T from and against any claim, loss, liability, expense or damage including fines or legal fees, incurred by AT&amp;T with respect to the export or re-export activities contrary to the foregoing. Notwithstanding any other provision of this Agreement or any Supplement attached hereto, this Section shall survive any termination or expiration of this Agreement and any Supplements attached hereto.</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which may be in duplicate counterparts, each of which will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instrument, as of the date the last Party signs.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&lt;Supplier Name&gt;</w:t>
            </w:r>
          </w:p>
        </w:tc>
        <w:tc>
          <w:tcPr>
            <w:tcW w:w="6020" w:type="dxa"/>
            <w:vAlign w:val="bottom"/>
            <w:gridSpan w:val="4"/>
          </w:tcPr>
          <w:p>
            <w:pPr>
              <w:ind w:left="62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5"/>
          </w:tcPr>
          <w:p>
            <w:pPr>
              <w:spacing w:after="0"/>
              <w:rPr>
                <w:sz w:val="24"/>
                <w:szCs w:val="24"/>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3"/>
          </w:tcPr>
          <w:p>
            <w:pPr>
              <w:spacing w:after="0"/>
              <w:rPr>
                <w:sz w:val="24"/>
                <w:szCs w:val="24"/>
                <w:color w:val="auto"/>
              </w:rPr>
            </w:pPr>
          </w:p>
        </w:tc>
      </w:tr>
      <w:tr>
        <w:trPr>
          <w:trHeight w:val="439"/>
        </w:trPr>
        <w:tc>
          <w:tcPr>
            <w:tcW w:w="1260" w:type="dxa"/>
            <w:vAlign w:val="bottom"/>
            <w:gridSpan w:val="3"/>
          </w:tcPr>
          <w:p>
            <w:pPr>
              <w:spacing w:after="0"/>
              <w:rPr>
                <w:sz w:val="20"/>
                <w:szCs w:val="20"/>
                <w:color w:val="auto"/>
              </w:rPr>
            </w:pPr>
            <w:r>
              <w:rPr>
                <w:rFonts w:ascii="Arial" w:cs="Arial" w:eastAsia="Arial" w:hAnsi="Arial"/>
                <w:sz w:val="18"/>
                <w:szCs w:val="18"/>
                <w:color w:val="auto"/>
              </w:rPr>
              <w:t>Printed Name:</w:t>
            </w:r>
          </w:p>
        </w:tc>
        <w:tc>
          <w:tcPr>
            <w:tcW w:w="410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3"/>
          </w:tcPr>
          <w:p>
            <w:pPr>
              <w:ind w:left="680"/>
              <w:spacing w:after="0"/>
              <w:rPr>
                <w:sz w:val="20"/>
                <w:szCs w:val="20"/>
                <w:color w:val="auto"/>
              </w:rPr>
            </w:pPr>
            <w:r>
              <w:rPr>
                <w:rFonts w:ascii="Arial" w:cs="Arial" w:eastAsia="Arial" w:hAnsi="Arial"/>
                <w:sz w:val="18"/>
                <w:szCs w:val="18"/>
                <w:color w:val="auto"/>
              </w:rPr>
              <w:t>Printed Name:</w:t>
            </w:r>
          </w:p>
        </w:tc>
        <w:tc>
          <w:tcPr>
            <w:tcW w:w="4100" w:type="dxa"/>
            <w:vAlign w:val="bottom"/>
            <w:tcBorders>
              <w:bottom w:val="single" w:sz="8" w:color="auto"/>
            </w:tcBorders>
          </w:tcPr>
          <w:p>
            <w:pPr>
              <w:spacing w:after="0"/>
              <w:rPr>
                <w:sz w:val="24"/>
                <w:szCs w:val="24"/>
                <w:color w:val="auto"/>
              </w:rPr>
            </w:pPr>
          </w:p>
        </w:tc>
      </w:tr>
      <w:tr>
        <w:trPr>
          <w:trHeight w:val="439"/>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gridSpan w:val="2"/>
          </w:tcPr>
          <w:p>
            <w:pPr>
              <w:spacing w:after="0"/>
              <w:rPr>
                <w:sz w:val="24"/>
                <w:szCs w:val="24"/>
                <w:color w:val="auto"/>
              </w:rPr>
            </w:pPr>
          </w:p>
        </w:tc>
      </w:tr>
      <w:tr>
        <w:trPr>
          <w:trHeight w:val="439"/>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gridSpan w:val="2"/>
          </w:tcPr>
          <w:p>
            <w:pPr>
              <w:spacing w:after="0"/>
              <w:rPr>
                <w:sz w:val="24"/>
                <w:szCs w:val="24"/>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274"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Appendix I, Exhibit 3 – Non-Disclosure Agreement between Supplier’s Subcontractors and Supplier</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20" w:right="1200"/>
        <w:spacing w:after="0" w:line="261" w:lineRule="auto"/>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 representatives, and Supplier except under written agreement by the contracting parties.</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220"/>
          </w:cols>
          <w:pgMar w:left="1440" w:top="274" w:right="2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w w:val="90"/>
              </w:rPr>
              <w:t>Software and Professional Services Agreement</w:t>
            </w:r>
          </w:p>
        </w:tc>
      </w:tr>
      <w:tr>
        <w:trPr>
          <w:trHeight w:val="324"/>
        </w:trPr>
        <w:tc>
          <w:tcPr>
            <w:tcW w:w="318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NON-DISCLOSURE AND CONFIDENTIALITY AGREEMENT</w:t>
            </w:r>
          </w:p>
        </w:tc>
        <w:tc>
          <w:tcPr>
            <w:tcW w:w="2560" w:type="dxa"/>
            <w:vAlign w:val="bottom"/>
          </w:tcPr>
          <w:p>
            <w:pPr>
              <w:spacing w:after="0"/>
              <w:rPr>
                <w:sz w:val="24"/>
                <w:szCs w:val="24"/>
                <w:color w:val="auto"/>
              </w:rPr>
            </w:pPr>
          </w:p>
        </w:tc>
      </w:tr>
      <w:tr>
        <w:trPr>
          <w:trHeight w:val="20"/>
        </w:trPr>
        <w:tc>
          <w:tcPr>
            <w:tcW w:w="3180" w:type="dxa"/>
            <w:vAlign w:val="bottom"/>
          </w:tcPr>
          <w:p>
            <w:pPr>
              <w:spacing w:after="0" w:line="20" w:lineRule="exact"/>
              <w:rPr>
                <w:sz w:val="1"/>
                <w:szCs w:val="1"/>
                <w:color w:val="auto"/>
              </w:rPr>
            </w:pPr>
          </w:p>
        </w:tc>
        <w:tc>
          <w:tcPr>
            <w:tcW w:w="48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53"/>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THIS NON-DISCLOSURE AND CONFIDENTIALITY AGREEMENT </w:t>
            </w:r>
            <w:r>
              <w:rPr>
                <w:rFonts w:ascii="Arial" w:cs="Arial" w:eastAsia="Arial" w:hAnsi="Arial"/>
                <w:sz w:val="18"/>
                <w:szCs w:val="18"/>
                <w:color w:val="auto"/>
                <w:w w:val="99"/>
              </w:rPr>
              <w:t>(“Agreement”) is made as of the</w:t>
            </w:r>
          </w:p>
        </w:tc>
        <w:tc>
          <w:tcPr>
            <w:tcW w:w="26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day of</w:t>
            </w:r>
          </w:p>
        </w:tc>
        <w:tc>
          <w:tcPr>
            <w:tcW w:w="2560" w:type="dxa"/>
            <w:vAlign w:val="bottom"/>
          </w:tcPr>
          <w:p>
            <w:pPr>
              <w:jc w:val="right"/>
              <w:ind w:right="2110"/>
              <w:spacing w:after="0"/>
              <w:rPr>
                <w:sz w:val="20"/>
                <w:szCs w:val="20"/>
                <w:color w:val="auto"/>
              </w:rPr>
            </w:pPr>
            <w:r>
              <w:rPr>
                <w:rFonts w:ascii="Arial" w:cs="Arial" w:eastAsia="Arial" w:hAnsi="Arial"/>
                <w:sz w:val="18"/>
                <w:szCs w:val="18"/>
                <w:color w:val="auto"/>
              </w:rPr>
              <w:t>, 20</w:t>
            </w: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BY AND BETWEEN</w:t>
            </w: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10"/>
        </w:trPr>
        <w:tc>
          <w:tcPr>
            <w:tcW w:w="5880" w:type="dxa"/>
            <w:vAlign w:val="bottom"/>
            <w:gridSpan w:val="2"/>
          </w:tcPr>
          <w:p>
            <w:pPr>
              <w:spacing w:after="0"/>
              <w:rPr>
                <w:sz w:val="20"/>
                <w:szCs w:val="20"/>
                <w:color w:val="auto"/>
              </w:rPr>
            </w:pPr>
            <w:r>
              <w:rPr>
                <w:rFonts w:ascii="Arial" w:cs="Arial" w:eastAsia="Arial" w:hAnsi="Arial"/>
                <w:sz w:val="18"/>
                <w:szCs w:val="18"/>
                <w:color w:val="auto"/>
                <w:w w:val="97"/>
              </w:rPr>
              <w:t>[Systems Integrator], a corporation organized and existing under the laws of</w:t>
            </w:r>
          </w:p>
        </w:tc>
        <w:tc>
          <w:tcPr>
            <w:tcW w:w="2980" w:type="dxa"/>
            <w:vAlign w:val="bottom"/>
            <w:gridSpan w:val="3"/>
          </w:tcPr>
          <w:p>
            <w:pPr>
              <w:ind w:left="380"/>
              <w:spacing w:after="0"/>
              <w:rPr>
                <w:sz w:val="20"/>
                <w:szCs w:val="20"/>
                <w:color w:val="auto"/>
              </w:rPr>
            </w:pPr>
            <w:r>
              <w:rPr>
                <w:rFonts w:ascii="Arial" w:cs="Arial" w:eastAsia="Arial" w:hAnsi="Arial"/>
                <w:sz w:val="18"/>
                <w:szCs w:val="18"/>
                <w:color w:val="auto"/>
              </w:rPr>
              <w:t>, having its principal offices at</w:t>
            </w: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(hereinafter referred to as</w:t>
            </w: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AMDOCS, INC. </w:t>
      </w:r>
      <w:r>
        <w:rPr>
          <w:rFonts w:ascii="Arial" w:cs="Arial" w:eastAsia="Arial" w:hAnsi="Arial"/>
          <w:sz w:val="18"/>
          <w:szCs w:val="18"/>
          <w:color w:val="auto"/>
        </w:rPr>
        <w:t>a corporation organized and existing under the laws of Delaware, having its principal offices at 1390 Timberlake Manor Parkway,</w:t>
      </w:r>
      <w:r>
        <w:rPr>
          <w:rFonts w:ascii="Arial" w:cs="Arial" w:eastAsia="Arial" w:hAnsi="Arial"/>
          <w:sz w:val="18"/>
          <w:szCs w:val="18"/>
          <w:b w:val="1"/>
          <w:bCs w:val="1"/>
          <w:color w:val="auto"/>
        </w:rPr>
        <w:t xml:space="preserve"> </w:t>
      </w:r>
      <w:r>
        <w:rPr>
          <w:rFonts w:ascii="Arial" w:cs="Arial" w:eastAsia="Arial" w:hAnsi="Arial"/>
          <w:sz w:val="18"/>
          <w:szCs w:val="18"/>
          <w:color w:val="auto"/>
        </w:rPr>
        <w:t>Chesterfield, MO 63017 (hereinafter referred to as “AMDOCS”).</w:t>
      </w:r>
    </w:p>
    <w:p>
      <w:pPr>
        <w:spacing w:after="0" w:line="162"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COMPANY is the owner and/or the author of and/or has the rights to disclose certain valuable proprietary documentation and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technical information relating to its current and future business plans, which are not generally available to the public and which COMPANY may desire to protect against unrestricted disclosure or competitive use, all of which are referred to in this Agreement as the “COMPANY Proprietary Information”; and</w:t>
      </w:r>
    </w:p>
    <w:p>
      <w:pPr>
        <w:spacing w:after="0" w:line="142"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AMDOCS (or any of its affiliated companies) is the owner and/or author of and/or has the rights to license certain valuable proprietary routines,</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 programs, documentation, trade-secrets, systems, methodology, know-how, marketing and other commercial knowledge, techniques, specifications, plans and other proprietary information, including but not limited to material associated with, and forming part of, any proprietary software systems of AMDOCS, which are referred to in this Agreement as the “AMDOCS Proprietary Information”; and</w:t>
      </w:r>
    </w:p>
    <w:p>
      <w:pPr>
        <w:spacing w:after="0" w:line="16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each party may, in connection with the Project, disclose to the other party information which is part of its Proprietary Information and, 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wish to set forth the manner in which the COMPANY Proprietary Information and the AMDOCS Proprietary Information will be treated during the Project;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herein, the parties agree as follows:</w:t>
      </w:r>
    </w:p>
    <w:p>
      <w:pPr>
        <w:spacing w:after="0" w:line="135" w:lineRule="exact"/>
        <w:rPr>
          <w:sz w:val="20"/>
          <w:szCs w:val="20"/>
          <w:color w:val="auto"/>
        </w:rPr>
      </w:pPr>
    </w:p>
    <w:p>
      <w:pPr>
        <w:ind w:left="680" w:right="520" w:hanging="672"/>
        <w:spacing w:after="0" w:line="277" w:lineRule="auto"/>
        <w:tabs>
          <w:tab w:leader="none" w:pos="6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term “Proprietary Information”, whenever relating to COMPANY’s information, shall mean the COMPANY Proprietary Information and whenever relating to AMDOCS’ information, shall mean the AMDOCS Proprietary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274"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680" w:right="60" w:hanging="672"/>
        <w:spacing w:after="0" w:line="259"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receiving party agrees to hold in confidence the disclosing party’s Proprietary Information, and to refrain from copying, distributing, disseminating or otherwise disclosing such Proprietary Information to anyone, other than to those of its employees who have a need to know such Proprietary Information for purposes of the Project. AMDOCS’ employees are deemed to include employees of its affiliates who will be involved in the Project.</w:t>
      </w:r>
    </w:p>
    <w:p>
      <w:pPr>
        <w:spacing w:after="0" w:line="92" w:lineRule="exact"/>
        <w:rPr>
          <w:rFonts w:ascii="Arial" w:cs="Arial" w:eastAsia="Arial" w:hAnsi="Arial"/>
          <w:sz w:val="18"/>
          <w:szCs w:val="18"/>
          <w:color w:val="auto"/>
        </w:rPr>
      </w:pPr>
    </w:p>
    <w:p>
      <w:pPr>
        <w:jc w:val="both"/>
        <w:ind w:left="680" w:right="60" w:hanging="672"/>
        <w:spacing w:after="0" w:line="264"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receiving party undertakes not to use the Proprietary Information of the disclosing party for any purposes other than the Project, and not to sell, grant, make available to, or otherwise allow the use of the disclosing party’s Proprietary Information by any third party, directly or indirectly, except as expressly permitted herein.</w:t>
      </w:r>
    </w:p>
    <w:p>
      <w:pPr>
        <w:spacing w:after="0" w:line="86" w:lineRule="exact"/>
        <w:rPr>
          <w:rFonts w:ascii="Arial" w:cs="Arial" w:eastAsia="Arial" w:hAnsi="Arial"/>
          <w:sz w:val="18"/>
          <w:szCs w:val="18"/>
          <w:color w:val="auto"/>
        </w:rPr>
      </w:pPr>
    </w:p>
    <w:p>
      <w:pPr>
        <w:ind w:left="680" w:right="200" w:hanging="672"/>
        <w:spacing w:after="0" w:line="264"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addition, COMPANY undertakes not to use, directly or indirectly, the AMDOCS Proprietary Information or any derivatives thereof in any form (e.g., reports and analyses) in the development support, and/or sale of software systems having the same or similar functions as the Ensemble, for itself or for a third party.</w:t>
      </w:r>
    </w:p>
    <w:p>
      <w:pPr>
        <w:spacing w:after="0" w:line="86" w:lineRule="exact"/>
        <w:rPr>
          <w:rFonts w:ascii="Arial" w:cs="Arial" w:eastAsia="Arial" w:hAnsi="Arial"/>
          <w:sz w:val="18"/>
          <w:szCs w:val="18"/>
          <w:color w:val="auto"/>
        </w:rPr>
      </w:pPr>
    </w:p>
    <w:p>
      <w:pPr>
        <w:ind w:left="680" w:right="520" w:hanging="672"/>
        <w:spacing w:after="0" w:line="277"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Upon the termination and/or expiration of this Agreement for any reason and/or upon the conclusion of the Project and/or at the request of the disclosing party, the receiving party shall:</w:t>
      </w:r>
    </w:p>
    <w:p>
      <w:pPr>
        <w:spacing w:after="0" w:line="75" w:lineRule="exact"/>
        <w:rPr>
          <w:rFonts w:ascii="Arial" w:cs="Arial" w:eastAsia="Arial" w:hAnsi="Arial"/>
          <w:sz w:val="18"/>
          <w:szCs w:val="18"/>
          <w:color w:val="auto"/>
        </w:rPr>
      </w:pPr>
    </w:p>
    <w:p>
      <w:pPr>
        <w:ind w:left="1480" w:right="160" w:hanging="797"/>
        <w:spacing w:after="0" w:line="277" w:lineRule="auto"/>
        <w:tabs>
          <w:tab w:leader="none" w:pos="14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return to the disclosing party any document or other material in tangible form in its possession being part of the Proprietary Information of the disclosing party, unless otherwise agreed upon in writing between the parties; and/or</w:t>
      </w:r>
    </w:p>
    <w:p>
      <w:pPr>
        <w:spacing w:after="0" w:line="75" w:lineRule="exact"/>
        <w:rPr>
          <w:rFonts w:ascii="Arial" w:cs="Arial" w:eastAsia="Arial" w:hAnsi="Arial"/>
          <w:sz w:val="18"/>
          <w:szCs w:val="18"/>
          <w:color w:val="auto"/>
        </w:rPr>
      </w:pPr>
    </w:p>
    <w:p>
      <w:pPr>
        <w:ind w:left="1480" w:right="240" w:hanging="797"/>
        <w:spacing w:after="0" w:line="277" w:lineRule="auto"/>
        <w:tabs>
          <w:tab w:leader="none" w:pos="14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destroy any document or other material in tangible form that contains Proprietary Information of the disclosing party and the receiving party, and confirm such destruction in writing to the disclosing party.</w:t>
      </w:r>
    </w:p>
    <w:p>
      <w:pPr>
        <w:spacing w:after="0" w:line="75" w:lineRule="exact"/>
        <w:rPr>
          <w:rFonts w:ascii="Arial" w:cs="Arial" w:eastAsia="Arial" w:hAnsi="Arial"/>
          <w:sz w:val="18"/>
          <w:szCs w:val="18"/>
          <w:color w:val="auto"/>
        </w:rPr>
      </w:pPr>
    </w:p>
    <w:p>
      <w:pPr>
        <w:ind w:left="680" w:right="80" w:hanging="672"/>
        <w:spacing w:after="0" w:line="286" w:lineRule="auto"/>
        <w:tabs>
          <w:tab w:leader="none" w:pos="6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Disclosure of the disclosing party’s Proprietary Information to the receiving party may be made in writing or any tangible form, electronically, or occur by demonstration of any product including but not limited to the Amdocs Ensemble software. Proprietary Information disclosed in tangible or electronic form shall be marked by the disclosing party as proprietary and/or confidential information of such party.</w:t>
      </w:r>
    </w:p>
    <w:p>
      <w:pPr>
        <w:spacing w:after="0" w:line="70" w:lineRule="exact"/>
        <w:rPr>
          <w:rFonts w:ascii="Arial" w:cs="Arial" w:eastAsia="Arial" w:hAnsi="Arial"/>
          <w:sz w:val="17"/>
          <w:szCs w:val="17"/>
          <w:color w:val="auto"/>
        </w:rPr>
      </w:pPr>
    </w:p>
    <w:p>
      <w:pPr>
        <w:ind w:left="680" w:right="20" w:hanging="672"/>
        <w:spacing w:after="0" w:line="264"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Disclosure of the disclosing party’s Proprietary Information to the receiving party shall in no way serve to create, on the part of the receiving party, a license to use, or any proprietary right in, the disclosing party’s Proprietary Information or in any other proprietary product, trademark, copyright or other right of the disclosing party.</w:t>
      </w:r>
    </w:p>
    <w:p>
      <w:pPr>
        <w:spacing w:after="0" w:line="86" w:lineRule="exact"/>
        <w:rPr>
          <w:rFonts w:ascii="Arial" w:cs="Arial" w:eastAsia="Arial" w:hAnsi="Arial"/>
          <w:sz w:val="18"/>
          <w:szCs w:val="18"/>
          <w:color w:val="auto"/>
        </w:rPr>
      </w:pPr>
    </w:p>
    <w:p>
      <w:pPr>
        <w:ind w:left="680" w:right="340" w:hanging="672"/>
        <w:spacing w:after="0" w:line="277"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confidentiality obligations of the receiving party regarding the disclosing party’s Proprietary Information shall not apply to such Proprietary Information which:</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becomes public domain without fault on the part of the receiving party;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is lawfully obtained from a source other than the disclosing party, free of any obligation to keep it confidential;</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is previously known to the receiving party without an obligation to keep it confidential, as can be substantiated by written records;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274"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58" w:lineRule="exact"/>
        <w:rPr>
          <w:sz w:val="20"/>
          <w:szCs w:val="20"/>
          <w:color w:val="auto"/>
        </w:rPr>
      </w:pPr>
    </w:p>
    <w:p>
      <w:pPr>
        <w:ind w:left="1480" w:hanging="797"/>
        <w:spacing w:after="0"/>
        <w:tabs>
          <w:tab w:leader="none" w:pos="148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is expressly released in writing from such obligations by the party that owns or has the rights to such Proprietary Information; or</w:t>
      </w:r>
    </w:p>
    <w:p>
      <w:pPr>
        <w:spacing w:after="0" w:line="142" w:lineRule="exact"/>
        <w:rPr>
          <w:rFonts w:ascii="Arial" w:cs="Arial" w:eastAsia="Arial" w:hAnsi="Arial"/>
          <w:sz w:val="17"/>
          <w:szCs w:val="17"/>
          <w:color w:val="auto"/>
        </w:rPr>
      </w:pPr>
    </w:p>
    <w:p>
      <w:pPr>
        <w:ind w:left="1480" w:hanging="797"/>
        <w:spacing w:after="0" w:line="259" w:lineRule="auto"/>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is required to be disclosed pursuant to law, regulation, judicial or administrative order, or request by a governmental or other entity authorized by law to make such request; provided, however, that the receiving party so required to disclose shall first notify the disclosing party to enable it to seek relief from such requirement, and render reasonable assistance requested by the disclosing party (at the disclosing party’s expense) in connection therewith.</w:t>
      </w:r>
    </w:p>
    <w:p>
      <w:pPr>
        <w:spacing w:after="0" w:line="92" w:lineRule="exact"/>
        <w:rPr>
          <w:rFonts w:ascii="Arial" w:cs="Arial" w:eastAsia="Arial" w:hAnsi="Arial"/>
          <w:sz w:val="18"/>
          <w:szCs w:val="18"/>
          <w:color w:val="auto"/>
        </w:rPr>
      </w:pPr>
    </w:p>
    <w:p>
      <w:pPr>
        <w:ind w:left="680" w:right="80" w:hanging="672"/>
        <w:spacing w:after="0" w:line="257" w:lineRule="auto"/>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use by the receiving party of the disclosing party’s Proprietary Information permitted under this Agreement is conditioned upon the receiving party first taking the safeguards and measures required to secure the confidentiality of such Proprietary Information. Without limiting the generality of the foregoing, each party shall draw to the attention of its employees, including those employees of the affiliates referred to in Section 2 above, who shall have access to the Proprietary Information of the other party, all the obligations concerning such Proprietary Information contained in this Agreement</w:t>
      </w:r>
    </w:p>
    <w:p>
      <w:pPr>
        <w:spacing w:after="0" w:line="93" w:lineRule="exact"/>
        <w:rPr>
          <w:rFonts w:ascii="Arial" w:cs="Arial" w:eastAsia="Arial" w:hAnsi="Arial"/>
          <w:sz w:val="18"/>
          <w:szCs w:val="18"/>
          <w:color w:val="auto"/>
        </w:rPr>
      </w:pPr>
    </w:p>
    <w:p>
      <w:pPr>
        <w:ind w:left="680" w:right="180" w:hanging="672"/>
        <w:spacing w:after="0" w:line="277" w:lineRule="auto"/>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Agreement shall be in full force and effect for a period of seven (7) years commencing on the date first stated above. However, the provisions of Section 7 above shall survive the termination and/or expiration of this Agreement for any reason.</w:t>
      </w:r>
    </w:p>
    <w:p>
      <w:pPr>
        <w:spacing w:after="0" w:line="75" w:lineRule="exact"/>
        <w:rPr>
          <w:rFonts w:ascii="Arial" w:cs="Arial" w:eastAsia="Arial" w:hAnsi="Arial"/>
          <w:sz w:val="18"/>
          <w:szCs w:val="18"/>
          <w:color w:val="auto"/>
        </w:rPr>
      </w:pPr>
    </w:p>
    <w:p>
      <w:pPr>
        <w:jc w:val="both"/>
        <w:ind w:left="680" w:right="240" w:hanging="672"/>
        <w:spacing w:after="0" w:line="264" w:lineRule="auto"/>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party acknowledges that its breach of this Agreement may cause the other party extensive and irreparable harm and damage, and agrees that the other party shall be entitled to injunctive relief to prevent use or disclosure of its Proprietary Information not authorized by this Agreement, in addition to any other remedy available to the other party under applicable law.</w:t>
      </w:r>
    </w:p>
    <w:p>
      <w:pPr>
        <w:spacing w:after="0" w:line="86" w:lineRule="exact"/>
        <w:rPr>
          <w:rFonts w:ascii="Arial" w:cs="Arial" w:eastAsia="Arial" w:hAnsi="Arial"/>
          <w:sz w:val="18"/>
          <w:szCs w:val="18"/>
          <w:color w:val="auto"/>
        </w:rPr>
      </w:pPr>
    </w:p>
    <w:p>
      <w:pPr>
        <w:ind w:left="680" w:right="340" w:hanging="672"/>
        <w:spacing w:after="0" w:line="342" w:lineRule="auto"/>
        <w:tabs>
          <w:tab w:leader="none" w:pos="6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29" w:lineRule="exact"/>
        <w:rPr>
          <w:rFonts w:ascii="Arial" w:cs="Arial" w:eastAsia="Arial" w:hAnsi="Arial"/>
          <w:sz w:val="16"/>
          <w:szCs w:val="16"/>
          <w:color w:val="auto"/>
        </w:rPr>
      </w:pPr>
    </w:p>
    <w:p>
      <w:pPr>
        <w:ind w:left="680" w:right="300" w:hanging="672"/>
        <w:spacing w:after="0" w:line="297" w:lineRule="auto"/>
        <w:tabs>
          <w:tab w:leader="none" w:pos="6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If, however, any provision of this Agreement is determined by a court of competent jurisdiction to be invalid or unenforceable, such invalidity or unenforceability shall not invalidate or render unenforceable the entire Agreement, but rather the entire Agreement shall be construed as if not containing the particular invalid or unenforceable provision or provisions, and the rights and obligations of the parties shall be construed and enforced accordingly. In addition, the parties agree to cooperate to replace the invalid or unenforceable provision(s) with valid and enforceable provision(s) which will achieve the same result (to the maximum legal extent) as the provision(s) determined to be invalid or unenforceable.</w:t>
      </w:r>
    </w:p>
    <w:p>
      <w:pPr>
        <w:spacing w:after="0" w:line="63" w:lineRule="exact"/>
        <w:rPr>
          <w:rFonts w:ascii="Arial" w:cs="Arial" w:eastAsia="Arial" w:hAnsi="Arial"/>
          <w:sz w:val="16"/>
          <w:szCs w:val="16"/>
          <w:color w:val="auto"/>
        </w:rPr>
      </w:pPr>
    </w:p>
    <w:p>
      <w:pPr>
        <w:ind w:left="680" w:right="660" w:hanging="672"/>
        <w:spacing w:after="0" w:line="277" w:lineRule="auto"/>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under the laws of the State of New York, without giving effect to such laws’ provisions regarding conflicts of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274"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Software and Professional Services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date first stated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&lt;System Integrator&gt;</w:t>
            </w:r>
          </w:p>
        </w:tc>
        <w:tc>
          <w:tcPr>
            <w:tcW w:w="6020" w:type="dxa"/>
            <w:vAlign w:val="bottom"/>
            <w:gridSpan w:val="4"/>
          </w:tcPr>
          <w:p>
            <w:pPr>
              <w:ind w:left="640"/>
              <w:spacing w:after="0"/>
              <w:rPr>
                <w:sz w:val="20"/>
                <w:szCs w:val="20"/>
                <w:color w:val="auto"/>
              </w:rPr>
            </w:pPr>
            <w:r>
              <w:rPr>
                <w:rFonts w:ascii="Arial" w:cs="Arial" w:eastAsia="Arial" w:hAnsi="Arial"/>
                <w:sz w:val="18"/>
                <w:szCs w:val="18"/>
                <w:b w:val="1"/>
                <w:bCs w:val="1"/>
                <w:color w:val="auto"/>
              </w:rPr>
              <w:t>Amdocs, Inc.</w:t>
            </w:r>
          </w:p>
        </w:tc>
      </w:tr>
      <w:tr>
        <w:trPr>
          <w:trHeight w:val="234"/>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(“COMPANY”)</w:t>
            </w:r>
          </w:p>
        </w:tc>
        <w:tc>
          <w:tcPr>
            <w:tcW w:w="6020" w:type="dxa"/>
            <w:vAlign w:val="bottom"/>
            <w:gridSpan w:val="4"/>
          </w:tcPr>
          <w:p>
            <w:pPr>
              <w:ind w:left="640"/>
              <w:spacing w:after="0"/>
              <w:rPr>
                <w:sz w:val="20"/>
                <w:szCs w:val="20"/>
                <w:color w:val="auto"/>
              </w:rPr>
            </w:pPr>
            <w:r>
              <w:rPr>
                <w:rFonts w:ascii="Arial" w:cs="Arial" w:eastAsia="Arial" w:hAnsi="Arial"/>
                <w:sz w:val="18"/>
                <w:szCs w:val="18"/>
                <w:b w:val="1"/>
                <w:bCs w:val="1"/>
                <w:color w:val="auto"/>
              </w:rPr>
              <w:t>(“AMDOCS”).</w:t>
            </w:r>
          </w:p>
        </w:tc>
      </w:tr>
      <w:tr>
        <w:trPr>
          <w:trHeight w:val="446"/>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5"/>
          </w:tcPr>
          <w:p>
            <w:pPr>
              <w:spacing w:after="0"/>
              <w:rPr>
                <w:sz w:val="24"/>
                <w:szCs w:val="24"/>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3"/>
          </w:tcPr>
          <w:p>
            <w:pPr>
              <w:spacing w:after="0"/>
              <w:rPr>
                <w:sz w:val="24"/>
                <w:szCs w:val="24"/>
                <w:color w:val="auto"/>
              </w:rPr>
            </w:pPr>
          </w:p>
        </w:tc>
      </w:tr>
      <w:tr>
        <w:trPr>
          <w:trHeight w:val="439"/>
        </w:trPr>
        <w:tc>
          <w:tcPr>
            <w:tcW w:w="1260" w:type="dxa"/>
            <w:vAlign w:val="bottom"/>
            <w:gridSpan w:val="3"/>
          </w:tcPr>
          <w:p>
            <w:pPr>
              <w:spacing w:after="0"/>
              <w:rPr>
                <w:sz w:val="20"/>
                <w:szCs w:val="20"/>
                <w:color w:val="auto"/>
              </w:rPr>
            </w:pPr>
            <w:r>
              <w:rPr>
                <w:rFonts w:ascii="Arial" w:cs="Arial" w:eastAsia="Arial" w:hAnsi="Arial"/>
                <w:sz w:val="18"/>
                <w:szCs w:val="18"/>
                <w:color w:val="auto"/>
              </w:rPr>
              <w:t>Printed Name:</w:t>
            </w:r>
          </w:p>
        </w:tc>
        <w:tc>
          <w:tcPr>
            <w:tcW w:w="410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3"/>
          </w:tcPr>
          <w:p>
            <w:pPr>
              <w:ind w:left="680"/>
              <w:spacing w:after="0"/>
              <w:rPr>
                <w:sz w:val="20"/>
                <w:szCs w:val="20"/>
                <w:color w:val="auto"/>
              </w:rPr>
            </w:pPr>
            <w:r>
              <w:rPr>
                <w:rFonts w:ascii="Arial" w:cs="Arial" w:eastAsia="Arial" w:hAnsi="Arial"/>
                <w:sz w:val="18"/>
                <w:szCs w:val="18"/>
                <w:color w:val="auto"/>
              </w:rPr>
              <w:t>Printed Name:</w:t>
            </w:r>
          </w:p>
        </w:tc>
        <w:tc>
          <w:tcPr>
            <w:tcW w:w="4100" w:type="dxa"/>
            <w:vAlign w:val="bottom"/>
            <w:tcBorders>
              <w:bottom w:val="single" w:sz="8" w:color="auto"/>
            </w:tcBorders>
          </w:tcPr>
          <w:p>
            <w:pPr>
              <w:spacing w:after="0"/>
              <w:rPr>
                <w:sz w:val="24"/>
                <w:szCs w:val="24"/>
                <w:color w:val="auto"/>
              </w:rPr>
            </w:pPr>
          </w:p>
        </w:tc>
      </w:tr>
      <w:tr>
        <w:trPr>
          <w:trHeight w:val="439"/>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gridSpan w:val="2"/>
          </w:tcPr>
          <w:p>
            <w:pPr>
              <w:spacing w:after="0"/>
              <w:rPr>
                <w:sz w:val="24"/>
                <w:szCs w:val="24"/>
                <w:color w:val="auto"/>
              </w:rPr>
            </w:pPr>
          </w:p>
        </w:tc>
      </w:tr>
      <w:tr>
        <w:trPr>
          <w:trHeight w:val="439"/>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gridSpan w:val="2"/>
          </w:tcPr>
          <w:p>
            <w:pPr>
              <w:spacing w:after="0"/>
              <w:rPr>
                <w:sz w:val="24"/>
                <w:szCs w:val="24"/>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274" w:right="239" w:bottom="1440" w:gutter="0" w:footer="0" w:header="0"/>
        </w:sectPr>
      </w:pPr>
    </w:p>
    <w:bookmarkStart w:id="276" w:name="page277"/>
    <w:bookmarkEnd w:id="276"/>
    <w:p>
      <w:pPr>
        <w:ind w:left="8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Software and Professional Services Agreement</w:t>
      </w:r>
    </w:p>
    <w:p>
      <w:pPr>
        <w:spacing w:after="0" w:line="17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Appendix J—Disaster Recovery Plan (“DRP”) and Business Continuity Plan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Amdocs BCP/DRP Summary</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Amdocs is a global company with development centers located around the world. At Amdocs, we are totally committed to providing the best possible products and services to our customers, and our commitment includes the ability to continue providing those products and services in the event of a major catastrophe at one of our development centers.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global presence inherently supports the BCP concept. All BCP/DRP operations world-wide are coordinated by a dedicated corporate BCP/DRP team.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Since all of our development centers are interconnected, in the event of a major catastrophe, employees from damaged locations can relocate to alternate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Amdocs facilities—in the same region or another region, depending on the situation—to continue supporting customer operations.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DRP strategy is based on ongoing replication of data to other Amdocs facilities, allowing full recovery of data from damaged sites and ensuring our capability to fully restore the damaged environment. Amdocs data centers are remotely monitored 24 x 7 x 365 and supported by technical professionals spread across the globe. In addition to DRP preparations, backups are performed on a daily basis, and tapes are tested and shipped to off-site storage facilities on a regular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BCP/DRP plans are regularly tested and updated as needed to comply with changes in technologies and business needs.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size of the company and the level of expertise across sites allow Amdocs, in case of a catastrophic event, to send development, operational, and technical reinforcement teams to customer sites to provide support and resolve issues following a disaster. In addition, other professional groups can be sent to assist and reinforce disaster recovery personnel. This allows Amdocs to provide ongoing support to our customers in a disaster situation until normal operations can resume.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are the alternate BCP/DRP destinations for the Amdocs sites currently supporting AT&amp;T.</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Development Site</w:t>
            </w:r>
          </w:p>
        </w:tc>
        <w:tc>
          <w:tcPr>
            <w:tcW w:w="2540" w:type="dxa"/>
            <w:vAlign w:val="bottom"/>
          </w:tcPr>
          <w:p>
            <w:pPr>
              <w:spacing w:after="0"/>
              <w:rPr>
                <w:sz w:val="16"/>
                <w:szCs w:val="16"/>
                <w:color w:val="auto"/>
              </w:rPr>
            </w:pPr>
          </w:p>
        </w:tc>
        <w:tc>
          <w:tcPr>
            <w:tcW w:w="41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Alternative BCP/DRP Site</w:t>
            </w: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Haifa</w:t>
            </w:r>
          </w:p>
        </w:tc>
        <w:tc>
          <w:tcPr>
            <w:tcW w:w="21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Nazareth</w:t>
            </w:r>
          </w:p>
        </w:tc>
        <w:tc>
          <w:tcPr>
            <w:tcW w:w="41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Raanana</w:t>
            </w:r>
          </w:p>
        </w:tc>
        <w:tc>
          <w:tcPr>
            <w:tcW w:w="4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Negev</w:t>
            </w:r>
          </w:p>
        </w:tc>
        <w:tc>
          <w:tcPr>
            <w:tcW w:w="41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Cyprus / Maritime</w:t>
            </w:r>
          </w:p>
        </w:tc>
        <w:tc>
          <w:tcPr>
            <w:tcW w:w="4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India / Magarpatta</w:t>
            </w:r>
          </w:p>
        </w:tc>
        <w:tc>
          <w:tcPr>
            <w:tcW w:w="414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274"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4.d</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SECOND AMENDED AND RESTATED CREDIT AGREEMENT</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December 11,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Borrowing Subsidiaries Party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 P. MORGAN EUROPE LIMITED,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London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 TORONTO BRANCH,</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Canadian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CITIGROUP GLOBAL MARKETS INC.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HSBC BANK PLC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237490</wp:posOffset>
            </wp:positionV>
            <wp:extent cx="151765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 BANK, N.A. and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HSBC BANK PLC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[CS&amp;M Ref. No. 6701-752]</w:t>
      </w:r>
    </w:p>
    <w:p>
      <w:pPr>
        <w:sectPr>
          <w:pgSz w:w="11900" w:h="16838" w:orient="portrait"/>
          <w:cols w:equalWidth="0" w:num="1">
            <w:col w:w="10220"/>
          </w:cols>
          <w:pgMar w:left="1440" w:top="122" w:right="2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30"/>
        </w:trPr>
        <w:tc>
          <w:tcPr>
            <w:tcW w:w="11080" w:type="dxa"/>
            <w:vAlign w:val="bottom"/>
          </w:tcPr>
          <w:p>
            <w:pPr>
              <w:jc w:val="center"/>
              <w:ind w:left="250"/>
              <w:spacing w:after="0"/>
              <w:rPr>
                <w:sz w:val="20"/>
                <w:szCs w:val="20"/>
                <w:color w:val="auto"/>
              </w:rPr>
            </w:pPr>
            <w:r>
              <w:rPr>
                <w:rFonts w:ascii="Arial" w:cs="Arial" w:eastAsia="Arial" w:hAnsi="Arial"/>
                <w:sz w:val="18"/>
                <w:szCs w:val="18"/>
                <w:color w:val="auto"/>
                <w:w w:val="95"/>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80" w:type="dxa"/>
            <w:vAlign w:val="bottom"/>
            <w:vMerge w:val="restart"/>
          </w:tcPr>
          <w:p>
            <w:pPr>
              <w:jc w:val="center"/>
              <w:ind w:left="21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1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80" w:type="dxa"/>
            <w:vAlign w:val="bottom"/>
          </w:tcPr>
          <w:p>
            <w:pPr>
              <w:jc w:val="center"/>
              <w:ind w:left="210"/>
              <w:spacing w:after="0"/>
              <w:rPr>
                <w:sz w:val="20"/>
                <w:szCs w:val="20"/>
                <w:color w:val="auto"/>
              </w:rPr>
            </w:pPr>
            <w:r>
              <w:rPr>
                <w:rFonts w:ascii="Arial" w:cs="Arial" w:eastAsia="Arial" w:hAnsi="Arial"/>
                <w:sz w:val="18"/>
                <w:szCs w:val="18"/>
                <w:color w:val="auto"/>
                <w:w w:val="97"/>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80" w:type="dxa"/>
            <w:vAlign w:val="bottom"/>
          </w:tcPr>
          <w:p>
            <w:pPr>
              <w:spacing w:after="0"/>
              <w:rPr>
                <w:sz w:val="20"/>
                <w:szCs w:val="20"/>
                <w:color w:val="auto"/>
              </w:rPr>
            </w:pPr>
            <w:r>
              <w:rPr>
                <w:rFonts w:ascii="Arial" w:cs="Arial" w:eastAsia="Arial" w:hAnsi="Arial"/>
                <w:sz w:val="18"/>
                <w:szCs w:val="18"/>
                <w:color w:val="auto"/>
              </w:rPr>
              <w:t>SECTION 1.01.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1.02. Classification of 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1.03. 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1.04. Accounting Terms; GAAP; Pro Forma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1080" w:type="dxa"/>
            <w:vAlign w:val="bottom"/>
          </w:tcPr>
          <w:p>
            <w:pPr>
              <w:spacing w:after="0"/>
              <w:rPr>
                <w:sz w:val="20"/>
                <w:szCs w:val="20"/>
                <w:color w:val="auto"/>
              </w:rPr>
            </w:pPr>
            <w:r>
              <w:rPr>
                <w:rFonts w:ascii="Arial" w:cs="Arial" w:eastAsia="Arial" w:hAnsi="Arial"/>
                <w:sz w:val="18"/>
                <w:szCs w:val="18"/>
                <w:color w:val="auto"/>
              </w:rPr>
              <w:t>SECTION 1.05. Currency Translation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11080" w:type="dxa"/>
            <w:vAlign w:val="bottom"/>
          </w:tcPr>
          <w:p>
            <w:pPr>
              <w:jc w:val="center"/>
              <w:ind w:left="210"/>
              <w:spacing w:after="0"/>
              <w:rPr>
                <w:sz w:val="20"/>
                <w:szCs w:val="20"/>
                <w:color w:val="auto"/>
              </w:rPr>
            </w:pPr>
            <w:r>
              <w:rPr>
                <w:rFonts w:ascii="Arial" w:cs="Arial" w:eastAsia="Arial" w:hAnsi="Arial"/>
                <w:sz w:val="18"/>
                <w:szCs w:val="18"/>
                <w:color w:val="auto"/>
                <w:w w:val="98"/>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80" w:type="dxa"/>
            <w:vAlign w:val="bottom"/>
          </w:tcPr>
          <w:p>
            <w:pPr>
              <w:jc w:val="center"/>
              <w:ind w:left="190"/>
              <w:spacing w:after="0"/>
              <w:rPr>
                <w:sz w:val="20"/>
                <w:szCs w:val="20"/>
                <w:color w:val="auto"/>
              </w:rPr>
            </w:pPr>
            <w:r>
              <w:rPr>
                <w:rFonts w:ascii="Arial" w:cs="Arial" w:eastAsia="Arial" w:hAnsi="Arial"/>
                <w:sz w:val="18"/>
                <w:szCs w:val="18"/>
                <w:color w:val="auto"/>
                <w:w w:val="90"/>
              </w:rPr>
              <w:t>The Credits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80" w:type="dxa"/>
            <w:vAlign w:val="bottom"/>
          </w:tcPr>
          <w:p>
            <w:pPr>
              <w:spacing w:after="0"/>
              <w:rPr>
                <w:sz w:val="20"/>
                <w:szCs w:val="20"/>
                <w:color w:val="auto"/>
              </w:rPr>
            </w:pPr>
            <w:r>
              <w:rPr>
                <w:rFonts w:ascii="Arial" w:cs="Arial" w:eastAsia="Arial" w:hAnsi="Arial"/>
                <w:sz w:val="18"/>
                <w:szCs w:val="18"/>
                <w:color w:val="auto"/>
              </w:rPr>
              <w:t>SECTION 2.01.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2.02. 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2.03. Requests for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2.04. 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2.05. Canadian Bankers’ Acceptances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2.06. Funding of Borrowings and BA Drawings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2.07. Interest Elections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2.08. Termination, Reduction, Extension and Increase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2.09. Repayment of Loans and BAs; 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2.10. Prepayment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2.11. Fees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2.12.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2.13. Alternate Rate of Interest; 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2.14. 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2.15. Break Funding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2.16. Taxes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2.18. Mitigation by Lenders; Replacement of Lenders; Mitigation by Borrowers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2.19. 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2.20. Foreign Subsidiary Costs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1080" w:type="dxa"/>
            <w:vAlign w:val="bottom"/>
          </w:tcPr>
          <w:p>
            <w:pPr>
              <w:spacing w:after="0"/>
              <w:rPr>
                <w:sz w:val="20"/>
                <w:szCs w:val="20"/>
                <w:color w:val="auto"/>
              </w:rPr>
            </w:pPr>
            <w:r>
              <w:rPr>
                <w:rFonts w:ascii="Arial" w:cs="Arial" w:eastAsia="Arial" w:hAnsi="Arial"/>
                <w:sz w:val="18"/>
                <w:szCs w:val="18"/>
                <w:color w:val="auto"/>
              </w:rPr>
              <w:t>SECTION 2.21. Designation of Borrowing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11080" w:type="dxa"/>
            <w:vAlign w:val="bottom"/>
          </w:tcPr>
          <w:p>
            <w:pPr>
              <w:jc w:val="center"/>
              <w:ind w:left="2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80" w:type="dxa"/>
            <w:vAlign w:val="bottom"/>
          </w:tcPr>
          <w:p>
            <w:pPr>
              <w:jc w:val="center"/>
              <w:ind w:left="190"/>
              <w:spacing w:after="0"/>
              <w:rPr>
                <w:sz w:val="20"/>
                <w:szCs w:val="20"/>
                <w:color w:val="auto"/>
              </w:rPr>
            </w:pPr>
            <w:r>
              <w:rPr>
                <w:rFonts w:ascii="Arial" w:cs="Arial" w:eastAsia="Arial" w:hAnsi="Arial"/>
                <w:sz w:val="18"/>
                <w:szCs w:val="18"/>
                <w:color w:val="auto"/>
                <w:w w:val="88"/>
              </w:rPr>
              <w:t>Representations and Warranties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80" w:type="dxa"/>
            <w:vAlign w:val="bottom"/>
          </w:tcPr>
          <w:p>
            <w:pPr>
              <w:spacing w:after="0"/>
              <w:rPr>
                <w:sz w:val="20"/>
                <w:szCs w:val="20"/>
                <w:color w:val="auto"/>
              </w:rPr>
            </w:pPr>
            <w:r>
              <w:rPr>
                <w:rFonts w:ascii="Arial" w:cs="Arial" w:eastAsia="Arial" w:hAnsi="Arial"/>
                <w:sz w:val="18"/>
                <w:szCs w:val="18"/>
                <w:color w:val="auto"/>
              </w:rPr>
              <w:t>SECTION 3.01. Organization;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3.02. Authorization;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3.03. Governmental Approvals; No Conflicts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080" w:type="dxa"/>
            <w:vAlign w:val="bottom"/>
          </w:tcPr>
          <w:p>
            <w:pPr>
              <w:spacing w:after="0"/>
              <w:rPr>
                <w:sz w:val="20"/>
                <w:szCs w:val="20"/>
                <w:color w:val="auto"/>
              </w:rPr>
            </w:pPr>
            <w:r>
              <w:rPr>
                <w:rFonts w:ascii="Arial" w:cs="Arial" w:eastAsia="Arial" w:hAnsi="Arial"/>
                <w:sz w:val="18"/>
                <w:szCs w:val="18"/>
                <w:color w:val="auto"/>
              </w:rPr>
              <w:t>SECTION 3.04. Financial Condition; 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11080" w:type="dxa"/>
            <w:vAlign w:val="bottom"/>
          </w:tcPr>
          <w:p>
            <w:pPr>
              <w:spacing w:after="0"/>
              <w:rPr>
                <w:sz w:val="20"/>
                <w:szCs w:val="20"/>
                <w:color w:val="auto"/>
              </w:rPr>
            </w:pPr>
            <w:r>
              <w:rPr>
                <w:rFonts w:ascii="Arial" w:cs="Arial" w:eastAsia="Arial" w:hAnsi="Arial"/>
                <w:sz w:val="18"/>
                <w:szCs w:val="18"/>
                <w:color w:val="auto"/>
              </w:rPr>
              <w:t>SECTION 3.05. 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4" w:right="29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3.06. Litigation and Environmental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3.07. Compliance with Laws and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3.08. Investment Company Status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3.09.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3.10. Employee Benefit Plans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3.11. Disclosure</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3.12. Subsidiaries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3.13. Anti-Corruption Laws and Sanctions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3.14. EEA Financial Institutions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840" w:type="dxa"/>
            <w:vAlign w:val="bottom"/>
          </w:tcPr>
          <w:p>
            <w:pPr>
              <w:jc w:val="center"/>
              <w:ind w:left="2450"/>
              <w:spacing w:after="0"/>
              <w:rPr>
                <w:sz w:val="20"/>
                <w:szCs w:val="20"/>
                <w:color w:val="auto"/>
              </w:rPr>
            </w:pPr>
            <w:r>
              <w:rPr>
                <w:rFonts w:ascii="Arial" w:cs="Arial" w:eastAsia="Arial" w:hAnsi="Arial"/>
                <w:sz w:val="18"/>
                <w:szCs w:val="18"/>
                <w:color w:val="auto"/>
                <w:w w:val="99"/>
              </w:rPr>
              <w:t>ARTICLE IV</w:t>
            </w:r>
          </w:p>
        </w:tc>
        <w:tc>
          <w:tcPr>
            <w:tcW w:w="2520" w:type="dxa"/>
            <w:vAlign w:val="bottom"/>
          </w:tcPr>
          <w:p>
            <w:pPr>
              <w:spacing w:after="0"/>
              <w:rPr>
                <w:sz w:val="24"/>
                <w:szCs w:val="24"/>
                <w:color w:val="auto"/>
              </w:rPr>
            </w:pPr>
          </w:p>
        </w:tc>
      </w:tr>
      <w:tr>
        <w:trPr>
          <w:trHeight w:val="324"/>
        </w:trPr>
        <w:tc>
          <w:tcPr>
            <w:tcW w:w="8840" w:type="dxa"/>
            <w:vAlign w:val="bottom"/>
          </w:tcPr>
          <w:p>
            <w:pPr>
              <w:jc w:val="center"/>
              <w:ind w:left="2450"/>
              <w:spacing w:after="0"/>
              <w:rPr>
                <w:sz w:val="20"/>
                <w:szCs w:val="20"/>
                <w:color w:val="auto"/>
              </w:rPr>
            </w:pPr>
            <w:r>
              <w:rPr>
                <w:rFonts w:ascii="Arial" w:cs="Arial" w:eastAsia="Arial" w:hAnsi="Arial"/>
                <w:sz w:val="18"/>
                <w:szCs w:val="18"/>
                <w:color w:val="auto"/>
                <w:w w:val="91"/>
              </w:rPr>
              <w:t>Conditions</w:t>
            </w:r>
          </w:p>
        </w:tc>
        <w:tc>
          <w:tcPr>
            <w:tcW w:w="2520" w:type="dxa"/>
            <w:vAlign w:val="bottom"/>
          </w:tcPr>
          <w:p>
            <w:pPr>
              <w:spacing w:after="0"/>
              <w:rPr>
                <w:sz w:val="24"/>
                <w:szCs w:val="24"/>
                <w:color w:val="auto"/>
              </w:rPr>
            </w:pPr>
          </w:p>
        </w:tc>
      </w:tr>
      <w:tr>
        <w:trPr>
          <w:trHeight w:val="310"/>
        </w:trPr>
        <w:tc>
          <w:tcPr>
            <w:tcW w:w="8840" w:type="dxa"/>
            <w:vAlign w:val="bottom"/>
          </w:tcPr>
          <w:p>
            <w:pPr>
              <w:spacing w:after="0"/>
              <w:rPr>
                <w:sz w:val="20"/>
                <w:szCs w:val="20"/>
                <w:color w:val="auto"/>
              </w:rPr>
            </w:pPr>
            <w:r>
              <w:rPr>
                <w:rFonts w:ascii="Arial" w:cs="Arial" w:eastAsia="Arial" w:hAnsi="Arial"/>
                <w:sz w:val="18"/>
                <w:szCs w:val="18"/>
                <w:color w:val="auto"/>
              </w:rPr>
              <w:t>SECTION 4.01. 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4.02. Each Credit Event</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4.03. Initial Credit Event for each Additional Borrowing Subsidiary</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840" w:type="dxa"/>
            <w:vAlign w:val="bottom"/>
          </w:tcPr>
          <w:p>
            <w:pPr>
              <w:jc w:val="center"/>
              <w:ind w:left="2430"/>
              <w:spacing w:after="0"/>
              <w:rPr>
                <w:sz w:val="20"/>
                <w:szCs w:val="20"/>
                <w:color w:val="auto"/>
              </w:rPr>
            </w:pPr>
            <w:r>
              <w:rPr>
                <w:rFonts w:ascii="Arial" w:cs="Arial" w:eastAsia="Arial" w:hAnsi="Arial"/>
                <w:sz w:val="18"/>
                <w:szCs w:val="18"/>
                <w:color w:val="auto"/>
                <w:w w:val="98"/>
              </w:rPr>
              <w:t>ARTICLE V</w:t>
            </w:r>
          </w:p>
        </w:tc>
        <w:tc>
          <w:tcPr>
            <w:tcW w:w="2520" w:type="dxa"/>
            <w:vAlign w:val="bottom"/>
          </w:tcPr>
          <w:p>
            <w:pPr>
              <w:spacing w:after="0"/>
              <w:rPr>
                <w:sz w:val="24"/>
                <w:szCs w:val="24"/>
                <w:color w:val="auto"/>
              </w:rPr>
            </w:pPr>
          </w:p>
        </w:tc>
      </w:tr>
      <w:tr>
        <w:trPr>
          <w:trHeight w:val="324"/>
        </w:trPr>
        <w:tc>
          <w:tcPr>
            <w:tcW w:w="8840" w:type="dxa"/>
            <w:vAlign w:val="bottom"/>
          </w:tcPr>
          <w:p>
            <w:pPr>
              <w:jc w:val="center"/>
              <w:ind w:left="2450"/>
              <w:spacing w:after="0"/>
              <w:rPr>
                <w:sz w:val="20"/>
                <w:szCs w:val="20"/>
                <w:color w:val="auto"/>
              </w:rPr>
            </w:pPr>
            <w:r>
              <w:rPr>
                <w:rFonts w:ascii="Arial" w:cs="Arial" w:eastAsia="Arial" w:hAnsi="Arial"/>
                <w:sz w:val="18"/>
                <w:szCs w:val="18"/>
                <w:color w:val="auto"/>
                <w:w w:val="94"/>
              </w:rPr>
              <w:t>Affirmative Covenants</w:t>
            </w:r>
          </w:p>
        </w:tc>
        <w:tc>
          <w:tcPr>
            <w:tcW w:w="2520" w:type="dxa"/>
            <w:vAlign w:val="bottom"/>
          </w:tcPr>
          <w:p>
            <w:pPr>
              <w:spacing w:after="0"/>
              <w:rPr>
                <w:sz w:val="24"/>
                <w:szCs w:val="24"/>
                <w:color w:val="auto"/>
              </w:rPr>
            </w:pPr>
          </w:p>
        </w:tc>
      </w:tr>
      <w:tr>
        <w:trPr>
          <w:trHeight w:val="310"/>
        </w:trPr>
        <w:tc>
          <w:tcPr>
            <w:tcW w:w="8840" w:type="dxa"/>
            <w:vAlign w:val="bottom"/>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5.02. Notices of Material Events</w:t>
            </w: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5.03. Existence; Conduct of Business</w:t>
            </w: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5.04. Payment of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5.05. Maintenance of Properties; 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5.06. Books and Records; Inspection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5.07. 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5.08. Use of Proceeds</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840" w:type="dxa"/>
            <w:vAlign w:val="bottom"/>
          </w:tcPr>
          <w:p>
            <w:pPr>
              <w:jc w:val="center"/>
              <w:ind w:left="2450"/>
              <w:spacing w:after="0"/>
              <w:rPr>
                <w:sz w:val="20"/>
                <w:szCs w:val="20"/>
                <w:color w:val="auto"/>
              </w:rPr>
            </w:pPr>
            <w:r>
              <w:rPr>
                <w:rFonts w:ascii="Arial" w:cs="Arial" w:eastAsia="Arial" w:hAnsi="Arial"/>
                <w:sz w:val="18"/>
                <w:szCs w:val="18"/>
                <w:color w:val="auto"/>
                <w:w w:val="99"/>
              </w:rPr>
              <w:t>ARTICLE VI</w:t>
            </w:r>
          </w:p>
        </w:tc>
        <w:tc>
          <w:tcPr>
            <w:tcW w:w="2520" w:type="dxa"/>
            <w:vAlign w:val="bottom"/>
          </w:tcPr>
          <w:p>
            <w:pPr>
              <w:spacing w:after="0"/>
              <w:rPr>
                <w:sz w:val="24"/>
                <w:szCs w:val="24"/>
                <w:color w:val="auto"/>
              </w:rPr>
            </w:pPr>
          </w:p>
        </w:tc>
      </w:tr>
      <w:tr>
        <w:trPr>
          <w:trHeight w:val="324"/>
        </w:trPr>
        <w:tc>
          <w:tcPr>
            <w:tcW w:w="8840" w:type="dxa"/>
            <w:vAlign w:val="bottom"/>
          </w:tcPr>
          <w:p>
            <w:pPr>
              <w:jc w:val="center"/>
              <w:ind w:left="2450"/>
              <w:spacing w:after="0"/>
              <w:rPr>
                <w:sz w:val="20"/>
                <w:szCs w:val="20"/>
                <w:color w:val="auto"/>
              </w:rPr>
            </w:pPr>
            <w:r>
              <w:rPr>
                <w:rFonts w:ascii="Arial" w:cs="Arial" w:eastAsia="Arial" w:hAnsi="Arial"/>
                <w:sz w:val="18"/>
                <w:szCs w:val="18"/>
                <w:color w:val="auto"/>
                <w:w w:val="90"/>
              </w:rPr>
              <w:t>Negative Covenants</w:t>
            </w:r>
          </w:p>
        </w:tc>
        <w:tc>
          <w:tcPr>
            <w:tcW w:w="2520" w:type="dxa"/>
            <w:vAlign w:val="bottom"/>
          </w:tcPr>
          <w:p>
            <w:pPr>
              <w:spacing w:after="0"/>
              <w:rPr>
                <w:sz w:val="24"/>
                <w:szCs w:val="24"/>
                <w:color w:val="auto"/>
              </w:rPr>
            </w:pPr>
          </w:p>
        </w:tc>
      </w:tr>
      <w:tr>
        <w:trPr>
          <w:trHeight w:val="310"/>
        </w:trPr>
        <w:tc>
          <w:tcPr>
            <w:tcW w:w="8840" w:type="dxa"/>
            <w:vAlign w:val="bottom"/>
          </w:tcPr>
          <w:p>
            <w:pPr>
              <w:spacing w:after="0"/>
              <w:rPr>
                <w:sz w:val="20"/>
                <w:szCs w:val="20"/>
                <w:color w:val="auto"/>
              </w:rPr>
            </w:pPr>
            <w:r>
              <w:rPr>
                <w:rFonts w:ascii="Arial" w:cs="Arial" w:eastAsia="Arial" w:hAnsi="Arial"/>
                <w:sz w:val="18"/>
                <w:szCs w:val="18"/>
                <w:color w:val="auto"/>
              </w:rPr>
              <w:t>SECTION 6.01. Subsidiary Indebtedness</w:t>
            </w:r>
          </w:p>
        </w:tc>
        <w:tc>
          <w:tcPr>
            <w:tcW w:w="2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6.02. Liens</w:t>
            </w:r>
          </w:p>
        </w:tc>
        <w:tc>
          <w:tcPr>
            <w:tcW w:w="2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6.03. Sale and Lease Back Transactions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6.04. Fundamental Changes</w:t>
            </w:r>
          </w:p>
        </w:tc>
        <w:tc>
          <w:tcPr>
            <w:tcW w:w="2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6.05. Restrictive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6.06. Interest Coverage Ratio</w:t>
            </w:r>
          </w:p>
        </w:tc>
        <w:tc>
          <w:tcPr>
            <w:tcW w:w="25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6.07. Consolidated Total Debt to Consolidated EBITDA Ratio</w:t>
            </w:r>
          </w:p>
        </w:tc>
        <w:tc>
          <w:tcPr>
            <w:tcW w:w="25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30"/>
        </w:trPr>
        <w:tc>
          <w:tcPr>
            <w:tcW w:w="9000" w:type="dxa"/>
            <w:vAlign w:val="bottom"/>
          </w:tcPr>
          <w:p>
            <w:pPr>
              <w:jc w:val="center"/>
              <w:ind w:left="2290"/>
              <w:spacing w:after="0"/>
              <w:rPr>
                <w:sz w:val="20"/>
                <w:szCs w:val="20"/>
                <w:color w:val="auto"/>
              </w:rPr>
            </w:pPr>
            <w:r>
              <w:rPr>
                <w:rFonts w:ascii="Arial" w:cs="Arial" w:eastAsia="Arial" w:hAnsi="Arial"/>
                <w:sz w:val="18"/>
                <w:szCs w:val="18"/>
                <w:color w:val="auto"/>
              </w:rPr>
              <w:t>ARTICLE VIII</w:t>
            </w:r>
          </w:p>
        </w:tc>
        <w:tc>
          <w:tcPr>
            <w:tcW w:w="2360" w:type="dxa"/>
            <w:vAlign w:val="bottom"/>
          </w:tcPr>
          <w:p>
            <w:pPr>
              <w:spacing w:after="0"/>
              <w:rPr>
                <w:sz w:val="20"/>
                <w:szCs w:val="20"/>
                <w:color w:val="auto"/>
              </w:rPr>
            </w:pPr>
          </w:p>
        </w:tc>
      </w:tr>
      <w:tr>
        <w:trPr>
          <w:trHeight w:val="324"/>
        </w:trPr>
        <w:tc>
          <w:tcPr>
            <w:tcW w:w="9000" w:type="dxa"/>
            <w:vAlign w:val="bottom"/>
          </w:tcPr>
          <w:p>
            <w:pPr>
              <w:jc w:val="center"/>
              <w:ind w:left="2270"/>
              <w:spacing w:after="0"/>
              <w:rPr>
                <w:sz w:val="20"/>
                <w:szCs w:val="20"/>
                <w:color w:val="auto"/>
              </w:rPr>
            </w:pPr>
            <w:r>
              <w:rPr>
                <w:rFonts w:ascii="Arial" w:cs="Arial" w:eastAsia="Arial" w:hAnsi="Arial"/>
                <w:sz w:val="18"/>
                <w:szCs w:val="18"/>
                <w:color w:val="auto"/>
                <w:w w:val="91"/>
              </w:rPr>
              <w:t>The Agents</w:t>
            </w:r>
          </w:p>
        </w:tc>
        <w:tc>
          <w:tcPr>
            <w:tcW w:w="2360" w:type="dxa"/>
            <w:vAlign w:val="bottom"/>
          </w:tcPr>
          <w:p>
            <w:pPr>
              <w:spacing w:after="0"/>
              <w:rPr>
                <w:sz w:val="24"/>
                <w:szCs w:val="24"/>
                <w:color w:val="auto"/>
              </w:rPr>
            </w:pPr>
          </w:p>
        </w:tc>
      </w:tr>
      <w:tr>
        <w:trPr>
          <w:trHeight w:val="324"/>
        </w:trPr>
        <w:tc>
          <w:tcPr>
            <w:tcW w:w="9000" w:type="dxa"/>
            <w:vAlign w:val="bottom"/>
          </w:tcPr>
          <w:p>
            <w:pPr>
              <w:jc w:val="center"/>
              <w:ind w:left="2290"/>
              <w:spacing w:after="0"/>
              <w:rPr>
                <w:sz w:val="20"/>
                <w:szCs w:val="20"/>
                <w:color w:val="auto"/>
              </w:rPr>
            </w:pPr>
            <w:r>
              <w:rPr>
                <w:rFonts w:ascii="Arial" w:cs="Arial" w:eastAsia="Arial" w:hAnsi="Arial"/>
                <w:sz w:val="18"/>
                <w:szCs w:val="18"/>
                <w:color w:val="auto"/>
                <w:w w:val="99"/>
              </w:rPr>
              <w:t>ARTICLE IX</w:t>
            </w:r>
          </w:p>
        </w:tc>
        <w:tc>
          <w:tcPr>
            <w:tcW w:w="2360" w:type="dxa"/>
            <w:vAlign w:val="bottom"/>
          </w:tcPr>
          <w:p>
            <w:pPr>
              <w:spacing w:after="0"/>
              <w:rPr>
                <w:sz w:val="24"/>
                <w:szCs w:val="24"/>
                <w:color w:val="auto"/>
              </w:rPr>
            </w:pPr>
          </w:p>
        </w:tc>
      </w:tr>
      <w:tr>
        <w:trPr>
          <w:trHeight w:val="324"/>
        </w:trPr>
        <w:tc>
          <w:tcPr>
            <w:tcW w:w="9000" w:type="dxa"/>
            <w:vAlign w:val="bottom"/>
          </w:tcPr>
          <w:p>
            <w:pPr>
              <w:jc w:val="center"/>
              <w:ind w:left="2270"/>
              <w:spacing w:after="0"/>
              <w:rPr>
                <w:sz w:val="20"/>
                <w:szCs w:val="20"/>
                <w:color w:val="auto"/>
              </w:rPr>
            </w:pPr>
            <w:r>
              <w:rPr>
                <w:rFonts w:ascii="Arial" w:cs="Arial" w:eastAsia="Arial" w:hAnsi="Arial"/>
                <w:sz w:val="18"/>
                <w:szCs w:val="18"/>
                <w:color w:val="auto"/>
                <w:w w:val="94"/>
              </w:rPr>
              <w:t>Collection Allocation Mechanism</w:t>
            </w:r>
          </w:p>
        </w:tc>
        <w:tc>
          <w:tcPr>
            <w:tcW w:w="2360" w:type="dxa"/>
            <w:vAlign w:val="bottom"/>
          </w:tcPr>
          <w:p>
            <w:pPr>
              <w:spacing w:after="0"/>
              <w:rPr>
                <w:sz w:val="24"/>
                <w:szCs w:val="24"/>
                <w:color w:val="auto"/>
              </w:rPr>
            </w:pPr>
          </w:p>
        </w:tc>
      </w:tr>
      <w:tr>
        <w:trPr>
          <w:trHeight w:val="324"/>
        </w:trPr>
        <w:tc>
          <w:tcPr>
            <w:tcW w:w="9000" w:type="dxa"/>
            <w:vAlign w:val="bottom"/>
          </w:tcPr>
          <w:p>
            <w:pPr>
              <w:jc w:val="center"/>
              <w:ind w:left="2270"/>
              <w:spacing w:after="0"/>
              <w:rPr>
                <w:sz w:val="20"/>
                <w:szCs w:val="20"/>
                <w:color w:val="auto"/>
              </w:rPr>
            </w:pPr>
            <w:r>
              <w:rPr>
                <w:rFonts w:ascii="Arial" w:cs="Arial" w:eastAsia="Arial" w:hAnsi="Arial"/>
                <w:sz w:val="18"/>
                <w:szCs w:val="18"/>
                <w:color w:val="auto"/>
                <w:w w:val="98"/>
              </w:rPr>
              <w:t>ARTICLE X</w:t>
            </w:r>
          </w:p>
        </w:tc>
        <w:tc>
          <w:tcPr>
            <w:tcW w:w="2360" w:type="dxa"/>
            <w:vAlign w:val="bottom"/>
          </w:tcPr>
          <w:p>
            <w:pPr>
              <w:spacing w:after="0"/>
              <w:rPr>
                <w:sz w:val="24"/>
                <w:szCs w:val="24"/>
                <w:color w:val="auto"/>
              </w:rPr>
            </w:pPr>
          </w:p>
        </w:tc>
      </w:tr>
      <w:tr>
        <w:trPr>
          <w:trHeight w:val="324"/>
        </w:trPr>
        <w:tc>
          <w:tcPr>
            <w:tcW w:w="9000" w:type="dxa"/>
            <w:vAlign w:val="bottom"/>
          </w:tcPr>
          <w:p>
            <w:pPr>
              <w:jc w:val="center"/>
              <w:ind w:left="2290"/>
              <w:spacing w:after="0"/>
              <w:rPr>
                <w:sz w:val="20"/>
                <w:szCs w:val="20"/>
                <w:color w:val="auto"/>
              </w:rPr>
            </w:pPr>
            <w:r>
              <w:rPr>
                <w:rFonts w:ascii="Arial" w:cs="Arial" w:eastAsia="Arial" w:hAnsi="Arial"/>
                <w:sz w:val="18"/>
                <w:szCs w:val="18"/>
                <w:color w:val="auto"/>
                <w:w w:val="86"/>
              </w:rPr>
              <w:t>Guarantee</w:t>
            </w:r>
          </w:p>
        </w:tc>
        <w:tc>
          <w:tcPr>
            <w:tcW w:w="2360" w:type="dxa"/>
            <w:vAlign w:val="bottom"/>
          </w:tcPr>
          <w:p>
            <w:pPr>
              <w:spacing w:after="0"/>
              <w:rPr>
                <w:sz w:val="24"/>
                <w:szCs w:val="24"/>
                <w:color w:val="auto"/>
              </w:rPr>
            </w:pPr>
          </w:p>
        </w:tc>
      </w:tr>
      <w:tr>
        <w:trPr>
          <w:trHeight w:val="324"/>
        </w:trPr>
        <w:tc>
          <w:tcPr>
            <w:tcW w:w="9000" w:type="dxa"/>
            <w:vAlign w:val="bottom"/>
          </w:tcPr>
          <w:p>
            <w:pPr>
              <w:jc w:val="center"/>
              <w:ind w:left="2290"/>
              <w:spacing w:after="0"/>
              <w:rPr>
                <w:sz w:val="20"/>
                <w:szCs w:val="20"/>
                <w:color w:val="auto"/>
              </w:rPr>
            </w:pPr>
            <w:r>
              <w:rPr>
                <w:rFonts w:ascii="Arial" w:cs="Arial" w:eastAsia="Arial" w:hAnsi="Arial"/>
                <w:sz w:val="18"/>
                <w:szCs w:val="18"/>
                <w:color w:val="auto"/>
                <w:w w:val="99"/>
              </w:rPr>
              <w:t>ARTICLE XI</w:t>
            </w:r>
          </w:p>
        </w:tc>
        <w:tc>
          <w:tcPr>
            <w:tcW w:w="2360" w:type="dxa"/>
            <w:vAlign w:val="bottom"/>
          </w:tcPr>
          <w:p>
            <w:pPr>
              <w:spacing w:after="0"/>
              <w:rPr>
                <w:sz w:val="24"/>
                <w:szCs w:val="24"/>
                <w:color w:val="auto"/>
              </w:rPr>
            </w:pPr>
          </w:p>
        </w:tc>
      </w:tr>
      <w:tr>
        <w:trPr>
          <w:trHeight w:val="324"/>
        </w:trPr>
        <w:tc>
          <w:tcPr>
            <w:tcW w:w="9000" w:type="dxa"/>
            <w:vAlign w:val="bottom"/>
          </w:tcPr>
          <w:p>
            <w:pPr>
              <w:jc w:val="center"/>
              <w:ind w:left="2270"/>
              <w:spacing w:after="0"/>
              <w:rPr>
                <w:sz w:val="20"/>
                <w:szCs w:val="20"/>
                <w:color w:val="auto"/>
              </w:rPr>
            </w:pPr>
            <w:r>
              <w:rPr>
                <w:rFonts w:ascii="Arial" w:cs="Arial" w:eastAsia="Arial" w:hAnsi="Arial"/>
                <w:sz w:val="18"/>
                <w:szCs w:val="18"/>
                <w:color w:val="auto"/>
                <w:w w:val="91"/>
              </w:rPr>
              <w:t>Miscellaneous</w:t>
            </w:r>
          </w:p>
        </w:tc>
        <w:tc>
          <w:tcPr>
            <w:tcW w:w="2360" w:type="dxa"/>
            <w:vAlign w:val="bottom"/>
          </w:tcPr>
          <w:p>
            <w:pPr>
              <w:spacing w:after="0"/>
              <w:rPr>
                <w:sz w:val="24"/>
                <w:szCs w:val="24"/>
                <w:color w:val="auto"/>
              </w:rPr>
            </w:pPr>
          </w:p>
        </w:tc>
      </w:tr>
      <w:tr>
        <w:trPr>
          <w:trHeight w:val="310"/>
        </w:trPr>
        <w:tc>
          <w:tcPr>
            <w:tcW w:w="9000" w:type="dxa"/>
            <w:vAlign w:val="bottom"/>
          </w:tcPr>
          <w:p>
            <w:pPr>
              <w:spacing w:after="0"/>
              <w:rPr>
                <w:sz w:val="20"/>
                <w:szCs w:val="20"/>
                <w:color w:val="auto"/>
              </w:rPr>
            </w:pPr>
            <w:r>
              <w:rPr>
                <w:rFonts w:ascii="Arial" w:cs="Arial" w:eastAsia="Arial" w:hAnsi="Arial"/>
                <w:sz w:val="18"/>
                <w:szCs w:val="18"/>
                <w:color w:val="auto"/>
              </w:rPr>
              <w:t>SECTION 11.01. Notices</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11.02. Waivers; Amendments</w:t>
            </w:r>
          </w:p>
        </w:tc>
        <w:tc>
          <w:tcPr>
            <w:tcW w:w="2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11.03. Expenses; Indemnity; Damage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11.04. Successors and Assigns</w:t>
            </w:r>
          </w:p>
        </w:tc>
        <w:tc>
          <w:tcPr>
            <w:tcW w:w="2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11.05. Survival</w:t>
            </w:r>
          </w:p>
        </w:tc>
        <w:tc>
          <w:tcPr>
            <w:tcW w:w="23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11.06. Counterparts; Integration; Effectiveness</w:t>
            </w:r>
          </w:p>
        </w:tc>
        <w:tc>
          <w:tcPr>
            <w:tcW w:w="23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11.07. Severability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11.08. Right of Setoff</w:t>
            </w:r>
          </w:p>
        </w:tc>
        <w:tc>
          <w:tcPr>
            <w:tcW w:w="2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11.09. Governing Law; Jurisdiction; Consent to Service of Process</w:t>
            </w:r>
          </w:p>
        </w:tc>
        <w:tc>
          <w:tcPr>
            <w:tcW w:w="23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11.10. WAIVER OF JURY TRIAL</w:t>
            </w:r>
          </w:p>
        </w:tc>
        <w:tc>
          <w:tcPr>
            <w:tcW w:w="23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11.11. Headings</w:t>
            </w:r>
          </w:p>
        </w:tc>
        <w:tc>
          <w:tcPr>
            <w:tcW w:w="23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11.12. Confidentiality</w:t>
            </w:r>
          </w:p>
        </w:tc>
        <w:tc>
          <w:tcPr>
            <w:tcW w:w="23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11.13. Interest Rate Limitation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11.14. USA PATRIOT Act</w:t>
            </w:r>
          </w:p>
        </w:tc>
        <w:tc>
          <w:tcPr>
            <w:tcW w:w="2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11.15. Non-Public Information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11.16. No Fiduciary Duty</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11.17. Senior Indebtedness</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11.18. Conversion of Currencies</w:t>
            </w:r>
          </w:p>
        </w:tc>
        <w:tc>
          <w:tcPr>
            <w:tcW w:w="2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11.19.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11.20. Acknowledgement and Consent to Bail-In of EEA Financial Institutions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SECTION 11.21. Lender Compliance with ERISA</w:t>
            </w:r>
          </w:p>
        </w:tc>
        <w:tc>
          <w:tcPr>
            <w:tcW w:w="23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Schedules</w:t>
            </w:r>
          </w:p>
        </w:tc>
        <w:tc>
          <w:tcPr>
            <w:tcW w:w="362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65"/>
        </w:trPr>
        <w:tc>
          <w:tcPr>
            <w:tcW w:w="1780" w:type="dxa"/>
            <w:vAlign w:val="bottom"/>
            <w:gridSpan w:val="3"/>
          </w:tcPr>
          <w:p>
            <w:pPr>
              <w:spacing w:after="0"/>
              <w:rPr>
                <w:sz w:val="20"/>
                <w:szCs w:val="20"/>
                <w:color w:val="auto"/>
              </w:rPr>
            </w:pPr>
            <w:r>
              <w:rPr>
                <w:rFonts w:ascii="Arial" w:cs="Arial" w:eastAsia="Arial" w:hAnsi="Arial"/>
                <w:sz w:val="18"/>
                <w:szCs w:val="18"/>
                <w:color w:val="auto"/>
              </w:rPr>
              <w:t>Schedule 1.01A</w:t>
            </w:r>
          </w:p>
        </w:tc>
        <w:tc>
          <w:tcPr>
            <w:tcW w:w="3620" w:type="dxa"/>
            <w:vAlign w:val="bottom"/>
          </w:tcPr>
          <w:p>
            <w:pPr>
              <w:ind w:left="520"/>
              <w:spacing w:after="0"/>
              <w:rPr>
                <w:sz w:val="20"/>
                <w:szCs w:val="20"/>
                <w:color w:val="auto"/>
              </w:rPr>
            </w:pPr>
            <w:r>
              <w:rPr>
                <w:rFonts w:ascii="Arial" w:cs="Arial" w:eastAsia="Arial" w:hAnsi="Arial"/>
                <w:sz w:val="18"/>
                <w:szCs w:val="18"/>
                <w:color w:val="auto"/>
              </w:rPr>
              <w:t>Applicable Funding Account</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Schedule 1.01B</w:t>
            </w:r>
          </w:p>
        </w:tc>
        <w:tc>
          <w:tcPr>
            <w:tcW w:w="3620" w:type="dxa"/>
            <w:vAlign w:val="bottom"/>
          </w:tcPr>
          <w:p>
            <w:pPr>
              <w:ind w:left="52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3620" w:type="dxa"/>
            <w:vAlign w:val="bottom"/>
          </w:tcPr>
          <w:p>
            <w:pPr>
              <w:ind w:left="520"/>
              <w:spacing w:after="0"/>
              <w:rPr>
                <w:sz w:val="20"/>
                <w:szCs w:val="20"/>
                <w:color w:val="auto"/>
              </w:rPr>
            </w:pPr>
            <w:r>
              <w:rPr>
                <w:rFonts w:ascii="Arial" w:cs="Arial" w:eastAsia="Arial" w:hAnsi="Arial"/>
                <w:sz w:val="18"/>
                <w:szCs w:val="18"/>
                <w:color w:val="auto"/>
              </w:rPr>
              <w:t>Commitments</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Schedule 2.04</w:t>
            </w:r>
          </w:p>
        </w:tc>
        <w:tc>
          <w:tcPr>
            <w:tcW w:w="3620" w:type="dxa"/>
            <w:vAlign w:val="bottom"/>
          </w:tcPr>
          <w:p>
            <w:pPr>
              <w:ind w:left="520"/>
              <w:spacing w:after="0"/>
              <w:rPr>
                <w:sz w:val="20"/>
                <w:szCs w:val="20"/>
                <w:color w:val="auto"/>
              </w:rPr>
            </w:pPr>
            <w:r>
              <w:rPr>
                <w:rFonts w:ascii="Arial" w:cs="Arial" w:eastAsia="Arial" w:hAnsi="Arial"/>
                <w:sz w:val="18"/>
                <w:szCs w:val="18"/>
                <w:color w:val="auto"/>
              </w:rPr>
              <w:t>LC Commitments</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Schedule 3.12</w:t>
            </w:r>
          </w:p>
        </w:tc>
        <w:tc>
          <w:tcPr>
            <w:tcW w:w="3620" w:type="dxa"/>
            <w:vAlign w:val="bottom"/>
          </w:tcPr>
          <w:p>
            <w:pPr>
              <w:ind w:left="520"/>
              <w:spacing w:after="0"/>
              <w:rPr>
                <w:sz w:val="20"/>
                <w:szCs w:val="20"/>
                <w:color w:val="auto"/>
              </w:rPr>
            </w:pPr>
            <w:r>
              <w:rPr>
                <w:rFonts w:ascii="Arial" w:cs="Arial" w:eastAsia="Arial" w:hAnsi="Arial"/>
                <w:sz w:val="18"/>
                <w:szCs w:val="18"/>
                <w:color w:val="auto"/>
              </w:rPr>
              <w:t>Subsidiaries</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3620" w:type="dxa"/>
            <w:vAlign w:val="bottom"/>
          </w:tcPr>
          <w:p>
            <w:pPr>
              <w:ind w:left="520"/>
              <w:spacing w:after="0"/>
              <w:rPr>
                <w:sz w:val="20"/>
                <w:szCs w:val="20"/>
                <w:color w:val="auto"/>
              </w:rPr>
            </w:pPr>
            <w:r>
              <w:rPr>
                <w:rFonts w:ascii="Arial" w:cs="Arial" w:eastAsia="Arial" w:hAnsi="Arial"/>
                <w:sz w:val="18"/>
                <w:szCs w:val="18"/>
                <w:color w:val="auto"/>
              </w:rPr>
              <w:t>Indebtedness</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Schedule 6.02(d)</w:t>
            </w:r>
          </w:p>
        </w:tc>
        <w:tc>
          <w:tcPr>
            <w:tcW w:w="3620" w:type="dxa"/>
            <w:vAlign w:val="bottom"/>
          </w:tcPr>
          <w:p>
            <w:pPr>
              <w:ind w:left="520"/>
              <w:spacing w:after="0"/>
              <w:rPr>
                <w:sz w:val="20"/>
                <w:szCs w:val="20"/>
                <w:color w:val="auto"/>
              </w:rPr>
            </w:pPr>
            <w:r>
              <w:rPr>
                <w:rFonts w:ascii="Arial" w:cs="Arial" w:eastAsia="Arial" w:hAnsi="Arial"/>
                <w:sz w:val="18"/>
                <w:szCs w:val="18"/>
                <w:color w:val="auto"/>
              </w:rPr>
              <w:t>Certain Liens</w:t>
            </w:r>
          </w:p>
        </w:tc>
      </w:tr>
      <w:tr>
        <w:trPr>
          <w:trHeight w:val="230"/>
        </w:trPr>
        <w:tc>
          <w:tcPr>
            <w:tcW w:w="178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3620" w:type="dxa"/>
            <w:vAlign w:val="bottom"/>
          </w:tcPr>
          <w:p>
            <w:pPr>
              <w:ind w:left="520"/>
              <w:spacing w:after="0"/>
              <w:rPr>
                <w:sz w:val="20"/>
                <w:szCs w:val="20"/>
                <w:color w:val="auto"/>
              </w:rPr>
            </w:pPr>
            <w:r>
              <w:rPr>
                <w:rFonts w:ascii="Arial" w:cs="Arial" w:eastAsia="Arial" w:hAnsi="Arial"/>
                <w:sz w:val="18"/>
                <w:szCs w:val="18"/>
                <w:color w:val="auto"/>
              </w:rPr>
              <w:t>Restrictive Agreements</w:t>
            </w:r>
          </w:p>
        </w:tc>
      </w:tr>
      <w:tr>
        <w:trPr>
          <w:trHeight w:val="500"/>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362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65"/>
        </w:trPr>
        <w:tc>
          <w:tcPr>
            <w:tcW w:w="17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3620" w:type="dxa"/>
            <w:vAlign w:val="bottom"/>
          </w:tcPr>
          <w:p>
            <w:pPr>
              <w:ind w:left="52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3620" w:type="dxa"/>
            <w:vAlign w:val="bottom"/>
          </w:tcPr>
          <w:p>
            <w:pPr>
              <w:ind w:left="520"/>
              <w:spacing w:after="0"/>
              <w:rPr>
                <w:sz w:val="20"/>
                <w:szCs w:val="20"/>
                <w:color w:val="auto"/>
              </w:rPr>
            </w:pPr>
            <w:r>
              <w:rPr>
                <w:rFonts w:ascii="Arial" w:cs="Arial" w:eastAsia="Arial" w:hAnsi="Arial"/>
                <w:sz w:val="18"/>
                <w:szCs w:val="18"/>
                <w:color w:val="auto"/>
              </w:rPr>
              <w:t>Form of Borrower Joinder Agreement</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3620" w:type="dxa"/>
            <w:vAlign w:val="bottom"/>
          </w:tcPr>
          <w:p>
            <w:pPr>
              <w:ind w:left="520"/>
              <w:spacing w:after="0"/>
              <w:rPr>
                <w:sz w:val="20"/>
                <w:szCs w:val="20"/>
                <w:color w:val="auto"/>
              </w:rPr>
            </w:pPr>
            <w:r>
              <w:rPr>
                <w:rFonts w:ascii="Arial" w:cs="Arial" w:eastAsia="Arial" w:hAnsi="Arial"/>
                <w:sz w:val="18"/>
                <w:szCs w:val="18"/>
                <w:color w:val="auto"/>
                <w:w w:val="92"/>
              </w:rPr>
              <w:t>Form of Borrower Termination Agreement</w:t>
            </w: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3620" w:type="dxa"/>
            <w:vAlign w:val="bottom"/>
          </w:tcPr>
          <w:p>
            <w:pPr>
              <w:ind w:left="520"/>
              <w:spacing w:after="0"/>
              <w:rPr>
                <w:sz w:val="20"/>
                <w:szCs w:val="20"/>
                <w:color w:val="auto"/>
              </w:rPr>
            </w:pPr>
            <w:r>
              <w:rPr>
                <w:rFonts w:ascii="Arial" w:cs="Arial" w:eastAsia="Arial" w:hAnsi="Arial"/>
                <w:sz w:val="18"/>
                <w:szCs w:val="18"/>
                <w:color w:val="auto"/>
              </w:rPr>
              <w:t>Form of Borrowing Request</w:t>
            </w:r>
          </w:p>
        </w:tc>
      </w:tr>
      <w:tr>
        <w:trPr>
          <w:trHeight w:val="230"/>
        </w:trPr>
        <w:tc>
          <w:tcPr>
            <w:tcW w:w="17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3620" w:type="dxa"/>
            <w:vAlign w:val="bottom"/>
          </w:tcPr>
          <w:p>
            <w:pPr>
              <w:ind w:left="520"/>
              <w:spacing w:after="0"/>
              <w:rPr>
                <w:sz w:val="20"/>
                <w:szCs w:val="20"/>
                <w:color w:val="auto"/>
              </w:rPr>
            </w:pPr>
            <w:r>
              <w:rPr>
                <w:rFonts w:ascii="Arial" w:cs="Arial" w:eastAsia="Arial" w:hAnsi="Arial"/>
                <w:sz w:val="18"/>
                <w:szCs w:val="18"/>
                <w:color w:val="auto"/>
              </w:rPr>
              <w:t>Maturity Date Extension Request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57" w:right="1440" w:bottom="1440" w:gutter="0" w:footer="0" w:header="0"/>
        </w:sectPr>
      </w:pPr>
    </w:p>
    <w:bookmarkStart w:id="282" w:name="page283"/>
    <w:bookmarkEnd w:id="282"/>
    <w:p>
      <w:pPr>
        <w:ind w:left="1500" w:right="40" w:firstLine="397"/>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SECOND AMENDED AND RESTATED CREDIT AGREEMENT dated as of December 11, 2017 (this </w:t>
      </w:r>
      <w:r>
        <w:rPr>
          <w:rFonts w:ascii="Arial" w:cs="Arial" w:eastAsia="Arial" w:hAnsi="Arial"/>
          <w:sz w:val="17"/>
          <w:szCs w:val="17"/>
          <w:i w:val="1"/>
          <w:iCs w:val="1"/>
          <w:color w:val="auto"/>
        </w:rPr>
        <w:t>“Agreement”)</w:t>
      </w:r>
      <w:r>
        <w:rPr>
          <w:rFonts w:ascii="Arial" w:cs="Arial" w:eastAsia="Arial" w:hAnsi="Arial"/>
          <w:sz w:val="17"/>
          <w:szCs w:val="17"/>
          <w:color w:val="auto"/>
        </w:rPr>
        <w:t>, among AMDOCS LIMITED, an Island of Guernsey corporation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hereto; the LENDERS from time to time party hereto; JPMORGAN CHASE BANK, N.A., as Administrative Agent; J.P. MORGAN EUROPE LIMITED, as London Agent; and JPMORGAN CHASE BANK, N.A., TORONTO BRANCH, as Canadian Agent.</w:t>
      </w:r>
    </w:p>
    <w:p>
      <w:pPr>
        <w:spacing w:after="0" w:line="17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WHEREAS, the Company, the several banks and other financial institutions party thereto, JPMorgan Chase Bank, N.A., as Administrative Agent, J.P. Morgan Europe Limited, as London Agent and JPMorgan Chase Bank, N.A., Toronto Branch, as Canadian Agent are parties to an Amended and Restated Credit Agreement dated as of December 12, 2014 (the “</w:t>
      </w:r>
      <w:r>
        <w:rPr>
          <w:rFonts w:ascii="Arial" w:cs="Arial" w:eastAsia="Arial" w:hAnsi="Arial"/>
          <w:sz w:val="18"/>
          <w:szCs w:val="18"/>
          <w:i w:val="1"/>
          <w:iCs w:val="1"/>
          <w:color w:val="auto"/>
        </w:rPr>
        <w:t>Existing Credit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on the Effective Date, the Existing Credit Agreement is being amended and restated in the form of this Agreement.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WHEREAS, the Lenders have indicated their willingness to lend and the Issuing Banks have indicated their willingness to issue Letters of Credit, in each case, on the terms and subject to the conditions set forth 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NOW THEREFORE, in consideration for the mutual covenants and agreements herein contained, the parties hereto agree as follows:</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As used in this Agreement, the following terms have the meanings specified below:</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Accession Agreement</w:t>
      </w:r>
      <w:r>
        <w:rPr>
          <w:rFonts w:ascii="Arial" w:cs="Arial" w:eastAsia="Arial" w:hAnsi="Arial"/>
          <w:sz w:val="18"/>
          <w:szCs w:val="18"/>
          <w:color w:val="auto"/>
        </w:rPr>
        <w:t>” has the meaning set forth in Section 2.08(d).</w:t>
      </w:r>
    </w:p>
    <w:p>
      <w:pPr>
        <w:spacing w:after="0" w:line="225"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LIBO Rate</w:t>
      </w:r>
      <w:r>
        <w:rPr>
          <w:rFonts w:ascii="Arial" w:cs="Arial" w:eastAsia="Arial" w:hAnsi="Arial"/>
          <w:sz w:val="18"/>
          <w:szCs w:val="18"/>
          <w:color w:val="auto"/>
        </w:rPr>
        <w:t>” means an interest rate per annum equal to the product of (i) the LIBO Rate for US Dollars for such Interest Period multiplied by (ii) the Statutory Reserve Rate.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xml:space="preserve">” means JPMorgan Chase Bank, N.A., in its capacity as administrative agent for the Lenders hereunder, or any successor appointed in accordance with Article VIII. Unless the context requires otherwise, the term “Administrative Agent” shall include any Affiliate of JPMorgan Chase Bank, N.A. through which JPMorgan Chase Bank, N.A. may perform any of its obligations in such capacity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the obligations</w:t>
      </w:r>
    </w:p>
    <w:p>
      <w:pPr>
        <w:sectPr>
          <w:pgSz w:w="11900" w:h="16838" w:orient="portrait"/>
          <w:cols w:equalWidth="0" w:num="1">
            <w:col w:w="11300"/>
          </w:cols>
          <w:pgMar w:left="240" w:top="274" w:right="359" w:bottom="1440" w:gutter="0" w:footer="0" w:header="0"/>
        </w:sectPr>
      </w:pPr>
    </w:p>
    <w:bookmarkStart w:id="283" w:name="page284"/>
    <w:bookmarkEnd w:id="283"/>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JPMorgan Chase Bank, N.A. as Administrative Agent under this Agreement shall remain unchanged despite the performance of any of its obligations by an Affiliate of JPMorgan Chase Bank, N.A. and (ii) JPMorgan Chase Bank, N.A. shall remain solely responsible to the other parties hereto for the performance of such obligations.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means the Administrative Agent, the London Agent and the Canadian Agent.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means, for any day, a rate per annum equal to the greatest of (a) the Prime Rate (in the case of a Loan or Borrowing made to a US Borrowing Subsidiary) or the US Base Rate (in the case of a Loan or Borrowing made to a Canadian Borrowing Subsidiary) in effect on such day,</w:t>
      </w:r>
    </w:p>
    <w:p>
      <w:pPr>
        <w:ind w:right="140" w:firstLine="8"/>
        <w:spacing w:after="0" w:line="248" w:lineRule="auto"/>
        <w:tabs>
          <w:tab w:leader="none" w:pos="25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the NYFRB Rate in effect on such day plus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 per annum and (c) the Adjusted LIBO Rate on such day (or if such day is not a Business Day, the immediately preceding Business Day) for a deposit in US Dollars with a maturity of one month plus 1% per annum. For purposes of clause (c) above, the Adjusted LIBO Rate on any day shall be based on the rate set forth in clause (a) of the definition of “Screen Rate” (or, if such rate is not available for such one-month maturity, the Interpolated Screen Rate) at approximately 11:00 a.m., London time, on such day for deposits in dollars with a maturity of one month;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rate shall be less than zero, such rate shall be deemed to be zero. Any change in the Alternate Base Rate due to a change in the Prime Rate, the US Base Rate, the NYFRB Rate or the Adjusted LIBO Rate shall be effective from and including the effective date of such change in the Prime Rate, the US Base Rate, the NYFRB Rate or the Adjusted LIBO Rate, as the case may be. If the Alternate Base Rate is being used as an alternate rate of interest pursuant to Section 2.13 hereof, then the Alternate Base Rate shall be the greater of clauses (a) and (b) above and shall be determined without reference to clause (c) above.</w:t>
      </w:r>
    </w:p>
    <w:p>
      <w:pPr>
        <w:spacing w:after="0" w:line="19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corruption or money laundering.</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Agent</w:t>
      </w:r>
      <w:r>
        <w:rPr>
          <w:rFonts w:ascii="Arial" w:cs="Arial" w:eastAsia="Arial" w:hAnsi="Arial"/>
          <w:sz w:val="18"/>
          <w:szCs w:val="18"/>
          <w:color w:val="auto"/>
        </w:rPr>
        <w:t>” means (a) with respect to a Loan or Borrowing (other than by a Canadian Borrowing Subsidiary) denominated in US Dollars or any Letter of Credit, and with respect to any payment hereunder that does not relate to a particular Loan, Borrowing, BA or Letter of Credit, the Administrative Agent, (b) with respect to a Loan or Borrowing by a Canadian Borrowing Subsidiary denominated in US Dollars, a Loan or Borrowing denominated in Canadian Dollars or a BA, the Canadian Agent and (c) with respect to a Loan or Borrowing denominated in a currency other than US Dollars or Canadian Dollars, the London Agent.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84" w:name="page285"/>
    <w:bookmarkEnd w:id="284"/>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Applicable Funding Account</w:t>
      </w:r>
      <w:r>
        <w:rPr>
          <w:rFonts w:ascii="Arial" w:cs="Arial" w:eastAsia="Arial" w:hAnsi="Arial"/>
          <w:sz w:val="18"/>
          <w:szCs w:val="18"/>
          <w:color w:val="auto"/>
        </w:rPr>
        <w:t xml:space="preserve">” means, as to each Borrower, the applicable account with the Applicable Agent (or one of its Affiliates) specified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hereto or set forth in such Borrower’s Borrower Joinder Agreement entered pursuant to Section 2.21 (or if no such account is specified for such Borrower on such Schedule or such Joinder Agreement, in a written notice signed by a Financial Officer and delivered to and approved by such Applicable Agent prior to the initial extension of credit to such Borrower hereunder), or, following the initial designation of an Applicable Funding Account for such Borrower, any other account with the Applicable Agent (or one of its Affiliates) that shall be specified in a written notice signed by a Financial Officer and delivered to and approved by such Applicable Agent.</w:t>
      </w:r>
    </w:p>
    <w:p>
      <w:pPr>
        <w:spacing w:after="0" w:line="19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Rate</w:t>
      </w:r>
      <w:r>
        <w:rPr>
          <w:rFonts w:ascii="Arial" w:cs="Arial" w:eastAsia="Arial" w:hAnsi="Arial"/>
          <w:sz w:val="18"/>
          <w:szCs w:val="18"/>
          <w:color w:val="auto"/>
        </w:rPr>
        <w:t>” means, for any day, the applicable rate per annum set forth below under the caption “Facility Fee Rate”, “LIBOR/EURIBOR Spread and BA Stamping Fee” or “ABR/Canadian Prime Rate Spread”, as the case may be, based upon the Ratings established by S&amp;P and Moody’s as of the most recent determination date: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Ratings</w:t>
            </w:r>
          </w:p>
        </w:tc>
        <w:tc>
          <w:tcPr>
            <w:tcW w:w="15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89"/>
              </w:rPr>
              <w:t>Facility Fee</w:t>
            </w: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LIBOR/EURIBOR</w:t>
            </w: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ABR/Canadian</w:t>
            </w:r>
          </w:p>
        </w:tc>
        <w:tc>
          <w:tcPr>
            <w:tcW w:w="0" w:type="dxa"/>
            <w:vAlign w:val="bottom"/>
          </w:tcPr>
          <w:p>
            <w:pPr>
              <w:spacing w:after="0"/>
              <w:rPr>
                <w:sz w:val="1"/>
                <w:szCs w:val="1"/>
                <w:color w:val="auto"/>
              </w:rPr>
            </w:pPr>
          </w:p>
        </w:tc>
      </w:tr>
      <w:tr>
        <w:trPr>
          <w:trHeight w:val="144"/>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2"/>
              </w:rPr>
              <w:t>Category</w:t>
            </w:r>
          </w:p>
        </w:tc>
        <w:tc>
          <w:tcPr>
            <w:tcW w:w="2240" w:type="dxa"/>
            <w:vAlign w:val="bottom"/>
            <w:vMerge w:val="restart"/>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60" w:type="dxa"/>
            <w:vAlign w:val="bottom"/>
            <w:gridSpan w:val="2"/>
          </w:tcPr>
          <w:p>
            <w:pPr>
              <w:jc w:val="center"/>
              <w:ind w:right="780"/>
              <w:spacing w:after="0" w:line="145" w:lineRule="exact"/>
              <w:rPr>
                <w:sz w:val="20"/>
                <w:szCs w:val="20"/>
                <w:color w:val="auto"/>
              </w:rPr>
            </w:pPr>
            <w:r>
              <w:rPr>
                <w:rFonts w:ascii="Arial" w:cs="Arial" w:eastAsia="Arial" w:hAnsi="Arial"/>
                <w:sz w:val="14"/>
                <w:szCs w:val="14"/>
                <w:b w:val="1"/>
                <w:bCs w:val="1"/>
                <w:color w:val="auto"/>
                <w:w w:val="93"/>
              </w:rPr>
              <w:t>Spread and BA</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2840" w:type="dxa"/>
            <w:vAlign w:val="bottom"/>
            <w:gridSpan w:val="2"/>
          </w:tcPr>
          <w:p>
            <w:pPr>
              <w:ind w:left="640"/>
              <w:spacing w:after="0"/>
              <w:rPr>
                <w:sz w:val="20"/>
                <w:szCs w:val="20"/>
                <w:color w:val="auto"/>
              </w:rPr>
            </w:pPr>
            <w:r>
              <w:rPr>
                <w:rFonts w:ascii="Arial" w:cs="Arial" w:eastAsia="Arial" w:hAnsi="Arial"/>
                <w:sz w:val="14"/>
                <w:szCs w:val="14"/>
                <w:b w:val="1"/>
                <w:bCs w:val="1"/>
                <w:color w:val="auto"/>
              </w:rPr>
              <w:t>(S&amp;P/Moody’s)</w:t>
            </w:r>
          </w:p>
        </w:tc>
        <w:tc>
          <w:tcPr>
            <w:tcW w:w="15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Rate</w:t>
            </w:r>
          </w:p>
        </w:tc>
        <w:tc>
          <w:tcPr>
            <w:tcW w:w="19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Stamping Fee</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Prime Rate Spread</w:t>
            </w:r>
          </w:p>
        </w:tc>
        <w:tc>
          <w:tcPr>
            <w:tcW w:w="0" w:type="dxa"/>
            <w:vAlign w:val="bottom"/>
          </w:tcPr>
          <w:p>
            <w:pPr>
              <w:spacing w:after="0"/>
              <w:rPr>
                <w:sz w:val="1"/>
                <w:szCs w:val="1"/>
                <w:color w:val="auto"/>
              </w:rPr>
            </w:pPr>
          </w:p>
        </w:tc>
      </w:tr>
      <w:tr>
        <w:trPr>
          <w:trHeight w:val="20"/>
        </w:trPr>
        <w:tc>
          <w:tcPr>
            <w:tcW w:w="2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Category 1</w:t>
            </w:r>
          </w:p>
        </w:tc>
        <w:tc>
          <w:tcPr>
            <w:tcW w:w="22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gridSpan w:val="2"/>
            <w:vMerge w:val="continue"/>
            <w:shd w:val="clear" w:color="auto" w:fill="CCEEFF"/>
          </w:tcPr>
          <w:p>
            <w:pPr>
              <w:spacing w:after="0"/>
              <w:rPr>
                <w:sz w:val="17"/>
                <w:szCs w:val="17"/>
                <w:color w:val="auto"/>
              </w:rPr>
            </w:pPr>
          </w:p>
        </w:tc>
        <w:tc>
          <w:tcPr>
            <w:tcW w:w="2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A-/A3 or higher</w:t>
            </w:r>
          </w:p>
        </w:tc>
        <w:tc>
          <w:tcPr>
            <w:tcW w:w="620" w:type="dxa"/>
            <w:vAlign w:val="bottom"/>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.100%</w:t>
            </w:r>
          </w:p>
        </w:tc>
        <w:tc>
          <w:tcPr>
            <w:tcW w:w="19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.900%</w:t>
            </w:r>
          </w:p>
        </w:tc>
        <w:tc>
          <w:tcPr>
            <w:tcW w:w="13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Category 2</w:t>
            </w:r>
          </w:p>
        </w:tc>
        <w:tc>
          <w:tcPr>
            <w:tcW w:w="2840" w:type="dxa"/>
            <w:vAlign w:val="bottom"/>
            <w:gridSpan w:val="2"/>
          </w:tcPr>
          <w:p>
            <w:pPr>
              <w:spacing w:after="0"/>
              <w:rPr>
                <w:sz w:val="20"/>
                <w:szCs w:val="20"/>
                <w:color w:val="auto"/>
              </w:rPr>
            </w:pPr>
            <w:r>
              <w:rPr>
                <w:rFonts w:ascii="Arial" w:cs="Arial" w:eastAsia="Arial" w:hAnsi="Arial"/>
                <w:sz w:val="18"/>
                <w:szCs w:val="18"/>
                <w:color w:val="auto"/>
              </w:rPr>
              <w:t>BBB+/Baa1</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.125%</w:t>
            </w:r>
          </w:p>
        </w:tc>
        <w:tc>
          <w:tcPr>
            <w:tcW w:w="196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3</w:t>
            </w: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BBB/Baa2</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w:t>
            </w: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Category 4</w:t>
            </w:r>
          </w:p>
        </w:tc>
        <w:tc>
          <w:tcPr>
            <w:tcW w:w="2840" w:type="dxa"/>
            <w:vAlign w:val="bottom"/>
            <w:gridSpan w:val="2"/>
          </w:tcPr>
          <w:p>
            <w:pPr>
              <w:spacing w:after="0"/>
              <w:rPr>
                <w:sz w:val="20"/>
                <w:szCs w:val="20"/>
                <w:color w:val="auto"/>
              </w:rPr>
            </w:pPr>
            <w:r>
              <w:rPr>
                <w:rFonts w:ascii="Arial" w:cs="Arial" w:eastAsia="Arial" w:hAnsi="Arial"/>
                <w:sz w:val="18"/>
                <w:szCs w:val="18"/>
                <w:color w:val="auto"/>
              </w:rPr>
              <w:t>BBB-/Baa3</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.200%</w:t>
            </w:r>
          </w:p>
        </w:tc>
        <w:tc>
          <w:tcPr>
            <w:tcW w:w="1960" w:type="dxa"/>
            <w:vAlign w:val="bottom"/>
            <w:gridSpan w:val="2"/>
          </w:tcPr>
          <w:p>
            <w:pPr>
              <w:jc w:val="right"/>
              <w:ind w:right="620"/>
              <w:spacing w:after="0"/>
              <w:rPr>
                <w:sz w:val="20"/>
                <w:szCs w:val="20"/>
                <w:color w:val="auto"/>
              </w:rPr>
            </w:pPr>
            <w:r>
              <w:rPr>
                <w:rFonts w:ascii="Arial" w:cs="Arial" w:eastAsia="Arial" w:hAnsi="Arial"/>
                <w:sz w:val="18"/>
                <w:szCs w:val="18"/>
                <w:color w:val="auto"/>
              </w:rPr>
              <w:t>1.175%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5</w:t>
            </w: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BB+/Ba1 or lower</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w:t>
            </w: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1.375%</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For purposes of the foregoing, (i) if the Ratings established by Moody’s and S&amp;P shall fall within different Categories, the Applicable Rate shall be based on the higher of the two Ratings unless one of the two Ratings is two or more Categories lower than the other, in which case the Applicable Rate shall be determined by reference to the Category next below that in which the higher of the two Ratings falls; (ii) if only one of Moody’s and S&amp;P shall have in effect a Rating (other than by reason of the circumstances referred to in the last sentence of this definition), then the Applicable Rate shall be based on the single available Rating; (iii) if neither Moody’s nor S&amp;P shall have in effect a Rating (other than by reason of the circumstances referred to in the last sentence of this definition), then the Applicable Rate shall be determined by reference to Category 5; and (iv) if the Rating established by Moody’s or S&amp;P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of the other rating agency (or, if the circumstances referred to in this sentence shall affect both rating agencies, the Rating or Ratings most recently in effect prior to such changes or cessations).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85" w:name="page286"/>
    <w:bookmarkEnd w:id="2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Approved Fund</w:t>
      </w:r>
      <w:r>
        <w:rPr>
          <w:rFonts w:ascii="Arial" w:cs="Arial" w:eastAsia="Arial" w:hAnsi="Arial"/>
          <w:sz w:val="18"/>
          <w:szCs w:val="18"/>
          <w:color w:val="auto"/>
        </w:rPr>
        <w:t>” has the meaning set forth in Section 11.04(b).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Arrangers</w:t>
      </w:r>
      <w:r>
        <w:rPr>
          <w:rFonts w:ascii="Arial" w:cs="Arial" w:eastAsia="Arial" w:hAnsi="Arial"/>
          <w:sz w:val="18"/>
          <w:szCs w:val="18"/>
          <w:color w:val="auto"/>
        </w:rPr>
        <w:t>” means JPMorgan Chase Bank, N.A., Citigroup Global Markets Inc. and HSBC Bank plc.</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11.04),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Debt</w:t>
      </w:r>
      <w:r>
        <w:rPr>
          <w:rFonts w:ascii="Arial" w:cs="Arial" w:eastAsia="Arial" w:hAnsi="Arial"/>
          <w:sz w:val="17"/>
          <w:szCs w:val="17"/>
          <w:color w:val="auto"/>
        </w:rPr>
        <w:t>”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Debt shall be the lesser of (a)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Agent</w:t>
      </w:r>
      <w:r>
        <w:rPr>
          <w:rFonts w:ascii="Arial" w:cs="Arial" w:eastAsia="Arial" w:hAnsi="Arial"/>
          <w:sz w:val="18"/>
          <w:szCs w:val="18"/>
          <w:color w:val="auto"/>
        </w:rPr>
        <w:t>” has the meaning set forth in Section 11.09(d).</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w:t>
      </w:r>
      <w:r>
        <w:rPr>
          <w:rFonts w:ascii="Arial" w:cs="Arial" w:eastAsia="Arial" w:hAnsi="Arial"/>
          <w:sz w:val="16"/>
          <w:szCs w:val="16"/>
          <w:color w:val="auto"/>
        </w:rPr>
        <w:t>” means a bill of exchange, including a depository bill issued in accordance with the Depository Bills and Notes Act (Canada), denominated in Canadian Dollars, drawn by a Canadian Borrowing Subsidiary and accepted by a Lender in accordance with the terms of this Agreement.</w:t>
      </w:r>
    </w:p>
    <w:p>
      <w:pPr>
        <w:spacing w:after="0" w:line="124"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Drawing</w:t>
      </w:r>
      <w:r>
        <w:rPr>
          <w:rFonts w:ascii="Arial" w:cs="Arial" w:eastAsia="Arial" w:hAnsi="Arial"/>
          <w:sz w:val="18"/>
          <w:szCs w:val="18"/>
          <w:color w:val="auto"/>
        </w:rPr>
        <w:t>” means BAs accepted and purchased (and any BA Equivalent Loans made in lieu of such acceptance and purchase) on the same date and as to which a single Contract Period is in effect.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Equivalent Loan</w:t>
      </w:r>
      <w:r>
        <w:rPr>
          <w:rFonts w:ascii="Arial" w:cs="Arial" w:eastAsia="Arial" w:hAnsi="Arial"/>
          <w:sz w:val="18"/>
          <w:szCs w:val="18"/>
          <w:color w:val="auto"/>
        </w:rPr>
        <w:t>” has the meaning set forth in Section 2.05(k).</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as to any EEA Financial Institution, the exercise of any Write-Down and Conversion Powers by the applicable EEA Resolution Authority in respect of any liability of such EEA Financial Institution.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86" w:name="page287"/>
    <w:bookmarkEnd w:id="286"/>
    <w:p>
      <w:pPr>
        <w:ind w:right="3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that is described in the EU Bail-In Legislation Schedule.</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Event</w:t>
      </w:r>
      <w:r>
        <w:rPr>
          <w:rFonts w:ascii="Arial" w:cs="Arial" w:eastAsia="Arial" w:hAnsi="Arial"/>
          <w:sz w:val="16"/>
          <w:szCs w:val="16"/>
          <w:color w:val="auto"/>
        </w:rPr>
        <w:t xml:space="preserve">” means,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consented to, approved or acquiesced in, any such proceeding or appointment;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Bankruptcy Event shall not result solely by virtue of any ownership interest, or the acquisition of any ownership interest, in such Person by a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obligations of such Person under this Agreement.</w:t>
      </w:r>
    </w:p>
    <w:p>
      <w:pPr>
        <w:spacing w:after="0" w:line="16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Basket Amount</w:t>
      </w:r>
      <w:r>
        <w:rPr>
          <w:rFonts w:ascii="Arial" w:cs="Arial" w:eastAsia="Arial" w:hAnsi="Arial"/>
          <w:sz w:val="18"/>
          <w:szCs w:val="18"/>
          <w:color w:val="auto"/>
        </w:rPr>
        <w:t>” means, at any time, the greater of (a) US$350,000,000 and (b) 10% of Consolidated Tangible Assets at the end of the most recent fiscal quarter of the Company for which financial statements have been delivered under Section 5.01 (or, prior to the delivery of any such financial statements, at the end of the most recent fiscal quarter of the Company for which financial statements have been delivered under Section 5.01 of the Existing Credit Agreement).</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xml:space="preserve"> means the Board of Governors of the Federal Reserve System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means any Tranche A Borrower, Tranche B Borrower or Tranche C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Joinder Agreement</w:t>
      </w:r>
      <w:r>
        <w:rPr>
          <w:rFonts w:ascii="Arial" w:cs="Arial" w:eastAsia="Arial" w:hAnsi="Arial"/>
          <w:sz w:val="18"/>
          <w:szCs w:val="18"/>
          <w:color w:val="auto"/>
        </w:rPr>
        <w:t xml:space="preserve">” means a Borrower Joinder Agreement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Termination Agreement</w:t>
      </w:r>
      <w:r>
        <w:rPr>
          <w:rFonts w:ascii="Arial" w:cs="Arial" w:eastAsia="Arial" w:hAnsi="Arial"/>
          <w:sz w:val="18"/>
          <w:szCs w:val="18"/>
          <w:color w:val="auto"/>
        </w:rPr>
        <w:t xml:space="preserve">” means a Borrower Termination Agreement,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means Loans of the same Class and Type made, converted or continued on the same date and, in the case of LIBOR Loans, as to which a single Interest Period is in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87" w:name="page288"/>
    <w:bookmarkEnd w:id="287"/>
    <w:p>
      <w:pPr>
        <w:ind w:right="3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Borrowing Minimum</w:t>
      </w:r>
      <w:r>
        <w:rPr>
          <w:rFonts w:ascii="Arial" w:cs="Arial" w:eastAsia="Arial" w:hAnsi="Arial"/>
          <w:sz w:val="18"/>
          <w:szCs w:val="18"/>
          <w:color w:val="auto"/>
        </w:rPr>
        <w:t>” means (a) in the case of a Borrowing denominated in US Dollars, US$3,000,000, (b) in the case of a Borrowing denominated in Sterling, £2,000,000, (c) in the case of a Borrowing denominated in Euros, €3,000,000 and (d) in the case of a Borrowing denominated in Canadian Dollars, Cdn.$3,000,000.</w:t>
      </w:r>
    </w:p>
    <w:p>
      <w:pPr>
        <w:spacing w:after="0" w:line="18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Multiple</w:t>
      </w:r>
      <w:r>
        <w:rPr>
          <w:rFonts w:ascii="Arial" w:cs="Arial" w:eastAsia="Arial" w:hAnsi="Arial"/>
          <w:sz w:val="18"/>
          <w:szCs w:val="18"/>
          <w:color w:val="auto"/>
        </w:rPr>
        <w:t>” means (a) in the case of a Borrowing denominated in US Dollars, US$1,000,000, (b) in the case of a Borrowing denominated in Sterling, £1,000,000, (c) in the case of a Borrowing denominated in Euros, €1,000,000 and (d) in the case of a Borrowing denominated in Canadian Dollars, Cdn.$1,000,000.</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Request</w:t>
      </w:r>
      <w:r>
        <w:rPr>
          <w:rFonts w:ascii="Arial" w:cs="Arial" w:eastAsia="Arial" w:hAnsi="Arial"/>
          <w:sz w:val="18"/>
          <w:szCs w:val="18"/>
          <w:color w:val="auto"/>
        </w:rPr>
        <w:t>” means a request by a Borrower for a Borrowing in accordance with Section 2.03.</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Subsidiary</w:t>
      </w:r>
      <w:r>
        <w:rPr>
          <w:rFonts w:ascii="Arial" w:cs="Arial" w:eastAsia="Arial" w:hAnsi="Arial"/>
          <w:sz w:val="18"/>
          <w:szCs w:val="18"/>
          <w:color w:val="auto"/>
        </w:rPr>
        <w:t xml:space="preserve">” means (a) European Software Marketing Limited, a Guernsey limited company, and (b) any other Subsidiary that has become a Borrowing Subsidiary after the date hereof as provided in Section 2.21;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Subsidiary referred to in the preceding clauses (a) and (b) may cease to be a Borrowing Subsidiary as provided in Section 2.21.</w:t>
      </w:r>
    </w:p>
    <w:p>
      <w:pPr>
        <w:spacing w:after="0" w:line="18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xml:space="preserve">” means any day that is not a Saturday, Sunday or other day on which commercial banks in New York City or London are authorized or required by law to remain closed;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when used in connection with a LIBOR Loan in any currency,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banks are not open for dealings in deposits in such currency in the London interbank market, (b) when used in connection with a EURIBOR Loan,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TARGET is not open for the settlement of payments in Euros, (c) when used in connection with a Canadian Prime Rate Loan or a BA,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banks are not open for business in Toronto and (d) when used in connection with a Loan to any Borrower organized in a jurisdiction other than the United States of America, the United Kingdom or Canada,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commercial banks in the jurisdiction of organization of such Borrower are authorized or required by law to remain closed.</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CAM</w:t>
      </w:r>
      <w:r>
        <w:rPr>
          <w:rFonts w:ascii="Arial" w:cs="Arial" w:eastAsia="Arial" w:hAnsi="Arial"/>
          <w:sz w:val="17"/>
          <w:szCs w:val="17"/>
          <w:color w:val="auto"/>
        </w:rPr>
        <w:t>” means the mechanism for the allocation and exchange of interests in the Tranches and the collections thereunder established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IX.</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CAM Exchange</w:t>
      </w:r>
      <w:r>
        <w:rPr>
          <w:rFonts w:ascii="Arial" w:cs="Arial" w:eastAsia="Arial" w:hAnsi="Arial"/>
          <w:sz w:val="18"/>
          <w:szCs w:val="18"/>
          <w:color w:val="auto"/>
        </w:rPr>
        <w:t>” means the exchange of the Lenders’ interests provided for in Article IX.</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 Exchange Date</w:t>
      </w:r>
      <w:r>
        <w:rPr>
          <w:rFonts w:ascii="Arial" w:cs="Arial" w:eastAsia="Arial" w:hAnsi="Arial"/>
          <w:sz w:val="16"/>
          <w:szCs w:val="16"/>
          <w:color w:val="auto"/>
        </w:rPr>
        <w:t>” means the date on which any event referred to in clause (h) or (i) of Article VII shall occur with respect to the Company.</w:t>
      </w:r>
    </w:p>
    <w:p>
      <w:pPr>
        <w:spacing w:after="0" w:line="24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CAM Percentage</w:t>
      </w:r>
      <w:r>
        <w:rPr>
          <w:rFonts w:ascii="Arial" w:cs="Arial" w:eastAsia="Arial" w:hAnsi="Arial"/>
          <w:sz w:val="17"/>
          <w:szCs w:val="17"/>
          <w:color w:val="auto"/>
        </w:rPr>
        <w:t>” means, as to each Lender, a fraction, expressed as a decimal, of which (a) the numerator shall be the sum of the US Dollar Equivalents (determined on the basis of Exchange Rates prevailing on the CAM Exchange Date) of the Designated Obligations owed to such Lender (whether or not at the time due and payable) immediately prior to the CAM Exchange and (b) the denominator shall be the sum of the US Dollar Equivalents (as so determined) of the Designated Obligations owed to all the Lenders (whether or not at the time due and payable) immediately prior to the CAM Exchange. For purposes of determining the CAM Percentages, the amount payable in respect of any BA shall be deemed to be the face amount thereof, reduced by the unaccreted portion of the discount at which such BA shall have been purchased (taking into account the applicable Discount Rates and acceptance fees), as determined by the Administrative Agent in accordance with accepted financial practice.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88" w:name="page289"/>
    <w:bookmarkEnd w:id="288"/>
    <w:p>
      <w:pPr>
        <w:ind w:right="3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Canadian Agent</w:t>
      </w:r>
      <w:r>
        <w:rPr>
          <w:rFonts w:ascii="Arial" w:cs="Arial" w:eastAsia="Arial" w:hAnsi="Arial"/>
          <w:sz w:val="18"/>
          <w:szCs w:val="18"/>
          <w:color w:val="auto"/>
        </w:rPr>
        <w:t>” means JPMorgan Chase Bank, N.A., Toronto Branch, in its capacity as Canadian agent for the Lenders hereunder, or any successor appointed in accordance with Article VIII.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Borrowing Subsidiary</w:t>
      </w:r>
      <w:r>
        <w:rPr>
          <w:rFonts w:ascii="Arial" w:cs="Arial" w:eastAsia="Arial" w:hAnsi="Arial"/>
          <w:sz w:val="18"/>
          <w:szCs w:val="18"/>
          <w:color w:val="auto"/>
        </w:rPr>
        <w:t>” means any Borrowing Subsidiary that is a Canadian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or “</w:t>
      </w:r>
      <w:r>
        <w:rPr>
          <w:rFonts w:ascii="Arial" w:cs="Arial" w:eastAsia="Arial" w:hAnsi="Arial"/>
          <w:sz w:val="18"/>
          <w:szCs w:val="18"/>
          <w:i w:val="1"/>
          <w:iCs w:val="1"/>
          <w:color w:val="auto"/>
        </w:rPr>
        <w:t>Cdn.$</w:t>
      </w:r>
      <w:r>
        <w:rPr>
          <w:rFonts w:ascii="Arial" w:cs="Arial" w:eastAsia="Arial" w:hAnsi="Arial"/>
          <w:sz w:val="18"/>
          <w:szCs w:val="18"/>
          <w:color w:val="auto"/>
        </w:rPr>
        <w:t>” means the lawful money of Canada.</w:t>
      </w:r>
    </w:p>
    <w:p>
      <w:pPr>
        <w:spacing w:after="0" w:line="225"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Prime Rate</w:t>
      </w:r>
      <w:r>
        <w:rPr>
          <w:rFonts w:ascii="Arial" w:cs="Arial" w:eastAsia="Arial" w:hAnsi="Arial"/>
          <w:sz w:val="17"/>
          <w:szCs w:val="17"/>
          <w:color w:val="auto"/>
        </w:rPr>
        <w:t>” means, for any day, the rate of interest per annum (rounded upwards, if necessary, to the next 1/100 of 1%) equal to the greater of (a) the interest rate per annum publicly announced from time to time by the Canadian Agent as its reference rate in effect on such day at its principal office in Toronto for determining interest rates applicable to commercial loans denominated in Canadian Dollars and made by it in Canada (each change in such reference rate being effective from and including the date such change is publicly announced as being effective) and (b) the interest rate per annum equal to the sum of (i) the CDOR Rate (but in no event less than zero) on such day (or, if such rate is not so reported on the Reuters Screen CDOR Page, the average of the rate quotes for bankers’ acceptances denominated in Canadian Dollars with a one month term received by the Canadian Agent at approximately 10:00 a.m., Toronto time, on such day (or, if such day is not a Business Day, on the next preceding Business Day) from the Schedule I Reference Lenders) and (ii) 0.50% per annum.</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Subsidiary</w:t>
      </w:r>
      <w:r>
        <w:rPr>
          <w:rFonts w:ascii="Arial" w:cs="Arial" w:eastAsia="Arial" w:hAnsi="Arial"/>
          <w:sz w:val="16"/>
          <w:szCs w:val="16"/>
          <w:color w:val="auto"/>
        </w:rPr>
        <w:t>” means any Subsidiary that is incorporated or otherwise organized under the laws of Canada or any political subdivision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CDOR Rate</w:t>
      </w:r>
      <w:r>
        <w:rPr>
          <w:rFonts w:ascii="Arial" w:cs="Arial" w:eastAsia="Arial" w:hAnsi="Arial"/>
          <w:sz w:val="18"/>
          <w:szCs w:val="18"/>
          <w:color w:val="auto"/>
        </w:rPr>
        <w:t>” means, on any date, an interest rate per annum equal to the stated average discount rate applicable to bankers’ acceptances denominated in Canadian Dollars with a term of one month (for purposes of the definition of “</w:t>
      </w:r>
      <w:r>
        <w:rPr>
          <w:rFonts w:ascii="Arial" w:cs="Arial" w:eastAsia="Arial" w:hAnsi="Arial"/>
          <w:sz w:val="18"/>
          <w:szCs w:val="18"/>
          <w:i w:val="1"/>
          <w:iCs w:val="1"/>
          <w:color w:val="auto"/>
        </w:rPr>
        <w:t>Canadian Prime Rate</w:t>
      </w:r>
      <w:r>
        <w:rPr>
          <w:rFonts w:ascii="Arial" w:cs="Arial" w:eastAsia="Arial" w:hAnsi="Arial"/>
          <w:sz w:val="18"/>
          <w:szCs w:val="18"/>
          <w:color w:val="auto"/>
        </w:rPr>
        <w:t>”) or with a term equal to the Contract Period of the relevant BAs (for purposes of the definition of “</w:t>
      </w:r>
      <w:r>
        <w:rPr>
          <w:rFonts w:ascii="Arial" w:cs="Arial" w:eastAsia="Arial" w:hAnsi="Arial"/>
          <w:sz w:val="18"/>
          <w:szCs w:val="18"/>
          <w:i w:val="1"/>
          <w:iCs w:val="1"/>
          <w:color w:val="auto"/>
        </w:rPr>
        <w:t>Discount Rate</w:t>
      </w:r>
      <w:r>
        <w:rPr>
          <w:rFonts w:ascii="Arial" w:cs="Arial" w:eastAsia="Arial" w:hAnsi="Arial"/>
          <w:sz w:val="18"/>
          <w:szCs w:val="18"/>
          <w:color w:val="auto"/>
        </w:rPr>
        <w:t>”) appearing on the Reuters Screen CDOR Page (or on any successor or substitute page of such Screen, or any successor to or substitute for such Screen, providing rate quotations comparable to those currently provided on such page of such Screen, as determined by the Canadian Agent from time to time) at approximately 10:00 a.m., Toronto time, on such date (or, if such date is not a Business Day, on the next preceding Business Day).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89" w:name="page290"/>
    <w:bookmarkEnd w:id="2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w:t>
      </w:r>
    </w:p>
    <w:p>
      <w:pPr>
        <w:spacing w:after="0" w:line="117" w:lineRule="exact"/>
        <w:rPr>
          <w:sz w:val="20"/>
          <w:szCs w:val="20"/>
          <w:color w:val="auto"/>
        </w:rPr>
      </w:pPr>
    </w:p>
    <w:p>
      <w:pPr>
        <w:jc w:val="both"/>
        <w:ind w:right="260" w:firstLine="921"/>
        <w:spacing w:after="0" w:line="264" w:lineRule="auto"/>
        <w:tabs>
          <w:tab w:leader="none" w:pos="115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acquisition of ownership, directly or indirectly, beneficially or of record, by any Person or group (within the meaning of the Securities Exchange Act of 1934 and the rules of the SEC thereunder as in effect on the date hereof), of shares representing more than 35% of the aggregate ordinary voting power represented by the issued and outstanding capital stock of the Company;</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occupation of a majority of the seats (other than vacant seats) on the board of directors of the Company by Persons who were neither</w:t>
      </w:r>
    </w:p>
    <w:p>
      <w:pPr>
        <w:spacing w:after="0" w:line="34" w:lineRule="exact"/>
        <w:rPr>
          <w:rFonts w:ascii="Arial" w:cs="Arial" w:eastAsia="Arial" w:hAnsi="Arial"/>
          <w:sz w:val="17"/>
          <w:szCs w:val="17"/>
          <w:color w:val="auto"/>
        </w:rPr>
      </w:pPr>
    </w:p>
    <w:p>
      <w:pPr>
        <w:ind w:right="760" w:firstLine="8"/>
        <w:spacing w:after="0" w:line="261" w:lineRule="auto"/>
        <w:tabs>
          <w:tab w:leader="none" w:pos="21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nominated by the board of directors of the Company nor (ii) appointed or approved for consideration by shareholders for election by directors so nominated;</w:t>
      </w:r>
    </w:p>
    <w:p>
      <w:pPr>
        <w:spacing w:after="0" w:line="75" w:lineRule="exact"/>
        <w:rPr>
          <w:rFonts w:ascii="Arial" w:cs="Arial" w:eastAsia="Arial" w:hAnsi="Arial"/>
          <w:sz w:val="18"/>
          <w:szCs w:val="18"/>
          <w:color w:val="auto"/>
        </w:rPr>
      </w:pPr>
    </w:p>
    <w:p>
      <w:pPr>
        <w:ind w:left="1160" w:hanging="239"/>
        <w:spacing w:after="0"/>
        <w:tabs>
          <w:tab w:leader="none" w:pos="11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acquisition of direct or indirect Control of the Company by any Person or group; or</w:t>
      </w:r>
    </w:p>
    <w:p>
      <w:pPr>
        <w:spacing w:after="0" w:line="117" w:lineRule="exact"/>
        <w:rPr>
          <w:rFonts w:ascii="Arial" w:cs="Arial" w:eastAsia="Arial" w:hAnsi="Arial"/>
          <w:sz w:val="18"/>
          <w:szCs w:val="18"/>
          <w:color w:val="auto"/>
        </w:rPr>
      </w:pPr>
    </w:p>
    <w:p>
      <w:pPr>
        <w:ind w:firstLine="921"/>
        <w:spacing w:after="0" w:line="277" w:lineRule="auto"/>
        <w:tabs>
          <w:tab w:leader="none" w:pos="1168"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acquisition of any Equity Interests (other than directors’ or other qualifying shares) of any Borrowing Subsidiary by any Person other than the Company or a Subsidiary.</w:t>
      </w:r>
    </w:p>
    <w:p>
      <w:pPr>
        <w:spacing w:after="0" w:line="170"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Law</w:t>
      </w:r>
      <w:r>
        <w:rPr>
          <w:rFonts w:ascii="Arial" w:cs="Arial" w:eastAsia="Arial" w:hAnsi="Arial"/>
          <w:sz w:val="17"/>
          <w:szCs w:val="17"/>
          <w:color w:val="auto"/>
        </w:rPr>
        <w:t xml:space="preserve">” means (a) the adoption of any law, rule or regulation after the Closing Date, (b) any change in any law, rule or regulation or in the interpretation or application thereof by any Governmental Authority after the Closing Date or (c) compliance by any Lender or Issuing Bank (or by any lending office of such Lender or Issuing Bank or by such Lender’s or Issuing Bank’s holding company, if any) with any request, rule, guideline or directive (whether or not having the force of law) of any Governmental Authority made or issued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Regulations and Supervisory Practices (or any successor similar authority) or other financial regulatory authorities, in each case pursuant to Basel III or CRD IV, shall in each case be deemed to be a “Change in Law”, whether enacted, adopted, promulgated or issued before or after the date of this Agreement.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w:t>
      </w:r>
      <w:r>
        <w:rPr>
          <w:rFonts w:ascii="Arial" w:cs="Arial" w:eastAsia="Arial" w:hAnsi="Arial"/>
          <w:sz w:val="18"/>
          <w:szCs w:val="18"/>
          <w:color w:val="auto"/>
        </w:rPr>
        <w:t>” has the meaning set forth in Section 2.17(c).</w:t>
      </w:r>
    </w:p>
    <w:p>
      <w:pPr>
        <w:spacing w:after="0" w:line="225" w:lineRule="exact"/>
        <w:rPr>
          <w:sz w:val="20"/>
          <w:szCs w:val="20"/>
          <w:color w:val="auto"/>
        </w:rPr>
      </w:pPr>
    </w:p>
    <w:p>
      <w:pPr>
        <w:jc w:val="both"/>
        <w:ind w:right="5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when used in reference to (a) any Loan or Borrowing, refers to whether such Loan, or the Loans comprising such Borrowing, are Tranche A Loans, Tranche B Loans or Tranche C Loans, and (b) any Commitment, refers to whether such Commitment is a Tranche A Commitment, a Tranche B Commitment or a Tranche C Commitment.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means the Tranche A Commitments, the Tranche B Commitments and the Tranche C Commitments. The aggregate amount of the Commitments as of the Closing Date is US$500,000,000.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90" w:name="page291"/>
    <w:bookmarkEnd w:id="290"/>
    <w:p>
      <w:pPr>
        <w:ind w:right="1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Communications</w:t>
      </w:r>
      <w:r>
        <w:rPr>
          <w:rFonts w:ascii="Arial" w:cs="Arial" w:eastAsia="Arial" w:hAnsi="Arial"/>
          <w:sz w:val="18"/>
          <w:szCs w:val="18"/>
          <w:color w:val="auto"/>
        </w:rPr>
        <w:t>” means, collectively, any notice, demand, communication, information, document or other material provided by or on behalf of any Credit Party pursuant to any Credit Document or the transactions contemplated therein that is distributed to the Agents, any Lender or any Issuing Bank by means of electronic communications pursuant to Section 11.01, including through the Platform.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Lender</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jc w:val="both"/>
        <w:ind w:right="1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Assets</w:t>
      </w:r>
      <w:r>
        <w:rPr>
          <w:rFonts w:ascii="Arial" w:cs="Arial" w:eastAsia="Arial" w:hAnsi="Arial"/>
          <w:sz w:val="16"/>
          <w:szCs w:val="16"/>
          <w:color w:val="auto"/>
        </w:rPr>
        <w:t>” means, at any time, the aggregate amount of assets (less applicable accumulated depreciation, depletion and amortization and other reserves and other properly deductible items) of the Company and its Subsidiaries, all as set forth in the most recent consolidated balance sheet of the Company and its Subsidiaries, determined in accordance with GAAP, included in the periodic reports of the Company filed with the SEC.</w:t>
      </w:r>
    </w:p>
    <w:p>
      <w:pPr>
        <w:spacing w:after="0" w:line="147" w:lineRule="exact"/>
        <w:rPr>
          <w:sz w:val="20"/>
          <w:szCs w:val="20"/>
          <w:color w:val="auto"/>
        </w:rPr>
      </w:pPr>
    </w:p>
    <w:p>
      <w:pPr>
        <w:ind w:right="36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xml:space="preserve">” means, for any period of four consecutive fiscal quarters,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without duplication and to the extent deducted in determining such Consolidated Net Income, the sum of (i) consolidated interest expense for such period,</w:t>
      </w:r>
    </w:p>
    <w:p>
      <w:pPr>
        <w:ind w:firstLine="8"/>
        <w:spacing w:after="0" w:line="284" w:lineRule="auto"/>
        <w:tabs>
          <w:tab w:leader="none" w:pos="26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consolidated income tax (including, without duplication, any withholding or similar amount) expense for such period, (iii) any foreign exchange losses and short-term investment losses for such period, (iv) all amounts attributable to depreciation and amortization for such period, (v) noncash equity-based compensation expense for such period, (vi) fees and expenses incurred in connection with this Agreement, (vii) fees and expenses in an aggregate amount in any four consecutive quarters not in excess of US$5,000,000 incurred in connection with the issuance of any Indebtedness or equity or in connection with any acquisition, disposition or investment permitted under this Agreement, (viii) other extraordinary, unusual or nonrecurring cash charges in an aggregate amount in any four consecutive quarters not in excess of US$2,000,000 and (ix) any nonrecurring noncash charges for such period (including, without limitation, any such charges resulting from fair value adjustments of contingent consideration),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the sum of (i) to the extent included in determining such Consolidated Net Income, any nonrecurring noncash gains for such period (including, without limitation, any such charges resulting from fair value adjustments of contingent consideration), (ii) any foreign exchange gains and short-term investment gains for such period and (iii) any cash payments made during such period in respect of items reflected as noncash equity-based compensation expense or nonrecurring noncash charges during any earlier period, all determined on a consolidated basis in accordance with GAAP. If the Company or any Subsidiary shall have made a Material Acquisition or a Material Disposition, Consolidated EBITDA for the quarter in which such event occurs and the three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any such pro forma calculation in respect of a Material Acquisition, nonrecurring cash charges related to the acquired Equity Interests, assets, division, or operating unit in any of such four preceding quarters shall be added, without duplication, to Consolidated EBITDA for the applicable quarters, provided that the aggregate amount of any such additions in respect of any Material Acquisition shall not exceed 10% of Consolidated EBITDA for such four preceding quarters (before giving effect to such pro forma calculation).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91" w:name="page292"/>
    <w:bookmarkEnd w:id="291"/>
    <w:p>
      <w:pPr>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for any fiscal period, the aggregate of all interest expense of the Company and the Consolidated Subsidiaries for such period, all as determined on a consolidated basis in accordance with GAAP, plus the aggregate yield (expressed as a dollar amount) obtained by the purchasers under any Securitization Transactions on their investments in accounts receivable of the Company and the Subsidiaries during such period, determined in accordance with generally accepted financial practice and the terms of such Securitization Transactions. If the Company or any Subsidiary shall have made a Material Acquisition or a Material Disposition, Consolidated Interest Expense for the quarter in which such event occurs and the four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w:t>
      </w:r>
    </w:p>
    <w:p>
      <w:pPr>
        <w:spacing w:after="0" w:line="179"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for any fiscal period, the net income of the Company and the Consolidated Subsidiaries for such period, determined on a consolidated basis in accordance with GAAP.</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Subsidiary</w:t>
      </w:r>
      <w:r>
        <w:rPr>
          <w:rFonts w:ascii="Arial" w:cs="Arial" w:eastAsia="Arial" w:hAnsi="Arial"/>
          <w:sz w:val="16"/>
          <w:szCs w:val="16"/>
          <w:color w:val="auto"/>
        </w:rPr>
        <w:t>” means any Subsidiary that should be consolidated with the Company for financial reporting purposes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GAAP.</w:t>
      </w:r>
    </w:p>
    <w:p>
      <w:pPr>
        <w:spacing w:after="0" w:line="21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at any time, the aggregate amount of assets (less applicable accumulated depreciation and amortization and other reserves and other properly deductible items) of the Company and the Subsidiaries, minus all goodwill, trade names, trademarks, patents, unamortized debt discount and expense and other intangible assets of the Company and the Subsidiaries, all as set forth in the most recent consolidated balance sheet of the Company, determined on a consolidated basis in accordance with GAAP.</w:t>
      </w:r>
    </w:p>
    <w:p>
      <w:pPr>
        <w:spacing w:after="0" w:line="18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Indebtedness</w:t>
      </w:r>
      <w:r>
        <w:rPr>
          <w:rFonts w:ascii="Arial" w:cs="Arial" w:eastAsia="Arial" w:hAnsi="Arial"/>
          <w:sz w:val="18"/>
          <w:szCs w:val="18"/>
          <w:color w:val="auto"/>
        </w:rPr>
        <w:t>” means, at any date, all Indebtedness of the Company and the Consolidated Subsidiaries at such date, determined on a consolidated basis in accordance with GAAP (but excluding Indebtedness of the Company or any Subsidiary as an account party in respect of letters of credit backing trade payables and other obligations that do not constitute Indebtedness).</w:t>
      </w:r>
    </w:p>
    <w:p>
      <w:pPr>
        <w:spacing w:after="0" w:line="181"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Contract Period</w:t>
      </w:r>
      <w:r>
        <w:rPr>
          <w:rFonts w:ascii="Arial" w:cs="Arial" w:eastAsia="Arial" w:hAnsi="Arial"/>
          <w:sz w:val="17"/>
          <w:szCs w:val="17"/>
          <w:color w:val="auto"/>
        </w:rPr>
        <w:t xml:space="preserve">” means, with respect to any BA, the period commencing on the date such BA is issued, accepted and purchased and ending on the date that is one, two, three and six months thereafter, as the applicable Canadian Borrowing Subsidiary may elect;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Contract Period would end on a day other than a Business Day, such Contract Period shall be extended to the next succeeding Business Day.</w:t>
      </w:r>
    </w:p>
    <w:p>
      <w:pPr>
        <w:spacing w:after="0" w:line="166"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i w:val="1"/>
          <w:iCs w:val="1"/>
          <w:color w:val="auto"/>
        </w:rPr>
        <w:t>Controlling</w:t>
      </w:r>
      <w:r>
        <w:rPr>
          <w:rFonts w:ascii="Arial" w:cs="Arial" w:eastAsia="Arial" w:hAnsi="Arial"/>
          <w:sz w:val="16"/>
          <w:szCs w:val="16"/>
          <w:color w:val="auto"/>
        </w:rPr>
        <w:t>” and “</w:t>
      </w:r>
      <w:r>
        <w:rPr>
          <w:rFonts w:ascii="Arial" w:cs="Arial" w:eastAsia="Arial" w:hAnsi="Arial"/>
          <w:sz w:val="16"/>
          <w:szCs w:val="16"/>
          <w:i w:val="1"/>
          <w:iCs w:val="1"/>
          <w:color w:val="auto"/>
        </w:rPr>
        <w:t>Controlled</w:t>
      </w:r>
      <w:r>
        <w:rPr>
          <w:rFonts w:ascii="Arial" w:cs="Arial" w:eastAsia="Arial" w:hAnsi="Arial"/>
          <w:sz w:val="16"/>
          <w:szCs w:val="16"/>
          <w:color w:val="auto"/>
        </w:rPr>
        <w:t>” have meanings correlative thereto.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92" w:name="page293"/>
    <w:bookmarkEnd w:id="292"/>
    <w:p>
      <w:pPr>
        <w:ind w:right="2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Controlled Group</w:t>
      </w:r>
      <w:r>
        <w:rPr>
          <w:rFonts w:ascii="Arial" w:cs="Arial" w:eastAsia="Arial" w:hAnsi="Arial"/>
          <w:sz w:val="18"/>
          <w:szCs w:val="18"/>
          <w:color w:val="auto"/>
        </w:rPr>
        <w:t>” means all members of a controlled group of corporations and all trades or businesses (whether or not incorporated) under common control which, together with the Company, are treated as a single employer under Section 414 of the Code.</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CRD IV</w:t>
      </w:r>
      <w:r>
        <w:rPr>
          <w:rFonts w:ascii="Arial" w:cs="Arial" w:eastAsia="Arial" w:hAnsi="Arial"/>
          <w:sz w:val="18"/>
          <w:szCs w:val="18"/>
          <w:color w:val="auto"/>
        </w:rPr>
        <w:t>” means Regulation (EU) No 575/2013 of the European Parliament and of the Council of 26 June 2013 on prudential requirements for credit institutions and investment firms; and Directive 2013/36/EU of the European Parliament and of the Council of 26 June 2013 on access to the activity of credit institutions and the prudential supervision of credit institutions and investment firms.</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Documents</w:t>
      </w:r>
      <w:r>
        <w:rPr>
          <w:rFonts w:ascii="Arial" w:cs="Arial" w:eastAsia="Arial" w:hAnsi="Arial"/>
          <w:sz w:val="18"/>
          <w:szCs w:val="18"/>
          <w:color w:val="auto"/>
        </w:rPr>
        <w:t>” means this Agreement, each Borrower Joinder Agreement, each Borrower Termination Agreement and any promissory note issued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Parties</w:t>
      </w:r>
      <w:r>
        <w:rPr>
          <w:rFonts w:ascii="Arial" w:cs="Arial" w:eastAsia="Arial" w:hAnsi="Arial"/>
          <w:sz w:val="18"/>
          <w:szCs w:val="18"/>
          <w:color w:val="auto"/>
        </w:rPr>
        <w:t>” means the Company, in its capacity as a Borrower and a Guarantor hereunder, and the Borrowing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Declining Lender</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Defaulting Lender</w:t>
      </w:r>
      <w:r>
        <w:rPr>
          <w:rFonts w:ascii="Arial" w:cs="Arial" w:eastAsia="Arial" w:hAnsi="Arial"/>
          <w:sz w:val="17"/>
          <w:szCs w:val="17"/>
          <w:color w:val="auto"/>
        </w:rPr>
        <w:t>” means any Lender that (a) has failed, within two Business Days of the date required to be funded or paid, (i) to fund any portion of its Loans, (ii) to fund any portion of its participations in Letters of Credit or (iii) to pay to any Agent, any Issuing Bank or any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or any Agent, any Issuing Bank or any Lender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an Agent or an Issuing Bank made in good faith to provide a certification in writing from an authorized officer of such Lender that it will comply with its obligations to fund prospective Loans and participations in then outstanding Letters of Credit, provided that such Lender shall cease to be a Defaulting Lender pursuant to this clause (c) upon such Agent’s or such Issuing Bank’s receipt of such certification in form and substance satisfactory to it and the Administrative Agent, or (d) has become the subject of a Bankruptcy Event or Bail-In Action.</w:t>
      </w:r>
    </w:p>
    <w:p>
      <w:pPr>
        <w:spacing w:after="0" w:line="18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Obligations</w:t>
      </w:r>
      <w:r>
        <w:rPr>
          <w:rFonts w:ascii="Arial" w:cs="Arial" w:eastAsia="Arial" w:hAnsi="Arial"/>
          <w:sz w:val="17"/>
          <w:szCs w:val="17"/>
          <w:color w:val="auto"/>
        </w:rPr>
        <w:t>” means all obligations of the Borrowers with respect to (a) principal of and interest on the Loans, (b) amounts payable in respect of BAs, (c) unreimbursed LC Disbursements and interest thereon and (d) all facility fees and Letter of Credit participation fees.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93" w:name="page294"/>
    <w:bookmarkEnd w:id="293"/>
    <w:p>
      <w:pPr>
        <w:ind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Discount Proceeds</w:t>
      </w:r>
      <w:r>
        <w:rPr>
          <w:rFonts w:ascii="Arial" w:cs="Arial" w:eastAsia="Arial" w:hAnsi="Arial"/>
          <w:sz w:val="17"/>
          <w:szCs w:val="17"/>
          <w:color w:val="auto"/>
        </w:rPr>
        <w:t>” means, with respect to any BA, an amount (rounded upward, if necessary, to the nearest Cdn.$.01) calculated by multiplying (a) the face amount of such BA by (b) the quotient obtained by dividing (i) one by (ii) the sum of (A) one and (B) the product of (x) the Discount Rate (expressed as a decimal) applicable to such BA and (y) a fraction of which the numerator is the Contract Period applicable to such BA and the denominator is 365, with such quotient being rounded upward or downward to the fifth decimal place and .000005 being rounded upward.</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Discount Rate</w:t>
      </w:r>
      <w:r>
        <w:rPr>
          <w:rFonts w:ascii="Arial" w:cs="Arial" w:eastAsia="Arial" w:hAnsi="Arial"/>
          <w:sz w:val="16"/>
          <w:szCs w:val="16"/>
          <w:color w:val="auto"/>
        </w:rPr>
        <w:t xml:space="preserve">” means, with respect to a BA being accepted and purchased on any day, (a) for a Lender which is a Schedule I Lender, (i) the CDOR Rate (but in no event less than zero) applicable to such BA or (ii) if the discount rate for a particular Contract Period is not quoted on the Reuters Screen CDOR Page, the arithmetic average (as determined by the Canadian Agent and expressed as a per annum rate) of the percentage discount rates (expressed as a decimal and rounded upward, if necessary, to the nearest 1/100 of 1%) quoted to the Canadian Agent by the Schedule I Reference Lenders as the percentage discount rate at which each such bank would, in accordance with its normal practices, at approximately 10:00 a.m., Toronto time, on such day, be prepared to purchase bankers’ acceptances accepted by such bank having a face amount and term comparable to the face amount and Contract Period of such BA and (b) for a lender which is a Non-Schedule I Lender, the lesser of (i) the CDOR Rate (but in no event less than zero) applicable to such BA referred to in clause (a) above as if such Non-Schedule I Lender were a Schedule I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0.10% per annum and (ii) the arithmetic average (as determined by the Canadian Agent and expressed as a per annum rate) of the percentage discount rates (expressed as a decimal and rounded upward, if necessary, to the nearest 1/100 of 1%) quoted to the Canadian Agent by the Non-Schedule I Reference Lenders as the percentage discount rate at which each such bank would, in accordance with its normal practices, at approximately 10:00 a.m., Toronto time, on such day, be prepared to purchase bankers’ acceptances accepted by such bank having a face amount and term comparable to the face amount and Contract Period of such BA. It is understood and agreed that the Agents will not disclose to any party hereto other than the Company (which agrees not to disclose to any other party hereto) (a) the rates quoted by the individual Non-Schedule I Reference Lenders or (b) if one or more of the Non-Schedule I Reference Lenders shall not have quoted a rate, the fact that the LIBO Rate is being determined on the basis of the rate quoted by fewer than all the Non-Schedule I Reference Lenders.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Documentation Agent</w:t>
      </w:r>
      <w:r>
        <w:rPr>
          <w:rFonts w:ascii="Arial" w:cs="Arial" w:eastAsia="Arial" w:hAnsi="Arial"/>
          <w:sz w:val="18"/>
          <w:szCs w:val="18"/>
          <w:color w:val="auto"/>
        </w:rPr>
        <w:t>” means Royal Bank of Canada.</w:t>
      </w:r>
    </w:p>
    <w:p>
      <w:pPr>
        <w:spacing w:after="0" w:line="225"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Ecuador Litigation</w:t>
      </w:r>
      <w:r>
        <w:rPr>
          <w:rFonts w:ascii="Arial" w:cs="Arial" w:eastAsia="Arial" w:hAnsi="Arial"/>
          <w:sz w:val="18"/>
          <w:szCs w:val="18"/>
          <w:color w:val="auto"/>
        </w:rPr>
        <w:t>” means the litigation pending on the date hereof against Amdocs Development Limited and Amdocs Ecuador S.A. seeking damages for alleged breaches of contracts as outlined in the letter of Coronel and Perez, Ecuadorian counsel for such Subsidiaries, heretofore made available to the Lenders.</w:t>
      </w:r>
    </w:p>
    <w:p>
      <w:pPr>
        <w:spacing w:after="0" w:line="181"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institution established in any EEA Member Country that is subject to the supervision of an EEA Resolution Authority, (b) any entity established in an EEA Member Country that is a parent of an institution described in clause (a) above or (c) any institution established in an EEA Member Country that is a subsidiary of an institution described in clause (a) or (b) above and is subject to consolidated supervision with its parent.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294" w:name="page295"/>
    <w:bookmarkEnd w:id="29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jc w:val="both"/>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means the date on which the conditions specified in Section 4.01 are satisfied (or waived in accordance with Section 11.02).</w:t>
      </w:r>
    </w:p>
    <w:p>
      <w:pPr>
        <w:spacing w:after="0" w:line="248"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Assignee</w:t>
      </w:r>
      <w:r>
        <w:rPr>
          <w:rFonts w:ascii="Arial" w:cs="Arial" w:eastAsia="Arial" w:hAnsi="Arial"/>
          <w:sz w:val="18"/>
          <w:szCs w:val="18"/>
          <w:color w:val="auto"/>
        </w:rPr>
        <w:t>” means (a) any Lender, (b) any Affiliate of any Lender, (c) any Approved Fund and (d) any other Person, other than, in each case, (i) the Borrower (or any of its Subsidiaries or other Affiliates), (ii) a natural Person or (iii) a Defaulting Lender, an Affiliate of a Defaulting Lender or a Person that would be a Defaulting Lender upon effectiveness of the applicable assignment.</w:t>
      </w:r>
    </w:p>
    <w:p>
      <w:pPr>
        <w:spacing w:after="0" w:line="181" w:lineRule="exact"/>
        <w:rPr>
          <w:sz w:val="20"/>
          <w:szCs w:val="20"/>
          <w:color w:val="auto"/>
        </w:rPr>
      </w:pPr>
    </w:p>
    <w:p>
      <w:pPr>
        <w:ind w:right="5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66"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w:t>
      </w:r>
    </w:p>
    <w:p>
      <w:pPr>
        <w:ind w:right="140" w:firstLine="8"/>
        <w:spacing w:after="0" w:line="277" w:lineRule="auto"/>
        <w:tabs>
          <w:tab w:leader="none" w:pos="255"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with any Governmental Authority pursuant to which liability is assumed or imposed with respect to any of the foregoing.</w:t>
      </w:r>
    </w:p>
    <w:p>
      <w:pPr>
        <w:spacing w:after="0" w:line="173"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a failure by any Plan to satisfy the minimum funding standards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95" w:name="page296"/>
    <w:bookmarkEnd w:id="29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430(i)(4) of the Code or Section 303(i)(4) of ERISA; (e) the incurrence by the Company or any ERISA Affiliate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ERISA Affiliate of any liability with respect to the withdrawal or partial withdrawal from any Plan or Multiemployer Plan; or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(i) the occurrence of a material, non-exempt “prohibited transaction” (as defined in Section 4975 of the Code or Section 406 of ERISA) with respect to which the Company or any ERISA Affiliate is a “disqualified person” (within the meaning of Section 4975 of the Code) or a “party of interest” (within the meaning of Section 406 of ERISA) or could otherwise be liable; or (j) any Foreign Benefit Event.</w:t>
      </w:r>
    </w:p>
    <w:p>
      <w:pPr>
        <w:spacing w:after="0" w:line="169"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EURIBO Rate</w:t>
      </w:r>
      <w:r>
        <w:rPr>
          <w:rFonts w:ascii="Arial" w:cs="Arial" w:eastAsia="Arial" w:hAnsi="Arial"/>
          <w:sz w:val="18"/>
          <w:szCs w:val="18"/>
          <w:color w:val="auto"/>
        </w:rPr>
        <w:t>” means, with respect to any EURIBOR Borrowing for any Interest Period, (a) the applicable Screen Rate or (b) if no Screen Rate is available for such Interest Period, the arithmetic mean (rounded up to four decimal places) of the rates quoted by the Reference Banks to leading banks in the Banking Federation of the European Union for the offering of deposits in Euros and for a period comparable to such Interest Period, in each case as of the Specified Time on the Quotation Day (but, with respect to (a) and (b), in no event less than zero). It is understood and agreed that the Agents will not disclose to any Person other than the Company (which agrees not to disclose to any other Person) (a) the rates quoted by the individual Reference Banks or (b) if one or more of the Reference Banks shall not have quoted a rate, the fact that the EURIBO Rate is being determined on the basis of the rate quoted by fewer than all the Reference Banks.</w:t>
      </w:r>
    </w:p>
    <w:p>
      <w:pPr>
        <w:spacing w:after="0" w:line="189"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EURIBO Rate.</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w:t>
      </w:r>
      <w:r>
        <w:rPr>
          <w:rFonts w:ascii="Arial" w:cs="Arial" w:eastAsia="Arial" w:hAnsi="Arial"/>
          <w:sz w:val="18"/>
          <w:szCs w:val="18"/>
          <w:color w:val="auto"/>
        </w:rPr>
        <w:t>” means the single currency adopted by participating member states of the European Communities in accordance with legislation of the European Community relating to Economic and Monetary Union.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Article VII.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96" w:name="page297"/>
    <w:bookmarkEnd w:id="296"/>
    <w:p>
      <w:pPr>
        <w:ind w:right="4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Exchange Rate</w:t>
      </w:r>
      <w:r>
        <w:rPr>
          <w:rFonts w:ascii="Arial" w:cs="Arial" w:eastAsia="Arial" w:hAnsi="Arial"/>
          <w:sz w:val="17"/>
          <w:szCs w:val="17"/>
          <w:color w:val="auto"/>
        </w:rPr>
        <w:t>” means, on any day, for purposes of determining the US Dollar Equivalent of any other currency, the rate at which such other currency may be exchanged into US Dollars on such day determined by using the rate of exchange for the purchase of the US Dollars with such other currency in the London foreign exchange market at or about 11:00 a.m. London time on such day as displayed by ICE Data Services as the “ask price”, or as displayed on such other information service which publishes that rate of exchange from time to time in place of ICE Data Services. In the event that such rate does not appear on ICE Data Services (or on any information service which publishes that rate of exchange from time to time in place of ICE Data Services), the equivalent of such amount in US Dollars will be determined in such manner as the Company and the Administrative Agent shall agree (including by reference to any such other publicly available service for displaying exchange rates) or, in the absence of such agreement, by the Administrative Agent using any method of determination it deems appropriate in its discretion).</w:t>
      </w:r>
    </w:p>
    <w:p>
      <w:pPr>
        <w:spacing w:after="0" w:line="179"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means (a) with respect to any Lender, (i) income or franchise taxes imposed on (or measured by) its net income by the United States of America or any political subdivision thereof or by the jurisdiction under the laws of which such Lender is organized or resident for tax purposes, in which its principal office is located or in which its applicable lending office is located, (ii) any branch profits taxes imposed by the United States of America or any political subdivision thereof or any similar tax imposed by any other jurisdiction described in clause (a)(i) above and (iii) any withholding tax that is attributable to the failure of such Lender to comply with Section 2.16(e); (b) with respect to any Tranche A Lender (other than a Lender that becomes or acquires any interests of a Tranche A Lender through an assignment under Section 2.18(b) or by operation of the CAM or through a purchase of participations under Section 2.17(c)), any withholding tax that is imposed on amounts payable by a Tranche A Borrower organized, 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A Lending Office designated for Tranche A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A Lending Office for Tranche A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(c) with respect to any Tranche B Lender (other than a Lender that becomes or acquires any interests of a Tranche B Lender through an assignment under Section 2.18(b) or by operation of the CAM or through a purchase of participations under Section 2.17(c)), any withholding tax that is imposed on amounts payable by a Tranche B Borrower organized, resident for tax purposes or having substantial business operations in Guernsey, the United States of America, the United Kingdom, Ireland, Denmark or Cyprus or any political subdivision of any thereof by any taxation authority of such Borrower’s jurisdiction of organization on amounts payable from locations within such jurisdiction to such Lender’s Tranche B Lending Office designated for Tranche B</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97" w:name="page298"/>
    <w:bookmarkEnd w:id="29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B Lending Office for Tranche B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and (d) with respect to any Tranche C Lender (other than a Lender that becomes or acquires any interests of a Tranche C Lender through an assignment under Section 2.18(b) or by operation of the CAM or through a purchase of participations under Section 2.17(c)), any withholding tax that is imposed on amounts payable by a Tranche C Borrower organized, resident for tax purposes or having substantial business operations in the United States of America or any political subdivision of any thereof by any taxation authority of such jurisdiction on amounts payable from locations within such jurisdiction to such Lender’s Tranche C Lending Office, to the extent such tax is in effect and applicable (assuming the taking by such Borrower of all actions required in order for available exemptions from such tax to be effective) at the time such Lender becomes a party to this Agreement (or designates a new Tranche C Lending Office for Tranche C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and (e) any U.S. federal withholding Taxes imposed under FATCA. For purposes of this definition, any reference to “jurisdiction” shall include all political subdivisions of such jurisdiction.</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Letter of Credit</w:t>
      </w:r>
      <w:r>
        <w:rPr>
          <w:rFonts w:ascii="Arial" w:cs="Arial" w:eastAsia="Arial" w:hAnsi="Arial"/>
          <w:sz w:val="18"/>
          <w:szCs w:val="18"/>
          <w:color w:val="auto"/>
        </w:rPr>
        <w:t xml:space="preserve">” means each letter of credit previously issued for the account of any Borrower under the Existing Credit Agreement that (a) is outstanding on the Effective Date and (b) is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Maturity Date</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 of the Code.</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rate shall be less than zero, such rate shall be deemed to be zero for all purposes of this Agreement.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4" w:right="319" w:bottom="1440" w:gutter="0" w:footer="0" w:header="0"/>
        </w:sectPr>
      </w:pPr>
    </w:p>
    <w:bookmarkStart w:id="298" w:name="page299"/>
    <w:bookmarkEnd w:id="298"/>
    <w:p>
      <w:pPr>
        <w:jc w:val="both"/>
        <w:ind w:right="22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Financial Officer</w:t>
      </w:r>
      <w:r>
        <w:rPr>
          <w:rFonts w:ascii="Arial" w:cs="Arial" w:eastAsia="Arial" w:hAnsi="Arial"/>
          <w:sz w:val="16"/>
          <w:szCs w:val="16"/>
          <w:color w:val="auto"/>
        </w:rPr>
        <w:t>” means (a) with respect to the Company, the chief financial officer, principal accounting officer, vice president of finance, treasurer, controller, assistant treasurer or director of treasury of the Company and (b) with respect to any Borrowing Subsidiary, the chief financial officer, principal accounting officer, treasurer, controller, assistant treasurer or director of treasury of the Company or such Borrowing Subsidiary.</w:t>
      </w:r>
    </w:p>
    <w:p>
      <w:pPr>
        <w:spacing w:after="0" w:line="14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Benefit Event</w:t>
      </w:r>
      <w:r>
        <w:rPr>
          <w:rFonts w:ascii="Arial" w:cs="Arial" w:eastAsia="Arial" w:hAnsi="Arial"/>
          <w:sz w:val="17"/>
          <w:szCs w:val="17"/>
          <w:color w:val="auto"/>
        </w:rPr>
        <w:t>” means, with respect to any Foreign Pension Plan, (a) the existence of unfunded liabilities in excess of the amount permitted under any applicable law, or in excess of the amount that would be permitted absent a waiver from a Governmental Authority; (b) the failure to make any material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 such Foreign Pension Plan; (d) the incurrence of any liability by the Company or any Subsidiary under applicable law on account of the complete or partial termination of such Foreign Pension Plan or the complete or partial withdrawal of any participating employer therein the incurrence of which, individually or in the aggregate, could reasonably be expected to result in a Material Adverse Effect; or (e) the occurrence of any transaction that is prohibited under any applicable law and that could reasonably be expected to result in the incurrence of any liability by the Company or any Subsidiary, or the imposition on the Company or any Subsidiary of any fine, excise tax or penalty resulting from any noncompliance with any applicable law, in each case, individually or in the aggregate, which could reasonably be expected to result in a Material Adverse Effect.</w:t>
      </w:r>
    </w:p>
    <w:p>
      <w:pPr>
        <w:spacing w:after="0" w:line="183"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Pension Plan</w:t>
      </w:r>
      <w:r>
        <w:rPr>
          <w:rFonts w:ascii="Arial" w:cs="Arial" w:eastAsia="Arial" w:hAnsi="Arial"/>
          <w:sz w:val="17"/>
          <w:szCs w:val="17"/>
          <w:color w:val="auto"/>
        </w:rPr>
        <w:t>” means any benefit plan that, under the applicable law of any jurisdiction other than the United States, is required to be funded through a trust or other funding vehicle other than a trust or funding vehicle maintained exclusively by a Governmental Authority.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of or by any Person (the “</w:t>
      </w:r>
      <w:r>
        <w:rPr>
          <w:rFonts w:ascii="Arial" w:cs="Arial" w:eastAsia="Arial" w:hAnsi="Arial"/>
          <w:sz w:val="16"/>
          <w:szCs w:val="16"/>
          <w:i w:val="1"/>
          <w:iCs w:val="1"/>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99" w:name="page300"/>
    <w:bookmarkEnd w:id="299"/>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Guernsey Borrowing Subsidiary</w:t>
      </w:r>
      <w:r>
        <w:rPr>
          <w:rFonts w:ascii="Arial" w:cs="Arial" w:eastAsia="Arial" w:hAnsi="Arial"/>
          <w:sz w:val="18"/>
          <w:szCs w:val="18"/>
          <w:color w:val="auto"/>
        </w:rPr>
        <w:t>” means any Borrowing Subsidiary that is a Guernsey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Guernsey Subsidiary</w:t>
      </w:r>
      <w:r>
        <w:rPr>
          <w:rFonts w:ascii="Arial" w:cs="Arial" w:eastAsia="Arial" w:hAnsi="Arial"/>
          <w:sz w:val="16"/>
          <w:szCs w:val="16"/>
          <w:color w:val="auto"/>
        </w:rPr>
        <w:t>” means any Subsidiary that is incorporated or otherwise organized under the laws of Guernsey or any political subdivision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Guidelines</w:t>
      </w:r>
      <w:r>
        <w:rPr>
          <w:rFonts w:ascii="Arial" w:cs="Arial" w:eastAsia="Arial" w:hAnsi="Arial"/>
          <w:sz w:val="17"/>
          <w:szCs w:val="17"/>
          <w:color w:val="auto"/>
        </w:rPr>
        <w:t>” shall mean, together, (a) Guideline S-02.113 in relation to interbank loans of September 22, 1986 (</w:t>
      </w:r>
      <w:r>
        <w:rPr>
          <w:rFonts w:ascii="Arial" w:cs="Arial" w:eastAsia="Arial" w:hAnsi="Arial"/>
          <w:sz w:val="17"/>
          <w:szCs w:val="17"/>
          <w:i w:val="1"/>
          <w:iCs w:val="1"/>
          <w:color w:val="auto"/>
        </w:rPr>
        <w:t>Circulaire relative à l’impôt</w:t>
      </w:r>
      <w:r>
        <w:rPr>
          <w:rFonts w:ascii="Arial" w:cs="Arial" w:eastAsia="Arial" w:hAnsi="Arial"/>
          <w:sz w:val="17"/>
          <w:szCs w:val="17"/>
          <w:color w:val="auto"/>
        </w:rPr>
        <w:t xml:space="preserve"> </w:t>
      </w:r>
      <w:r>
        <w:rPr>
          <w:rFonts w:ascii="Arial" w:cs="Arial" w:eastAsia="Arial" w:hAnsi="Arial"/>
          <w:sz w:val="17"/>
          <w:szCs w:val="17"/>
          <w:i w:val="1"/>
          <w:iCs w:val="1"/>
          <w:color w:val="auto"/>
        </w:rPr>
        <w:t>anticipé sur les intérêts des avoirs en banque dont les créanciers sont des banques – avoirs interbancaires –, du 22 septembre 1986</w:t>
      </w:r>
      <w:r>
        <w:rPr>
          <w:rFonts w:ascii="Arial" w:cs="Arial" w:eastAsia="Arial" w:hAnsi="Arial"/>
          <w:sz w:val="17"/>
          <w:szCs w:val="17"/>
          <w:color w:val="auto"/>
        </w:rPr>
        <w:t>), (b) Guideline</w:t>
      </w:r>
      <w:r>
        <w:rPr>
          <w:rFonts w:ascii="Arial" w:cs="Arial" w:eastAsia="Arial" w:hAnsi="Arial"/>
          <w:sz w:val="17"/>
          <w:szCs w:val="17"/>
          <w:i w:val="1"/>
          <w:iCs w:val="1"/>
          <w:color w:val="auto"/>
        </w:rPr>
        <w:t xml:space="preserve"> </w:t>
      </w:r>
      <w:r>
        <w:rPr>
          <w:rFonts w:ascii="Arial" w:cs="Arial" w:eastAsia="Arial" w:hAnsi="Arial"/>
          <w:sz w:val="17"/>
          <w:szCs w:val="17"/>
          <w:color w:val="auto"/>
        </w:rPr>
        <w:t>S-02.112.1 in relation to bonds of April 1999 (</w:t>
      </w:r>
      <w:r>
        <w:rPr>
          <w:rFonts w:ascii="Arial" w:cs="Arial" w:eastAsia="Arial" w:hAnsi="Arial"/>
          <w:sz w:val="17"/>
          <w:szCs w:val="17"/>
          <w:i w:val="1"/>
          <w:iCs w:val="1"/>
          <w:color w:val="auto"/>
        </w:rPr>
        <w:t>Circulaire sur les obligations, d’avril 1999</w:t>
      </w:r>
      <w:r>
        <w:rPr>
          <w:rFonts w:ascii="Arial" w:cs="Arial" w:eastAsia="Arial" w:hAnsi="Arial"/>
          <w:sz w:val="17"/>
          <w:szCs w:val="17"/>
          <w:color w:val="auto"/>
        </w:rPr>
        <w:t>), (c) Guideline S-02.120.1 in relation to money market instruments and book claims of April 1999 (</w:t>
      </w:r>
      <w:r>
        <w:rPr>
          <w:rFonts w:ascii="Arial" w:cs="Arial" w:eastAsia="Arial" w:hAnsi="Arial"/>
          <w:sz w:val="17"/>
          <w:szCs w:val="17"/>
          <w:i w:val="1"/>
          <w:iCs w:val="1"/>
          <w:color w:val="auto"/>
        </w:rPr>
        <w:t>Circulaire sur les papiers monétaires et créances comptables de débiteurs suisses, d’avril 1999</w:t>
      </w:r>
      <w:r>
        <w:rPr>
          <w:rFonts w:ascii="Arial" w:cs="Arial" w:eastAsia="Arial" w:hAnsi="Arial"/>
          <w:sz w:val="17"/>
          <w:szCs w:val="17"/>
          <w:color w:val="auto"/>
        </w:rPr>
        <w:t>), (d) Guideline S-02.118 in relation to syndicated credit facilities of January 2000 (</w:t>
      </w:r>
      <w:r>
        <w:rPr>
          <w:rFonts w:ascii="Arial" w:cs="Arial" w:eastAsia="Arial" w:hAnsi="Arial"/>
          <w:sz w:val="17"/>
          <w:szCs w:val="17"/>
          <w:i w:val="1"/>
          <w:iCs w:val="1"/>
          <w:color w:val="auto"/>
        </w:rPr>
        <w:t>Circulaire sur le traitement fiscal des prêts consortiaux, reconnaissances de dette, effets de change et</w:t>
      </w:r>
      <w:r>
        <w:rPr>
          <w:rFonts w:ascii="Arial" w:cs="Arial" w:eastAsia="Arial" w:hAnsi="Arial"/>
          <w:sz w:val="17"/>
          <w:szCs w:val="17"/>
          <w:color w:val="auto"/>
        </w:rPr>
        <w:t xml:space="preserve"> </w:t>
      </w:r>
      <w:r>
        <w:rPr>
          <w:rFonts w:ascii="Arial" w:cs="Arial" w:eastAsia="Arial" w:hAnsi="Arial"/>
          <w:sz w:val="17"/>
          <w:szCs w:val="17"/>
          <w:i w:val="1"/>
          <w:iCs w:val="1"/>
          <w:color w:val="auto"/>
        </w:rPr>
        <w:t>sous-participations, de janvier 2000</w:t>
      </w:r>
      <w:r>
        <w:rPr>
          <w:rFonts w:ascii="Arial" w:cs="Arial" w:eastAsia="Arial" w:hAnsi="Arial"/>
          <w:sz w:val="17"/>
          <w:szCs w:val="17"/>
          <w:color w:val="auto"/>
        </w:rPr>
        <w:t>), (e) circular letter No. 34 of 26 July 2011 (1-034-V-2011) in relation to deposits (</w:t>
      </w:r>
      <w:r>
        <w:rPr>
          <w:rFonts w:ascii="Arial" w:cs="Arial" w:eastAsia="Arial" w:hAnsi="Arial"/>
          <w:sz w:val="17"/>
          <w:szCs w:val="17"/>
          <w:i w:val="1"/>
          <w:iCs w:val="1"/>
          <w:color w:val="auto"/>
        </w:rPr>
        <w:t>Circulaire no 34 du 26 juillet 2011 sur les avoirs de clients</w:t>
      </w:r>
      <w:r>
        <w:rPr>
          <w:rFonts w:ascii="Arial" w:cs="Arial" w:eastAsia="Arial" w:hAnsi="Arial"/>
          <w:sz w:val="17"/>
          <w:szCs w:val="17"/>
          <w:color w:val="auto"/>
        </w:rPr>
        <w:t>) and (f) circular letter No. 15 of 7 October 2017 (</w:t>
      </w:r>
      <w:r>
        <w:rPr>
          <w:rFonts w:ascii="Arial" w:cs="Arial" w:eastAsia="Arial" w:hAnsi="Arial"/>
          <w:sz w:val="17"/>
          <w:szCs w:val="17"/>
          <w:i w:val="1"/>
          <w:iCs w:val="1"/>
          <w:color w:val="auto"/>
        </w:rPr>
        <w:t>1-015-DVS-2007</w:t>
      </w:r>
      <w:r>
        <w:rPr>
          <w:rFonts w:ascii="Arial" w:cs="Arial" w:eastAsia="Arial" w:hAnsi="Arial"/>
          <w:sz w:val="17"/>
          <w:szCs w:val="17"/>
          <w:color w:val="auto"/>
        </w:rPr>
        <w:t>) in relation to bonds and derivative financial instruments as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matter of taxation of Swiss federal income tax, Swiss Withholding Tax and Swiss stamp taxes (</w:t>
      </w:r>
      <w:r>
        <w:rPr>
          <w:rFonts w:ascii="Arial" w:cs="Arial" w:eastAsia="Arial" w:hAnsi="Arial"/>
          <w:sz w:val="17"/>
          <w:szCs w:val="17"/>
          <w:i w:val="1"/>
          <w:iCs w:val="1"/>
          <w:color w:val="auto"/>
        </w:rPr>
        <w:t>Circulaire no 15 du 3 octobre 2017 sur les obligations et</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financiers dérivés en tant qu’objets de l’impôt fédéral direct, de l’impôt anticipé et des droits de timbre</w:t>
      </w:r>
      <w:r>
        <w:rPr>
          <w:rFonts w:ascii="Arial" w:cs="Arial" w:eastAsia="Arial" w:hAnsi="Arial"/>
          <w:sz w:val="17"/>
          <w:szCs w:val="17"/>
          <w:color w:val="auto"/>
        </w:rPr>
        <w:t>), in each case as issued,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substituted from time to time by the Swiss Federal Tax Administration.</w:t>
      </w:r>
    </w:p>
    <w:p>
      <w:pPr>
        <w:spacing w:after="0" w:line="17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Agreement”</w:t>
      </w:r>
      <w:r>
        <w:rPr>
          <w:rFonts w:ascii="Arial" w:cs="Arial" w:eastAsia="Arial" w:hAnsi="Arial"/>
          <w:sz w:val="17"/>
          <w:szCs w:val="17"/>
          <w:color w:val="auto"/>
        </w:rPr>
        <w:t xml:space="preserve"> means any interest rate protection agreement, foreign currency exchange agreement, commodity price protection agreement or other interest or currency exchange rate or commodity price hedging arrangement. The obligations of the Company or any Subsidiary in respect of any Hedging Agreement at any time shall be the maximum aggregate amount (giving effect to any netting agreements provided for in such Hedging Agreements) that the Company or such Subsidiary would be required to pay if such Hedging Agreement were terminated at such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HMRC</w:t>
      </w:r>
      <w:r>
        <w:rPr>
          <w:rFonts w:ascii="Arial" w:cs="Arial" w:eastAsia="Arial" w:hAnsi="Arial"/>
          <w:sz w:val="18"/>
          <w:szCs w:val="18"/>
          <w:color w:val="auto"/>
        </w:rPr>
        <w:t>” means HM Revenue &amp; Customs.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Subsidiaries</w:t>
      </w:r>
      <w:r>
        <w:rPr>
          <w:rFonts w:ascii="Arial" w:cs="Arial" w:eastAsia="Arial" w:hAnsi="Arial"/>
          <w:sz w:val="16"/>
          <w:szCs w:val="16"/>
          <w:color w:val="auto"/>
        </w:rPr>
        <w:t>” means Subsidiaries that individually account for less than 5%, and in the aggregate account for less than 10%, of both</w:t>
      </w:r>
    </w:p>
    <w:p>
      <w:pPr>
        <w:spacing w:after="0" w:line="46" w:lineRule="exact"/>
        <w:rPr>
          <w:sz w:val="20"/>
          <w:szCs w:val="20"/>
          <w:color w:val="auto"/>
        </w:rPr>
      </w:pPr>
    </w:p>
    <w:p>
      <w:pPr>
        <w:ind w:right="20" w:firstLine="8"/>
        <w:spacing w:after="0" w:line="254" w:lineRule="auto"/>
        <w:tabs>
          <w:tab w:leader="none" w:pos="24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Consolidated Assets (excluding intercompany receivables and payables) and (b) the consolidated revenues (excluding intercompany revenues) of the Company and the Subsidiaries as of the end of and for the most recent period of four consecutive fiscal quarters of the Company. For purposes of this definition, the assets and revenues of any Subsidiary shall include the assets and revenues of its own subsidiaries, and shall be determined for such Subsidiary on a consolidated basis.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00" w:name="page301"/>
    <w:bookmarkEnd w:id="30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Increasing Lender</w:t>
      </w:r>
      <w:r>
        <w:rPr>
          <w:rFonts w:ascii="Arial" w:cs="Arial" w:eastAsia="Arial" w:hAnsi="Arial"/>
          <w:sz w:val="18"/>
          <w:szCs w:val="18"/>
          <w:color w:val="auto"/>
        </w:rPr>
        <w:t>” has the meaning set forth in Section 2.08(d).</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(other than trade accounts payable incurred in the ordinary course of business), (d) all obligations of such Person in respect of the deferred purchase price of property or services (excluding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supporting Indebtedness, (i) all obligations, contingent or otherwise, of such Person in respect of bankers’ acceptances, (j) all Securitization Transactions of such Person and (k) all obligations of such Person under Hedging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0"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any Credit Party under any Credit Document.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has the meaning set forth in Section 11.03(b).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has the meaning set forth in Section 11.12.</w:t>
      </w:r>
    </w:p>
    <w:p>
      <w:pPr>
        <w:spacing w:after="0" w:line="225"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 Memorandum</w:t>
      </w:r>
      <w:r>
        <w:rPr>
          <w:rFonts w:ascii="Arial" w:cs="Arial" w:eastAsia="Arial" w:hAnsi="Arial"/>
          <w:sz w:val="18"/>
          <w:szCs w:val="18"/>
          <w:color w:val="auto"/>
        </w:rPr>
        <w:t>” means the Confidential Information Memorandum dated November 2017 relating to the Company and the Transactions.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Election Request</w:t>
      </w:r>
      <w:r>
        <w:rPr>
          <w:rFonts w:ascii="Arial" w:cs="Arial" w:eastAsia="Arial" w:hAnsi="Arial"/>
          <w:sz w:val="16"/>
          <w:szCs w:val="16"/>
          <w:color w:val="auto"/>
        </w:rPr>
        <w:t>” means a request by a Borrower to convert or continue a Borrowing or BA Drawing in accordance with Section 2.07.</w:t>
      </w:r>
    </w:p>
    <w:p>
      <w:pPr>
        <w:spacing w:after="0" w:line="24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Payment Date</w:t>
      </w:r>
      <w:r>
        <w:rPr>
          <w:rFonts w:ascii="Arial" w:cs="Arial" w:eastAsia="Arial" w:hAnsi="Arial"/>
          <w:sz w:val="17"/>
          <w:szCs w:val="17"/>
          <w:color w:val="auto"/>
        </w:rPr>
        <w:t>” means (a) with respect to any ABR Loan or Canadian Prime Rate Loan, the last day of each March, June, September and December and (b) with respect to any LIBOR Loan or EURIBOR Loan, the last day of the Interest Period applicable to the Borrowing of which such Loan is a part and, in the case of a LIBOR Loan or a EURIBOR Loan with an Interest Period of more than three months’ duration, each day prior to the last day of such Interest Period that occurs at intervals of three months’ duration after the first day of such Interest Period.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301" w:name="page302"/>
    <w:bookmarkEnd w:id="301"/>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means, with respect to any LIBOR Borrowing or EURIBOR Borrowing, the period commencing on the date of such Borrowing and ending on the numerically corresponding day in the calendar month that is one, two, three or six months thereafter (or, if available from each Lender, nine or 12 months thereafter), as the applicable Borrower may 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6" w:lineRule="exact"/>
        <w:rPr>
          <w:sz w:val="20"/>
          <w:szCs w:val="20"/>
          <w:color w:val="auto"/>
        </w:rPr>
      </w:pPr>
    </w:p>
    <w:p>
      <w:pPr>
        <w:ind w:right="18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Interpolated Screen Rate</w:t>
      </w:r>
      <w:r>
        <w:rPr>
          <w:rFonts w:ascii="Arial" w:cs="Arial" w:eastAsia="Arial" w:hAnsi="Arial"/>
          <w:sz w:val="16"/>
          <w:szCs w:val="16"/>
          <w:color w:val="auto"/>
        </w:rPr>
        <w:t>” means, with respect to any LIBO Rate Loan denominated in any currency or any EURIBO Rate Loan, in each case for any Interest Period, a rate per annum (rounded to the same number of decimal places as the applicable Screen Rate) determined by the Administrative Agent (which determination shall be conclusive absent manifest error) to be equal to the rate that results from interpolating on a linear basis between (a) the applicable Screen Rate for the longest maturity for which a Screen Rate is available for the applicable currency that is shorter than such Interest Period and</w:t>
      </w:r>
    </w:p>
    <w:p>
      <w:pPr>
        <w:spacing w:after="0" w:line="2" w:lineRule="exact"/>
        <w:rPr>
          <w:sz w:val="20"/>
          <w:szCs w:val="20"/>
          <w:color w:val="auto"/>
        </w:rPr>
      </w:pPr>
    </w:p>
    <w:p>
      <w:pPr>
        <w:ind w:right="540" w:firstLine="8"/>
        <w:spacing w:after="0" w:line="261" w:lineRule="auto"/>
        <w:tabs>
          <w:tab w:leader="none" w:pos="25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applicable Screen Rate for the shortest maturity for which a Screen Rate is available for the applicable currency that is longer than such Interest Period, in each case as of the Specified Time on the Quotation Day.</w:t>
      </w:r>
    </w:p>
    <w:p>
      <w:pPr>
        <w:spacing w:after="0" w:line="184"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Issuing Bank</w:t>
      </w:r>
      <w:r>
        <w:rPr>
          <w:rFonts w:ascii="Arial" w:cs="Arial" w:eastAsia="Arial" w:hAnsi="Arial"/>
          <w:sz w:val="17"/>
          <w:szCs w:val="17"/>
          <w:color w:val="auto"/>
        </w:rPr>
        <w:t>” means JPMorgan Chase Bank, N.A. and each other Lender that shall have become an Issuing Bank hereunder as provided in Section 2.04(j) (other than any Person that shall have ceased to be an Issuing Bank as provided in Section 2.04(k)), each in its capacity as an issuer of Letters of Credit hereunder. Each Issuing Bank may, in its discretion, arrange for one or more Letters of Credit to be issued by Affiliates of such Issuing Bank, in which case the term “</w:t>
      </w:r>
      <w:r>
        <w:rPr>
          <w:rFonts w:ascii="Arial" w:cs="Arial" w:eastAsia="Arial" w:hAnsi="Arial"/>
          <w:sz w:val="17"/>
          <w:szCs w:val="17"/>
          <w:i w:val="1"/>
          <w:iCs w:val="1"/>
          <w:color w:val="auto"/>
        </w:rPr>
        <w:t>Issuing Bank</w:t>
      </w:r>
      <w:r>
        <w:rPr>
          <w:rFonts w:ascii="Arial" w:cs="Arial" w:eastAsia="Arial" w:hAnsi="Arial"/>
          <w:sz w:val="17"/>
          <w:szCs w:val="17"/>
          <w:color w:val="auto"/>
        </w:rPr>
        <w:t>” shall include any such Affiliate with respect to Letters of Credit issued by such Affiliate.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 Agreement</w:t>
      </w:r>
      <w:r>
        <w:rPr>
          <w:rFonts w:ascii="Arial" w:cs="Arial" w:eastAsia="Arial" w:hAnsi="Arial"/>
          <w:sz w:val="18"/>
          <w:szCs w:val="18"/>
          <w:color w:val="auto"/>
        </w:rPr>
        <w:t>” has the meaning set forth in Section 2.04(j).</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Joint Bookrunners</w:t>
      </w:r>
      <w:r>
        <w:rPr>
          <w:rFonts w:ascii="Arial" w:cs="Arial" w:eastAsia="Arial" w:hAnsi="Arial"/>
          <w:sz w:val="18"/>
          <w:szCs w:val="18"/>
          <w:color w:val="auto"/>
        </w:rPr>
        <w:t>” means JPMorgan Chase Bank, N.A., Citigroup Global Markets Inc. and HSBC Bank plc.</w:t>
      </w:r>
    </w:p>
    <w:p>
      <w:pPr>
        <w:spacing w:after="0" w:line="225"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LC Commitment</w:t>
      </w:r>
      <w:r>
        <w:rPr>
          <w:rFonts w:ascii="Arial" w:cs="Arial" w:eastAsia="Arial" w:hAnsi="Arial"/>
          <w:sz w:val="17"/>
          <w:szCs w:val="17"/>
          <w:color w:val="auto"/>
        </w:rPr>
        <w:t xml:space="preserve">” means, as to each Issuing Bank, the commitment of such Issuing Bank to issue Letters of Credit pursuant to Section 2.04. The initial amount of each Issuing Bank’s LC Commitment is set forth on </w:t>
      </w:r>
      <w:r>
        <w:rPr>
          <w:rFonts w:ascii="Arial" w:cs="Arial" w:eastAsia="Arial" w:hAnsi="Arial"/>
          <w:sz w:val="17"/>
          <w:szCs w:val="17"/>
          <w:u w:val="single" w:color="auto"/>
          <w:color w:val="auto"/>
        </w:rPr>
        <w:t>Schedule 2.04</w:t>
      </w:r>
      <w:r>
        <w:rPr>
          <w:rFonts w:ascii="Arial" w:cs="Arial" w:eastAsia="Arial" w:hAnsi="Arial"/>
          <w:sz w:val="17"/>
          <w:szCs w:val="17"/>
          <w:color w:val="auto"/>
        </w:rPr>
        <w:t xml:space="preserve"> or in such Issuing Bank’s Issuing Bank Agreement.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means a payment made by an Issuing Bank pursuant to a Letter of Credit.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02" w:name="page303"/>
    <w:bookmarkEnd w:id="302"/>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LC Exposure</w:t>
      </w:r>
      <w:r>
        <w:rPr>
          <w:rFonts w:ascii="Arial" w:cs="Arial" w:eastAsia="Arial" w:hAnsi="Arial"/>
          <w:sz w:val="18"/>
          <w:szCs w:val="18"/>
          <w:color w:val="auto"/>
        </w:rPr>
        <w:t xml:space="preserve">” means, at any time, (a) the sum of the US Dollar Equivalents of the undrawn amounts of all outstanding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sum of the US Dollar Equivalents of the amounts of all LC Disbursements that have not yet been reimbursed by or on behalf of the applicable Borrowers at such time. The LC Exposure of any Tranche A Lender at any time shall be its Tranche A Percentage of the aggregate LC Exposure at such time.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Parent</w:t>
      </w:r>
      <w:r>
        <w:rPr>
          <w:rFonts w:ascii="Arial" w:cs="Arial" w:eastAsia="Arial" w:hAnsi="Arial"/>
          <w:sz w:val="18"/>
          <w:szCs w:val="18"/>
          <w:color w:val="auto"/>
        </w:rPr>
        <w:t>” means, with respect to any Lender, any Person in respect of which such Lender is a subsidiary.</w:t>
      </w:r>
    </w:p>
    <w:p>
      <w:pPr>
        <w:spacing w:after="0" w:line="225" w:lineRule="exact"/>
        <w:rPr>
          <w:sz w:val="20"/>
          <w:szCs w:val="20"/>
          <w:color w:val="auto"/>
        </w:rPr>
      </w:pPr>
    </w:p>
    <w:p>
      <w:pPr>
        <w:ind w:right="4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Lenders</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any other Person that shall have become a Lender pursuant to an Assignment and Assumption or Section 2.08(d), other than any such Person that ceases to be a party hereto pursuant to an Assignment and Assumption.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Lending Office</w:t>
      </w:r>
      <w:r>
        <w:rPr>
          <w:rFonts w:ascii="Arial" w:cs="Arial" w:eastAsia="Arial" w:hAnsi="Arial"/>
          <w:sz w:val="18"/>
          <w:szCs w:val="18"/>
          <w:color w:val="auto"/>
        </w:rPr>
        <w:t>” means a Tranche A Lending Office, a Tranche B Lending Office or a Tranche C Lending Office.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means any letter of credit issued pursuant to Section 2.04 and any Existing Letter of Credit.</w:t>
      </w:r>
    </w:p>
    <w:p>
      <w:pPr>
        <w:spacing w:after="0" w:line="225"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LIBO Rate</w:t>
      </w:r>
      <w:r>
        <w:rPr>
          <w:rFonts w:ascii="Arial" w:cs="Arial" w:eastAsia="Arial" w:hAnsi="Arial"/>
          <w:sz w:val="17"/>
          <w:szCs w:val="17"/>
          <w:color w:val="auto"/>
        </w:rPr>
        <w:t>” means, with respect to any LIBOR Borrowing denominated in any currency for any Interest Period, (a) the applicable Screen Rate or (b) if no Screen Rate is available for such currency or for such Interest Period, the arithmetic mean (rounded up to four decimal places) of the rates quoted by the Reference Banks to leading banks in the London interbank market for the offering of deposits in such currency and for a period comparable to such Interest Period, in each case as of the Specified Time on the Quotation Day (but, with respect to (a) and (b), in no event less than zero). It is understood and agreed that the Agents will not disclose to any Person other than the Company (which agrees not to disclose to any other Person) (a) the rates quoted by the individual Reference Banks or (b) if one or more of the Reference Banks shall not have quoted a rate, the fact that the LIBO Rate is being determined on the basis of the rates quoted by fewer than all the Reference Banks.</w:t>
      </w:r>
    </w:p>
    <w:p>
      <w:pPr>
        <w:spacing w:after="0" w:line="17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 or the LIBO Rate.</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of any Subsidiary, any purchase option, call or similar right of a third party with respect to such securities that is created to secure obligations owed to any creditor (it being understood that rights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purchaser of a Subsidiary or equity interests therein under a purchase or similar agreement will not be deemed to constitute a Lien under this clause (c)).</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means the loans made by the Lenders to the Borrowers pursuant to this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303" w:name="page304"/>
    <w:bookmarkEnd w:id="303"/>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Local Time</w:t>
      </w:r>
      <w:r>
        <w:rPr>
          <w:rFonts w:ascii="Arial" w:cs="Arial" w:eastAsia="Arial" w:hAnsi="Arial"/>
          <w:sz w:val="18"/>
          <w:szCs w:val="18"/>
          <w:color w:val="auto"/>
        </w:rPr>
        <w:t>” means (a) with respect to a Loan or Borrowing denominated in US Dollars (other than by a Canadian Borrowing Subsidiary) or any Letter of Credit, New York City time, (b) with respect to a Loan or Borrowing denominated in Sterling or Euros, London time and (c) with respect to a Loan or Borrowing denominated in Canadian Dollars, a BA or a Loan or Borrowing denominated in US Dollars to or by a Canadian Borrowing Subsidiary, Toronto time.</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London Agent</w:t>
      </w:r>
      <w:r>
        <w:rPr>
          <w:rFonts w:ascii="Arial" w:cs="Arial" w:eastAsia="Arial" w:hAnsi="Arial"/>
          <w:sz w:val="18"/>
          <w:szCs w:val="18"/>
          <w:color w:val="auto"/>
        </w:rPr>
        <w:t>” means J.P.Morgan Europe Limited, in its capacity as London agent for the Lenders hereunder, or any successor appointed in accordance with Article VIII.</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Acquisition</w:t>
      </w:r>
      <w:r>
        <w:rPr>
          <w:rFonts w:ascii="Arial" w:cs="Arial" w:eastAsia="Arial" w:hAnsi="Arial"/>
          <w:sz w:val="18"/>
          <w:szCs w:val="18"/>
          <w:color w:val="auto"/>
        </w:rPr>
        <w:t>” means any transaction or series of related transactions resulting in the ownership by the Company and/or one or more Subsidiaries of all or substantially all the Equity Interests or all or substantially all the assets of any Person or all or substantially all of any division or other operating unit of a business, but only if the sum of (a)(i) the value of the consideration paid in such transaction or transactions and (ii) the Indebtedness of any acquired Person outstanding after such transaction takes effect minus (b) the cash of such acquired Person after such transaction takes effect is equal to US$750,000,000 or more or its equivalent in one or more other currencies.</w:t>
      </w:r>
    </w:p>
    <w:p>
      <w:pPr>
        <w:spacing w:after="0" w:line="188"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materially adverse effect on (a) the business, assets, operations or financial condition of the Company and the Subsidiaries, taken as a whole, or (b) the validity, legality, binding effect or enforceability of any material provision hereof or any material right or remedy of any Agent or Lender hereunder.</w:t>
      </w:r>
    </w:p>
    <w:p>
      <w:pPr>
        <w:spacing w:after="0" w:line="18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Disposition</w:t>
      </w:r>
      <w:r>
        <w:rPr>
          <w:rFonts w:ascii="Arial" w:cs="Arial" w:eastAsia="Arial" w:hAnsi="Arial"/>
          <w:sz w:val="16"/>
          <w:szCs w:val="16"/>
          <w:color w:val="auto"/>
        </w:rPr>
        <w:t>” means any transaction or series of related transactions resulting in the disposition by the Company and/or one or more Subsidiaries of all or substantially all the Equity Interests or all or substantially all the assets of any Person or all or substantially all of any division or other operating unit of a business, but only if the sum of (a)(i) the value of the consideration paid in such transaction or transactions and (ii) the Indebtedness outstanding after such transaction takes effect of any Person disposed of for which neither the Company nor any other Subsidiary is liable minus (b) the cash of such acquired Person after such transaction takes effect is equal to US$750,000,000 or more or its equivalent in one or more other currencies.</w:t>
      </w:r>
    </w:p>
    <w:p>
      <w:pPr>
        <w:spacing w:after="0" w:line="158"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the Loans) of any one or more of the Company and its Subsidiaries in an aggregate principal amount exceeding US$75,000,000.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means any Subsidiary that is not an Immaterial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Maturity Date</w:t>
      </w:r>
      <w:r>
        <w:rPr>
          <w:rFonts w:ascii="Arial" w:cs="Arial" w:eastAsia="Arial" w:hAnsi="Arial"/>
          <w:sz w:val="16"/>
          <w:szCs w:val="16"/>
          <w:color w:val="auto"/>
        </w:rPr>
        <w:t>” means December 11, 2022, or any later date to which the Maturity date shall have been extended pursuant to Section 2.08(e).</w:t>
      </w:r>
    </w:p>
    <w:p>
      <w:pPr>
        <w:spacing w:after="0" w:line="24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 Extension Request</w:t>
      </w:r>
      <w:r>
        <w:rPr>
          <w:rFonts w:ascii="Arial" w:cs="Arial" w:eastAsia="Arial" w:hAnsi="Arial"/>
          <w:sz w:val="18"/>
          <w:szCs w:val="18"/>
          <w:color w:val="auto"/>
        </w:rPr>
        <w:t xml:space="preserve">” means a request by the Borrower,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or such other form as shall be approved by the Administrative Agent, for the extension of the Maturity Date pursuant to Section 2.08(e).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04" w:name="page305"/>
    <w:bookmarkEnd w:id="30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means, at any time, any Lender that is not a Defaulting Lender at such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Non-Qualifying Bank</w:t>
      </w:r>
      <w:r>
        <w:rPr>
          <w:rFonts w:ascii="Arial" w:cs="Arial" w:eastAsia="Arial" w:hAnsi="Arial"/>
          <w:sz w:val="18"/>
          <w:szCs w:val="18"/>
          <w:color w:val="auto"/>
        </w:rPr>
        <w:t>” means any person other than a Qualifying Bank.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Non-Schedule I Lender</w:t>
      </w:r>
      <w:r>
        <w:rPr>
          <w:rFonts w:ascii="Arial" w:cs="Arial" w:eastAsia="Arial" w:hAnsi="Arial"/>
          <w:sz w:val="18"/>
          <w:szCs w:val="18"/>
          <w:color w:val="auto"/>
        </w:rPr>
        <w:t>” means any Lender not named on Schedule I to the Bank Act (Canada).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Non-Schedule I Reference Lenders</w:t>
      </w:r>
      <w:r>
        <w:rPr>
          <w:rFonts w:ascii="Arial" w:cs="Arial" w:eastAsia="Arial" w:hAnsi="Arial"/>
          <w:sz w:val="18"/>
          <w:szCs w:val="18"/>
          <w:color w:val="auto"/>
        </w:rPr>
        <w:t>” means JPMorgan Chase Bank, N.A., Toronto Branch, and Citi Bank, N.A.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New York time, on such day received to the Administrative Agent from a Federal funds broker of recognized standing selected by it; </w:t>
      </w:r>
      <w:r>
        <w:rPr>
          <w:rFonts w:ascii="Arial" w:cs="Arial" w:eastAsia="Arial" w:hAnsi="Arial"/>
          <w:sz w:val="17"/>
          <w:szCs w:val="17"/>
          <w:i w:val="1"/>
          <w:iCs w:val="1"/>
          <w:color w:val="auto"/>
        </w:rPr>
        <w:t>provided</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any of the aforesaid rates shall be less than zero, such rate shall be deemed to be zero for all purposes of this Agreement.</w:t>
      </w:r>
    </w:p>
    <w:p>
      <w:pPr>
        <w:spacing w:after="0" w:line="173"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xml:space="preserve">” means (a) the principal of and interest (including interest accruing during the pendency of any bankruptcy, insolvency, receivership, </w:t>
      </w:r>
      <w:r>
        <w:rPr>
          <w:rFonts w:ascii="Arial" w:cs="Arial" w:eastAsia="Arial" w:hAnsi="Arial"/>
          <w:sz w:val="16"/>
          <w:szCs w:val="16"/>
          <w:i w:val="1"/>
          <w:iCs w:val="1"/>
          <w:color w:val="auto"/>
        </w:rPr>
        <w:t>en desastre</w:t>
      </w:r>
      <w:r>
        <w:rPr>
          <w:rFonts w:ascii="Arial" w:cs="Arial" w:eastAsia="Arial" w:hAnsi="Arial"/>
          <w:sz w:val="16"/>
          <w:szCs w:val="16"/>
          <w:color w:val="auto"/>
        </w:rPr>
        <w:t xml:space="preserve"> or other similar proceeding, regardless of whether allowed or allowable in such proceeding) on the Loans, (b) all reimbursement obligations of any Borrower in respect of BAs accepted hereunder, when and as due, whether at maturity, by acceleration, upon one or more dates set for prepayment or otherwise, (c) each payment required to be made by any Borrower under this Agreement in respect of any Letter of Credit, when and as due, including payments in respect of reimbursement of disbursements, interest thereon and obligations to provide cash collateral and (c) all other monetary obligations, including fees, costs, expenses and indemnities, whether primary, secondary, direct, contingent, fixed or otherwise (including monetary obligations incurred during the pendency of any bankruptcy, insolvency, receivership, </w:t>
      </w:r>
      <w:r>
        <w:rPr>
          <w:rFonts w:ascii="Arial" w:cs="Arial" w:eastAsia="Arial" w:hAnsi="Arial"/>
          <w:sz w:val="16"/>
          <w:szCs w:val="16"/>
          <w:i w:val="1"/>
          <w:iCs w:val="1"/>
          <w:color w:val="auto"/>
        </w:rPr>
        <w:t>en desastre</w:t>
      </w:r>
      <w:r>
        <w:rPr>
          <w:rFonts w:ascii="Arial" w:cs="Arial" w:eastAsia="Arial" w:hAnsi="Arial"/>
          <w:sz w:val="16"/>
          <w:szCs w:val="16"/>
          <w:color w:val="auto"/>
        </w:rPr>
        <w:t xml:space="preserve"> or other similar proceeding, regardless of whether allowed or allowable in such proceeding), of the Credit Parties under this Agreement and the other Credit Documents.</w:t>
      </w:r>
    </w:p>
    <w:p>
      <w:pPr>
        <w:spacing w:after="0" w:line="166"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arising from any payment made under any Credit Document or from the execution, delivery or enforcement of, or otherwise with respect to, any Credit Document.</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3" w:right="259" w:bottom="1440" w:gutter="0" w:footer="0" w:header="0"/>
        </w:sectPr>
      </w:pPr>
    </w:p>
    <w:bookmarkStart w:id="305" w:name="page306"/>
    <w:bookmarkEnd w:id="30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Participant</w:t>
      </w:r>
      <w:r>
        <w:rPr>
          <w:rFonts w:ascii="Arial" w:cs="Arial" w:eastAsia="Arial" w:hAnsi="Arial"/>
          <w:sz w:val="18"/>
          <w:szCs w:val="18"/>
          <w:color w:val="auto"/>
        </w:rPr>
        <w:t>” has the meaning set forth in Section 11.04(f).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has the meaning set forth in Section 11.04(k).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PBGC</w:t>
      </w:r>
      <w:r>
        <w:rPr>
          <w:rFonts w:ascii="Arial" w:cs="Arial" w:eastAsia="Arial" w:hAnsi="Arial"/>
          <w:sz w:val="17"/>
          <w:szCs w:val="17"/>
          <w:color w:val="auto"/>
        </w:rPr>
        <w:t>” means the Pension Benefit Guaranty Corporation referred to and defined in ERISA and any successor entity performing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right="640" w:firstLine="921"/>
        <w:spacing w:after="0" w:line="277" w:lineRule="auto"/>
        <w:tabs>
          <w:tab w:leader="none" w:pos="115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Liens imposed by law for taxes and other governmental assessments, charges and levies that are not yet due or are being contested in compliance with Section 5.04;</w:t>
      </w:r>
    </w:p>
    <w:p>
      <w:pPr>
        <w:spacing w:after="0" w:line="62" w:lineRule="exact"/>
        <w:rPr>
          <w:rFonts w:ascii="Arial" w:cs="Arial" w:eastAsia="Arial" w:hAnsi="Arial"/>
          <w:sz w:val="18"/>
          <w:szCs w:val="18"/>
          <w:color w:val="auto"/>
        </w:rPr>
      </w:pPr>
    </w:p>
    <w:p>
      <w:pPr>
        <w:ind w:right="300" w:firstLine="921"/>
        <w:spacing w:after="0" w:line="308" w:lineRule="auto"/>
        <w:tabs>
          <w:tab w:leader="none" w:pos="1168" w:val="left"/>
        </w:tabs>
        <w:numPr>
          <w:ilvl w:val="0"/>
          <w:numId w:val="331"/>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38" w:lineRule="exact"/>
        <w:rPr>
          <w:rFonts w:ascii="Arial" w:cs="Arial" w:eastAsia="Arial" w:hAnsi="Arial"/>
          <w:sz w:val="17"/>
          <w:szCs w:val="17"/>
          <w:color w:val="auto"/>
        </w:rPr>
      </w:pPr>
    </w:p>
    <w:p>
      <w:pPr>
        <w:ind w:right="40" w:firstLine="921"/>
        <w:spacing w:after="0" w:line="277" w:lineRule="auto"/>
        <w:tabs>
          <w:tab w:leader="none" w:pos="115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62" w:lineRule="exact"/>
        <w:rPr>
          <w:rFonts w:ascii="Arial" w:cs="Arial" w:eastAsia="Arial" w:hAnsi="Arial"/>
          <w:sz w:val="18"/>
          <w:szCs w:val="18"/>
          <w:color w:val="auto"/>
        </w:rPr>
      </w:pPr>
    </w:p>
    <w:p>
      <w:pPr>
        <w:ind w:right="340" w:firstLine="921"/>
        <w:spacing w:after="0" w:line="277" w:lineRule="auto"/>
        <w:tabs>
          <w:tab w:leader="none" w:pos="116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 and</w:t>
      </w:r>
    </w:p>
    <w:p>
      <w:pPr>
        <w:spacing w:after="0" w:line="117" w:lineRule="exact"/>
        <w:rPr>
          <w:rFonts w:ascii="Arial" w:cs="Arial" w:eastAsia="Arial" w:hAnsi="Arial"/>
          <w:sz w:val="18"/>
          <w:szCs w:val="18"/>
          <w:color w:val="auto"/>
        </w:rPr>
      </w:pPr>
    </w:p>
    <w:p>
      <w:pPr>
        <w:ind w:right="160" w:firstLine="921"/>
        <w:spacing w:after="0" w:line="342" w:lineRule="auto"/>
        <w:tabs>
          <w:tab w:leader="none" w:pos="1138"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easements, zoning restrictions, rights-of-way and similar encumbrances on real property that do not secure any monetary obligations and do not materially detract from the value of the affected property or interfere with the ordinary conduct of business of the Company or any Subsidiary;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term “Permitted Liens” shall not include any Lien securing Indebtedness.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w:t>
      </w:r>
      <w:r>
        <w:rPr>
          <w:rFonts w:ascii="Arial" w:cs="Arial" w:eastAsia="Arial" w:hAnsi="Arial"/>
          <w:sz w:val="17"/>
          <w:szCs w:val="17"/>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has the meaning set forth in Section 11.01(d).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3" w:right="279" w:bottom="1440" w:gutter="0" w:footer="0" w:header="0"/>
        </w:sectPr>
      </w:pPr>
    </w:p>
    <w:bookmarkStart w:id="306" w:name="page307"/>
    <w:bookmarkEnd w:id="306"/>
    <w:p>
      <w:pPr>
        <w:ind w:right="3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Prime Rate</w:t>
      </w:r>
      <w:r>
        <w:rPr>
          <w:rFonts w:ascii="Arial" w:cs="Arial" w:eastAsia="Arial" w:hAnsi="Arial"/>
          <w:sz w:val="18"/>
          <w:szCs w:val="18"/>
          <w:color w:val="auto"/>
        </w:rPr>
        <w:t>” means the rate of interest per annum publicly announced from time to time by JPMorgan Chase Bank, N.A. as its prime rate in effect at its principal office in New York City. Each change in the Prime Rate shall be effective from and including the date such change is publicly announced as being effective.</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Qualifying Bank</w:t>
      </w:r>
      <w:r>
        <w:rPr>
          <w:rFonts w:ascii="Arial" w:cs="Arial" w:eastAsia="Arial" w:hAnsi="Arial"/>
          <w:sz w:val="17"/>
          <w:szCs w:val="17"/>
          <w:color w:val="auto"/>
        </w:rPr>
        <w:t>” means any legal entity which is recognized as a bank by the banking laws in force in its country of incorporation, or if extending credit under this Agreement through a branch, in the country of that branch, and which exercises as its main purpose a true banking activity, having bank personnel, premises, communication devices of its own and the authority of decision-making and has a genuine banking activity.</w:t>
      </w:r>
    </w:p>
    <w:p>
      <w:pPr>
        <w:spacing w:after="0" w:line="166"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Day</w:t>
      </w:r>
      <w:r>
        <w:rPr>
          <w:rFonts w:ascii="Arial" w:cs="Arial" w:eastAsia="Arial" w:hAnsi="Arial"/>
          <w:sz w:val="18"/>
          <w:szCs w:val="18"/>
          <w:color w:val="auto"/>
        </w:rPr>
        <w:t>” means (a) with respect to any currency (other than Sterling) for any Interest Period, two Business Days prior to the first day of such Interest Period and (b) with respect to Sterling for any Interest Period, the first day of such Interest Period, in each case unless market practice differs in the Relevant Interbank Market for any currency, in which case the Quotation Day for such currency shall be determined by the Applicable Agent in accordance with market practice in the Relevant Interbank Market (and if quotations would normally be given by leading banks in the Relevant Interbank Market on more than one day, the Quotation Day shall be the last of those days).</w:t>
      </w:r>
    </w:p>
    <w:p>
      <w:pPr>
        <w:spacing w:after="0" w:line="188"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Ratings</w:t>
      </w:r>
      <w:r>
        <w:rPr>
          <w:rFonts w:ascii="Arial" w:cs="Arial" w:eastAsia="Arial" w:hAnsi="Arial"/>
          <w:sz w:val="16"/>
          <w:szCs w:val="16"/>
          <w:color w:val="auto"/>
        </w:rPr>
        <w:t>” means the public ratings of the Company’s senior, unsecured, non-credit enhanced long-term debt for borrowed money (including under this Agreement, whether or not Loans are outstanding at such time) by Moody’s and S&amp;P or, if there shall be not outstanding senior, unsecured, non-credit enhanced long-term debt of the Company, the long-term company, issuer or similar ratings established by such rating agencies for the Company.</w:t>
      </w:r>
    </w:p>
    <w:p>
      <w:pPr>
        <w:spacing w:after="0" w:line="14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Banks</w:t>
      </w:r>
      <w:r>
        <w:rPr>
          <w:rFonts w:ascii="Arial" w:cs="Arial" w:eastAsia="Arial" w:hAnsi="Arial"/>
          <w:sz w:val="18"/>
          <w:szCs w:val="18"/>
          <w:color w:val="auto"/>
        </w:rPr>
        <w:t>” means with respect to the LIBO Rate or the EURIBO Rate, the principal London offices of JPMorgan Chase Bank, N.A., Citibank, N.A., and such other banks as may be appointed by the Administrative Agent in consultation with the Company.</w:t>
      </w:r>
    </w:p>
    <w:p>
      <w:pPr>
        <w:spacing w:after="0" w:line="17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Indebtedness</w:t>
      </w:r>
      <w:r>
        <w:rPr>
          <w:rFonts w:ascii="Arial" w:cs="Arial" w:eastAsia="Arial" w:hAnsi="Arial"/>
          <w:sz w:val="16"/>
          <w:szCs w:val="16"/>
          <w:color w:val="auto"/>
        </w:rPr>
        <w:t>” means, in respect of any Indebtedness (the “</w:t>
      </w:r>
      <w:r>
        <w:rPr>
          <w:rFonts w:ascii="Arial" w:cs="Arial" w:eastAsia="Arial" w:hAnsi="Arial"/>
          <w:sz w:val="16"/>
          <w:szCs w:val="16"/>
          <w:i w:val="1"/>
          <w:iCs w:val="1"/>
          <w:color w:val="auto"/>
        </w:rPr>
        <w:t>Original Indebtedness</w:t>
      </w:r>
      <w:r>
        <w:rPr>
          <w:rFonts w:ascii="Arial" w:cs="Arial" w:eastAsia="Arial" w:hAnsi="Arial"/>
          <w:sz w:val="16"/>
          <w:szCs w:val="16"/>
          <w:color w:val="auto"/>
        </w:rPr>
        <w:t xml:space="preserve">”), any Indebtedness that extends, renews or refinances such Original Indebtedness (or any Refinancing Indebtedness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of such Refinancing Indebtedness shall not exceed the principal amount of such Original Indebtedness; (b) such Refinancing Indebtedness shall not constitute Indebtedness of any Subsidiary other than an obligor or guarantor in respect of such Original Indebtedness or a subsidiary of such an obligor or guarantor; and (c) such Refinancing Indebtedness shall not be secured by any Lien on any asset other than the assets that secured such Original Indebtedness.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has the meaning set forth in Section 11.04(d).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07" w:name="page308"/>
    <w:bookmarkEnd w:id="307"/>
    <w:p>
      <w:pPr>
        <w:ind w:right="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Related Parties</w:t>
      </w:r>
      <w:r>
        <w:rPr>
          <w:rFonts w:ascii="Arial" w:cs="Arial" w:eastAsia="Arial" w:hAnsi="Arial"/>
          <w:sz w:val="18"/>
          <w:szCs w:val="18"/>
          <w:color w:val="auto"/>
        </w:rPr>
        <w:t>” means, with respect to any specified Person, such Person’s Affiliates and the respective directors, officers, members, partners, trustees, employees, controlling persons, agents and advisors of such Person and such Person’s Affiliates.</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Interbank Market</w:t>
      </w:r>
      <w:r>
        <w:rPr>
          <w:rFonts w:ascii="Arial" w:cs="Arial" w:eastAsia="Arial" w:hAnsi="Arial"/>
          <w:sz w:val="18"/>
          <w:szCs w:val="18"/>
          <w:color w:val="auto"/>
        </w:rPr>
        <w:t>” means (a) with respect to any currency (other than Euros), the London interbank market and (b) with respect to Euros, the European interbank market.</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means, at any time, Lenders having Revolving Credit Exposures and unused Commitments representing more than 50% of the sum of the total Revolving Credit Exposures and unused Commitments at such time.</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Exposure</w:t>
      </w:r>
      <w:r>
        <w:rPr>
          <w:rFonts w:ascii="Arial" w:cs="Arial" w:eastAsia="Arial" w:hAnsi="Arial"/>
          <w:sz w:val="18"/>
          <w:szCs w:val="18"/>
          <w:color w:val="auto"/>
        </w:rPr>
        <w:t>” means a Tranche A Revolving Credit Exposure, a Tranche B Revolving Credit Exposure or a Tranche C Revolving Credit Exposure.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Sale-Leaseback Transaction</w:t>
      </w:r>
      <w:r>
        <w:rPr>
          <w:rFonts w:ascii="Arial" w:cs="Arial" w:eastAsia="Arial" w:hAnsi="Arial"/>
          <w:sz w:val="17"/>
          <w:szCs w:val="17"/>
          <w:color w:val="auto"/>
        </w:rPr>
        <w:t xml:space="preserve">” means any arrangement whereby the Company or a Subsidiary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arrangement entered into within 180 days after the acquisition or construction of the subject property shall not be deemed to be a “</w:t>
      </w:r>
      <w:r>
        <w:rPr>
          <w:rFonts w:ascii="Arial" w:cs="Arial" w:eastAsia="Arial" w:hAnsi="Arial"/>
          <w:sz w:val="17"/>
          <w:szCs w:val="17"/>
          <w:i w:val="1"/>
          <w:iCs w:val="1"/>
          <w:color w:val="auto"/>
        </w:rPr>
        <w:t>Sale-Leaseback Transaction</w:t>
      </w:r>
      <w:r>
        <w:rPr>
          <w:rFonts w:ascii="Arial" w:cs="Arial" w:eastAsia="Arial" w:hAnsi="Arial"/>
          <w:sz w:val="17"/>
          <w:szCs w:val="17"/>
          <w:color w:val="auto"/>
        </w:rPr>
        <w:t>”.</w:t>
      </w:r>
    </w:p>
    <w:p>
      <w:pPr>
        <w:spacing w:after="0" w:line="17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Country</w:t>
      </w:r>
      <w:r>
        <w:rPr>
          <w:rFonts w:ascii="Arial" w:cs="Arial" w:eastAsia="Arial" w:hAnsi="Arial"/>
          <w:sz w:val="18"/>
          <w:szCs w:val="18"/>
          <w:color w:val="auto"/>
        </w:rPr>
        <w:t>” means, at any time, a country or territory which is itself the subject or target of any comprehensive territorial Sanctions (at the date of this Agreement, Crimea, Cuba, Iran, North Korea, Sudan and Syria).</w:t>
      </w:r>
    </w:p>
    <w:p>
      <w:pPr>
        <w:spacing w:after="0" w:line="170"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or the U.S. Department of State, or by the United Nations Security Council, Her Majesty’s Treasury of the United Kingdom, the European Union or any EU member state, (b) any Person operating, organized or resident in a Sanctioned Country or (c) any Person 50% or more owned or controlled by any such Person or Persons.</w:t>
      </w:r>
    </w:p>
    <w:p>
      <w:pPr>
        <w:spacing w:after="0" w:line="18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Sanctions</w:t>
      </w:r>
      <w:r>
        <w:rPr>
          <w:rFonts w:ascii="Arial" w:cs="Arial" w:eastAsia="Arial" w:hAnsi="Arial"/>
          <w:sz w:val="16"/>
          <w:szCs w:val="16"/>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 or by the United Nations Security Council, the European Union or by the United Kingdom government including those administered by Her Majesty’s Treasury.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 I Lender</w:t>
      </w:r>
      <w:r>
        <w:rPr>
          <w:rFonts w:ascii="Arial" w:cs="Arial" w:eastAsia="Arial" w:hAnsi="Arial"/>
          <w:sz w:val="18"/>
          <w:szCs w:val="18"/>
          <w:color w:val="auto"/>
        </w:rPr>
        <w:t>” means any Lender named on Schedule I to the Bank Act (Canada).</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 I Reference Lenders</w:t>
      </w:r>
      <w:r>
        <w:rPr>
          <w:rFonts w:ascii="Arial" w:cs="Arial" w:eastAsia="Arial" w:hAnsi="Arial"/>
          <w:sz w:val="18"/>
          <w:szCs w:val="18"/>
          <w:color w:val="auto"/>
        </w:rPr>
        <w:t>” means Royal Bank of Canada and any other Schedule I Lender agreed upon by the Company and the Canadian Agent from time to time.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308" w:name="page309"/>
    <w:bookmarkEnd w:id="308"/>
    <w:p>
      <w:pPr>
        <w:ind w:right="100"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Screen Rate</w:t>
      </w:r>
      <w:r>
        <w:rPr>
          <w:rFonts w:ascii="Arial" w:cs="Arial" w:eastAsia="Arial" w:hAnsi="Arial"/>
          <w:sz w:val="17"/>
          <w:szCs w:val="17"/>
          <w:color w:val="auto"/>
        </w:rPr>
        <w:t>” means (a) in respect of the LIBO Rate for any Interest Period, a rate per annum equal to the London interbank offered rate as administered by the ICE Benchmark Administration (or any other Person that takes over the administration of such rate) for deposits in the applicable currency with a term equivalent to such Interest Period as displayed on the Reuters screen page that displays such rate (currently Reuters Screen Page LIBOR01 or LIBOR02) (or, in the event such rate does not appear on a page of the Reuters screen, on any successor or substitute page on such screen that displays such rate or on the appropriate page of such other information service that publishes such rate as shall be selected by the Administrative Agent from time to time in its reasonable discretion); and (b) in respect of the EURIBO Rate for any Interest Period, the rate per annum determined by the Banking Federation of the European Union for such Interest Period as set forth on the Reuters screen page that displays such rate (currently EURIBOR01) (or, in the event such rate does not appear on a page of the Reuters screen, on the appropriate page of such other information service that publishes such rate as shall be selected by the Administrative Agent from time to time in its reasonable discretion). If, as to any currency, no Screen Rate shall be available for a particular Interest Period but Screen Rates shall be available for maturities both longer and shorter than such Interest Period, than the Screen Rate for such Interest Period shall be the Interpolated Screen Rate. Notwithstanding the foregoing, if the Screen Rate, determined as provided above, would be less than zero, the Screen Rate shall for all purposes of this Agreement be zero.</w:t>
      </w:r>
    </w:p>
    <w:p>
      <w:pPr>
        <w:spacing w:after="0" w:line="18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 or any Governmental Authority succeeding to the functions of such Commission.</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Securitization Transaction</w:t>
      </w:r>
      <w:r>
        <w:rPr>
          <w:rFonts w:ascii="Arial" w:cs="Arial" w:eastAsia="Arial" w:hAnsi="Arial"/>
          <w:sz w:val="16"/>
          <w:szCs w:val="16"/>
          <w:color w:val="auto"/>
        </w:rPr>
        <w:t xml:space="preserve">” means, with respect to any Person, any transfer by such Person or any of its subsidiaries of accounts receivable or interests therein (a) to a trust, partnership, corporation or other entity, which transfer is funded by the incurrence or issuance by the transferee or any successor transferee of Indebtedness or other securities that are to receive payments from, or that represent interests in, the cash flow derived from such accounts receivable or interests therein, or (b) directly to one or more investors or other purchasers;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“Securitization Transaction” shall not include sales, transfers or other dispositions of accounts receivable in connection with the compromise or collection thereof in the ordinary course of business consistent with past practice and not as part of any accounts receivable financing transaction. The amount of any Securitization Transaction shall be deemed at any time to be the aggregate principal or stated amount of the Indebtedness or other securities referred to in clause (a) of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spacing w:after="0" w:line="167"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Time</w:t>
      </w:r>
      <w:r>
        <w:rPr>
          <w:rFonts w:ascii="Arial" w:cs="Arial" w:eastAsia="Arial" w:hAnsi="Arial"/>
          <w:sz w:val="18"/>
          <w:szCs w:val="18"/>
          <w:color w:val="auto"/>
        </w:rPr>
        <w:t>” means (a) with respect to the LIBO Rate, 11:00 a.m., London time and (b) with respect to the EURIBO Rate, 11:00 a.m., Frankfurt time.</w:t>
      </w:r>
    </w:p>
    <w:p>
      <w:pPr>
        <w:spacing w:after="0" w:line="1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09" w:name="page310"/>
    <w:bookmarkEnd w:id="309"/>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Sterling</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of any Person means any Indebtedness of such Person that by its express terms is subordinated in right of payment to any other Indebtedness of such Person.</w:t>
      </w:r>
    </w:p>
    <w:p>
      <w:pPr>
        <w:spacing w:after="0" w:line="170"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i w:val="1"/>
          <w:iCs w:val="1"/>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w:t>
      </w:r>
    </w:p>
    <w:p>
      <w:pPr>
        <w:ind w:firstLine="8"/>
        <w:spacing w:after="0" w:line="254" w:lineRule="auto"/>
        <w:tabs>
          <w:tab w:leader="none" w:pos="24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(b) that is, as of such date, otherwise Controlled, by the parent or one or more subsidiaries of the parent or by the parent and one or more subsidiaries of the parent, or (c) that is a subsidiary within the meaning of Section 531 of the Companies (Guernsey) Law 2008, as amended.</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Borrowing Subsidiary</w:t>
      </w:r>
      <w:r>
        <w:rPr>
          <w:rFonts w:ascii="Arial" w:cs="Arial" w:eastAsia="Arial" w:hAnsi="Arial"/>
          <w:sz w:val="18"/>
          <w:szCs w:val="18"/>
          <w:color w:val="auto"/>
        </w:rPr>
        <w:t>” means any Borrowing Subsidiary that is a Swiss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Swiss Federal Tax Administration</w:t>
      </w:r>
      <w:r>
        <w:rPr>
          <w:rFonts w:ascii="Arial" w:cs="Arial" w:eastAsia="Arial" w:hAnsi="Arial"/>
          <w:sz w:val="17"/>
          <w:szCs w:val="17"/>
          <w:color w:val="auto"/>
        </w:rPr>
        <w:t>” means the Swiss federal tax authorities referred to in Article 34 of the Swiss Withholding Tax Act.</w:t>
      </w:r>
    </w:p>
    <w:p>
      <w:pPr>
        <w:spacing w:after="0" w:line="237"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Subsidiary</w:t>
      </w:r>
      <w:r>
        <w:rPr>
          <w:rFonts w:ascii="Arial" w:cs="Arial" w:eastAsia="Arial" w:hAnsi="Arial"/>
          <w:sz w:val="18"/>
          <w:szCs w:val="18"/>
          <w:color w:val="auto"/>
        </w:rPr>
        <w:t>” means any Subsidiary that is incorporated or otherwise organized under the laws of, or resident for tax purposes in, Switzerland or any political subdivision thereof.</w:t>
      </w:r>
    </w:p>
    <w:p>
      <w:pPr>
        <w:spacing w:after="0" w:line="170" w:lineRule="exact"/>
        <w:rPr>
          <w:sz w:val="20"/>
          <w:szCs w:val="20"/>
          <w:color w:val="auto"/>
        </w:rPr>
      </w:pPr>
    </w:p>
    <w:p>
      <w:pPr>
        <w:ind w:right="5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Swiss Ten Non-Bank Rule</w:t>
      </w:r>
      <w:r>
        <w:rPr>
          <w:rFonts w:ascii="Arial" w:cs="Arial" w:eastAsia="Arial" w:hAnsi="Arial"/>
          <w:sz w:val="17"/>
          <w:szCs w:val="17"/>
          <w:color w:val="auto"/>
        </w:rPr>
        <w:t>” means the rule that the aggregate number of Lenders in respect of Loans to each Swiss Borrowing Subsidiary pursuant to this Agreement which are not Qualifying Banks must not at any time exceed ten, all in accordance with the Guidelines.</w:t>
      </w:r>
    </w:p>
    <w:p>
      <w:pPr>
        <w:spacing w:after="0" w:line="14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Twenty Non-Bank Rule</w:t>
      </w:r>
      <w:r>
        <w:rPr>
          <w:rFonts w:ascii="Arial" w:cs="Arial" w:eastAsia="Arial" w:hAnsi="Arial"/>
          <w:sz w:val="16"/>
          <w:szCs w:val="16"/>
          <w:color w:val="auto"/>
        </w:rPr>
        <w:t>” means the rule that the aggregate number of (a) creditors other than Qualifying Banks of each Swiss Borrowing Subsidiary under all outstanding debts relevant for the classification as debenture (</w:t>
      </w:r>
      <w:r>
        <w:rPr>
          <w:rFonts w:ascii="Arial" w:cs="Arial" w:eastAsia="Arial" w:hAnsi="Arial"/>
          <w:sz w:val="16"/>
          <w:szCs w:val="16"/>
          <w:i w:val="1"/>
          <w:iCs w:val="1"/>
          <w:color w:val="auto"/>
        </w:rPr>
        <w:t>Kassenobligation</w:t>
      </w:r>
      <w:r>
        <w:rPr>
          <w:rFonts w:ascii="Arial" w:cs="Arial" w:eastAsia="Arial" w:hAnsi="Arial"/>
          <w:sz w:val="16"/>
          <w:szCs w:val="16"/>
          <w:color w:val="auto"/>
        </w:rPr>
        <w:t>) (including any intra-group loans (if and to the extent intra-group loans are not exempt in accordance with the ordinance of the Swiss Federal Council of 18 June 2010 amending the Swiss Federal Ordinance on withholding tax and the Swiss Federal Ordinance on stamp duties with effect as of 1 August 2010)), facilities or private placements (including Loans pursuant to this Agreement)) and (b) where the number of debt instruments is relevant, the number of such debt instruments, being understood that for purposes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3" w:right="259" w:bottom="1440" w:gutter="0" w:footer="0" w:header="0"/>
        </w:sectPr>
      </w:pPr>
    </w:p>
    <w:bookmarkStart w:id="310" w:name="page311"/>
    <w:bookmarkEnd w:id="310"/>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the maximum number of ten Non-Qualifying Banks permitted under this Agreement shall be taken into account (whether or not ten Non-Qualifying Banks do so participate at any given time), must not at any time exceed twenty, all in accordance within the meaning of the Guidelines.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w:t>
      </w:r>
      <w:r>
        <w:rPr>
          <w:rFonts w:ascii="Arial" w:cs="Arial" w:eastAsia="Arial" w:hAnsi="Arial"/>
          <w:sz w:val="18"/>
          <w:szCs w:val="18"/>
          <w:color w:val="auto"/>
        </w:rPr>
        <w:t>” means the Swiss withholding tax as per the Swiss Withholding Tax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 Act</w:t>
      </w:r>
      <w:r>
        <w:rPr>
          <w:rFonts w:ascii="Arial" w:cs="Arial" w:eastAsia="Arial" w:hAnsi="Arial"/>
          <w:sz w:val="18"/>
          <w:szCs w:val="18"/>
          <w:color w:val="auto"/>
        </w:rPr>
        <w:t>” means the Swiss federal act on withholding tax, of October 13, 1965, as modified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 Rules</w:t>
      </w:r>
      <w:r>
        <w:rPr>
          <w:rFonts w:ascii="Arial" w:cs="Arial" w:eastAsia="Arial" w:hAnsi="Arial"/>
          <w:sz w:val="18"/>
          <w:szCs w:val="18"/>
          <w:color w:val="auto"/>
        </w:rPr>
        <w:t>” means, together, the Swiss Ten Non-Bank Rule and the Swiss Twenty Non-Bank Rule.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Syndication Agents</w:t>
      </w:r>
      <w:r>
        <w:rPr>
          <w:rFonts w:ascii="Arial" w:cs="Arial" w:eastAsia="Arial" w:hAnsi="Arial"/>
          <w:sz w:val="18"/>
          <w:szCs w:val="18"/>
          <w:color w:val="auto"/>
        </w:rPr>
        <w:t>” means Citigroup Global Markets Inc. and HSBC Bank plc.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w:t>
      </w:r>
      <w:r>
        <w:rPr>
          <w:rFonts w:ascii="Arial" w:cs="Arial" w:eastAsia="Arial" w:hAnsi="Arial"/>
          <w:sz w:val="18"/>
          <w:szCs w:val="18"/>
          <w:color w:val="auto"/>
        </w:rPr>
        <w:t>” means the Trans-European Automated Real-time Gross Settlement Express Transfer payment system.</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70"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w:t>
      </w:r>
      <w:r>
        <w:rPr>
          <w:rFonts w:ascii="Arial" w:cs="Arial" w:eastAsia="Arial" w:hAnsi="Arial"/>
          <w:sz w:val="17"/>
          <w:szCs w:val="17"/>
          <w:color w:val="auto"/>
        </w:rPr>
        <w:t>” means a category of Commitments and extensions of credit thereunder. For purposes hereof, each of the following shall comprise a separate Tranche: (a) the Tranche A Commitments, the Tranche A Loans and the Letters of Credit (“</w:t>
      </w:r>
      <w:r>
        <w:rPr>
          <w:rFonts w:ascii="Arial" w:cs="Arial" w:eastAsia="Arial" w:hAnsi="Arial"/>
          <w:sz w:val="17"/>
          <w:szCs w:val="17"/>
          <w:i w:val="1"/>
          <w:iCs w:val="1"/>
          <w:color w:val="auto"/>
        </w:rPr>
        <w:t>Tranche A</w:t>
      </w:r>
      <w:r>
        <w:rPr>
          <w:rFonts w:ascii="Arial" w:cs="Arial" w:eastAsia="Arial" w:hAnsi="Arial"/>
          <w:sz w:val="17"/>
          <w:szCs w:val="17"/>
          <w:color w:val="auto"/>
        </w:rPr>
        <w:t>”), (b) the Tranche B Commitments, the Tranche B Loans and the BAs (“</w:t>
      </w:r>
      <w:r>
        <w:rPr>
          <w:rFonts w:ascii="Arial" w:cs="Arial" w:eastAsia="Arial" w:hAnsi="Arial"/>
          <w:sz w:val="17"/>
          <w:szCs w:val="17"/>
          <w:i w:val="1"/>
          <w:iCs w:val="1"/>
          <w:color w:val="auto"/>
        </w:rPr>
        <w:t>Tranche B</w:t>
      </w:r>
      <w:r>
        <w:rPr>
          <w:rFonts w:ascii="Arial" w:cs="Arial" w:eastAsia="Arial" w:hAnsi="Arial"/>
          <w:sz w:val="17"/>
          <w:szCs w:val="17"/>
          <w:color w:val="auto"/>
        </w:rPr>
        <w:t>”) and (c) the Tranche C Commitments and the Tranche C Loans (“</w:t>
      </w:r>
      <w:r>
        <w:rPr>
          <w:rFonts w:ascii="Arial" w:cs="Arial" w:eastAsia="Arial" w:hAnsi="Arial"/>
          <w:sz w:val="17"/>
          <w:szCs w:val="17"/>
          <w:i w:val="1"/>
          <w:iCs w:val="1"/>
          <w:color w:val="auto"/>
        </w:rPr>
        <w:t>Tranche C</w:t>
      </w:r>
      <w:r>
        <w:rPr>
          <w:rFonts w:ascii="Arial" w:cs="Arial" w:eastAsia="Arial" w:hAnsi="Arial"/>
          <w:sz w:val="17"/>
          <w:szCs w:val="17"/>
          <w:color w:val="auto"/>
        </w:rPr>
        <w: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Borrower</w:t>
      </w:r>
      <w:r>
        <w:rPr>
          <w:rFonts w:ascii="Arial" w:cs="Arial" w:eastAsia="Arial" w:hAnsi="Arial"/>
          <w:sz w:val="18"/>
          <w:szCs w:val="18"/>
          <w:color w:val="auto"/>
        </w:rPr>
        <w:t>” means the Company and any Borrowing Subsidiary that is a Tranche A Subsidiary.</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A Commitment</w:t>
      </w:r>
      <w:r>
        <w:rPr>
          <w:rFonts w:ascii="Arial" w:cs="Arial" w:eastAsia="Arial" w:hAnsi="Arial"/>
          <w:sz w:val="16"/>
          <w:szCs w:val="16"/>
          <w:color w:val="auto"/>
        </w:rPr>
        <w:t>” means, with respect to each Tranche A Lender, the commitment of such Tranche A Lender to make Tranche A Loans pursuant to Section 2.01(a) and to acquire participations in Letters of Credit hereunder, expressed as an amount representing the maximum aggregate amount of such Tranche A Lender’s Tranche A Revolving Credit Exposure hereunder, as such commitment may be reduced or increased from time to time pursuant to Section 2.08 or assignments by or to such Tranche A Lender pursuant to Section 11.04. The initial amount of each Tranche A Lender’s Tranche A Commitment is set forth on Schedule 2.01, or in the Assignment and Assumption pursuant to which such Tranche A Lender shall have assumed its Tranche A Commitment, as the case may be. The aggregate amount of Tranche A Commitments on the Closing Date is US$200,000,000.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Lender</w:t>
      </w:r>
      <w:r>
        <w:rPr>
          <w:rFonts w:ascii="Arial" w:cs="Arial" w:eastAsia="Arial" w:hAnsi="Arial"/>
          <w:sz w:val="18"/>
          <w:szCs w:val="18"/>
          <w:color w:val="auto"/>
        </w:rPr>
        <w:t>” means a Lender with a Tranche A Commitment or a Tranche A Revolving Credit Exposure.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3" w:right="279" w:bottom="1440" w:gutter="0" w:footer="0" w:header="0"/>
        </w:sectPr>
      </w:pPr>
    </w:p>
    <w:bookmarkStart w:id="311" w:name="page312"/>
    <w:bookmarkEnd w:id="311"/>
    <w:p>
      <w:pPr>
        <w:ind w:right="20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Tranche A Lending Office</w:t>
      </w:r>
      <w:r>
        <w:rPr>
          <w:rFonts w:ascii="Arial" w:cs="Arial" w:eastAsia="Arial" w:hAnsi="Arial"/>
          <w:sz w:val="17"/>
          <w:szCs w:val="17"/>
          <w:color w:val="auto"/>
        </w:rPr>
        <w:t>” means, with respect to any Tranche A Lender, the office(s) of such Lender (or any Affiliate of such Lender) specified as its “Tranche A Lending Office(s)” on Schedule 2.01 or, as to any Person that becomes a Tranche A Lender after the Closing Date, in the Assignment and Assumption executed by such Person, or such other office(s) of such Lender (or an Affiliate of such Lender) as such Lender may hereafter designate from time to time as its “Tranche A Lending Office(s)” by notice to the Company and the Administrative Agent. A Tranche A Lender may designate different Tranche A Lending Offices for Loans to Tranche A Borrowers in different jurisdictions.</w:t>
      </w:r>
    </w:p>
    <w:p>
      <w:pPr>
        <w:spacing w:after="0" w:line="173"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A Percentage</w:t>
      </w:r>
      <w:r>
        <w:rPr>
          <w:rFonts w:ascii="Arial" w:cs="Arial" w:eastAsia="Arial" w:hAnsi="Arial"/>
          <w:sz w:val="16"/>
          <w:szCs w:val="16"/>
          <w:color w:val="auto"/>
        </w:rPr>
        <w:t xml:space="preserve">” means, with respect to any Tranche A Lender at any time, the percentage of the aggregate Tranche A Commitments represented by such Tranche A Lender’s Tranche A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A Commitments have expired or been terminated, the Tranche A Percentages shall be determined on the basis of the Tranche A Commitments most recently in effect, giving effect to any assignments.</w:t>
      </w:r>
    </w:p>
    <w:p>
      <w:pPr>
        <w:spacing w:after="0" w:line="147" w:lineRule="exact"/>
        <w:rPr>
          <w:sz w:val="20"/>
          <w:szCs w:val="20"/>
          <w:color w:val="auto"/>
        </w:rPr>
      </w:pPr>
    </w:p>
    <w:p>
      <w:pPr>
        <w:ind w:right="2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A Revolving Credit Exposure</w:t>
      </w:r>
      <w:r>
        <w:rPr>
          <w:rFonts w:ascii="Arial" w:cs="Arial" w:eastAsia="Arial" w:hAnsi="Arial"/>
          <w:sz w:val="17"/>
          <w:szCs w:val="17"/>
          <w:color w:val="auto"/>
        </w:rPr>
        <w:t>” means, with respect to any Tranche A Lender at any time, the aggregate amount of (a) the sum of the US Dollar Equivalents of such Tranche A Lender’s outstanding Tranche A Loans and (b) such Tranche A Lender’s LC Exposure.</w:t>
      </w:r>
    </w:p>
    <w:p>
      <w:pPr>
        <w:spacing w:after="0" w:line="147" w:lineRule="exact"/>
        <w:rPr>
          <w:sz w:val="20"/>
          <w:szCs w:val="20"/>
          <w:color w:val="auto"/>
        </w:rPr>
      </w:pPr>
    </w:p>
    <w:p>
      <w:pPr>
        <w:jc w:val="both"/>
        <w:ind w:right="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A Loans</w:t>
      </w:r>
      <w:r>
        <w:rPr>
          <w:rFonts w:ascii="Arial" w:cs="Arial" w:eastAsia="Arial" w:hAnsi="Arial"/>
          <w:sz w:val="17"/>
          <w:szCs w:val="17"/>
          <w:color w:val="auto"/>
        </w:rPr>
        <w:t>” means Loans made by the Tranche A Lenders pursuant to Section 2.01(a). Each Tranche A Loan denominated in US Dollars shall be a LIBOR Loan or, solely in the case of a Tranche A Loan denominated in US Dollars and made to a US Borrowing Subsidiary, an ABR Loan. Each Tranche A Loan denominated in Sterling shall be a LIBOR Loan. Each Tranche A Loan denominated in Euros shall be a EURIBOR Loan.</w:t>
      </w:r>
    </w:p>
    <w:p>
      <w:pPr>
        <w:spacing w:after="0" w:line="166"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Subsidiary</w:t>
      </w:r>
      <w:r>
        <w:rPr>
          <w:rFonts w:ascii="Arial" w:cs="Arial" w:eastAsia="Arial" w:hAnsi="Arial"/>
          <w:sz w:val="18"/>
          <w:szCs w:val="18"/>
          <w:color w:val="auto"/>
        </w:rPr>
        <w:t>” means any Subsidiary that is incorporated or otherwise organized under the laws of Guernsey, the United States of America, the United Kingdom, Ireland, Switzerland, Denmark or Cyprus or any political subdivision of any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Borrower</w:t>
      </w:r>
      <w:r>
        <w:rPr>
          <w:rFonts w:ascii="Arial" w:cs="Arial" w:eastAsia="Arial" w:hAnsi="Arial"/>
          <w:sz w:val="18"/>
          <w:szCs w:val="18"/>
          <w:color w:val="auto"/>
        </w:rPr>
        <w:t>” means the Company and any Borrowing Subsidiary that is a Tranche B Subsidiary.</w:t>
      </w:r>
    </w:p>
    <w:p>
      <w:pPr>
        <w:spacing w:after="0" w:line="225"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B Commitment</w:t>
      </w:r>
      <w:r>
        <w:rPr>
          <w:rFonts w:ascii="Arial" w:cs="Arial" w:eastAsia="Arial" w:hAnsi="Arial"/>
          <w:sz w:val="16"/>
          <w:szCs w:val="16"/>
          <w:color w:val="auto"/>
        </w:rPr>
        <w:t>” means, with respect to each Tranche B Lender, the commitment of such Tranche B Lender to make Tranche B Loans pursuant to Section 2.01(a), to accept and purchase BAs pursuant to Section 2.05 hereunder, expressed as an amount representing the maximum aggregate amount of such Tranche B Lender’s Tranche B Revolving Credit Exposure hereunder, as such commitment may be reduced or increased from time to time pursuant to Section 2.08 or assignments by or to such Tranche B Lender pursuant to Section 11.04. The initial amount of each Tranche B Lender’s Tranche B Commitment is set forth on Schedule 2.01 or in the Assignment and Assumption pursuant to which such Tranche B Lender shall have assumed its Tranche B Commitment, as the case may be. The aggregate amount of Tranche B Commitments on the Closing Date is US$300,000,000.</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12" w:name="page313"/>
    <w:bookmarkEnd w:id="31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Tranche B Lender</w:t>
      </w:r>
      <w:r>
        <w:rPr>
          <w:rFonts w:ascii="Arial" w:cs="Arial" w:eastAsia="Arial" w:hAnsi="Arial"/>
          <w:sz w:val="18"/>
          <w:szCs w:val="18"/>
          <w:color w:val="auto"/>
        </w:rPr>
        <w:t>” means a Lender with a Tranche B Commitment or a Tranche B Revolving Credit Exposure.</w:t>
      </w:r>
    </w:p>
    <w:p>
      <w:pPr>
        <w:spacing w:after="0" w:line="225"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B Lending Office</w:t>
      </w:r>
      <w:r>
        <w:rPr>
          <w:rFonts w:ascii="Arial" w:cs="Arial" w:eastAsia="Arial" w:hAnsi="Arial"/>
          <w:sz w:val="17"/>
          <w:szCs w:val="17"/>
          <w:color w:val="auto"/>
        </w:rPr>
        <w:t>” means, with respect to any Tranche B Lender, the office(s) of such Lender (or any Affiliate of such Lender) specified as its “Tranche B Lending Office(s)” on Schedule 2.01 or, as to any Person that becomes a Tranche B Lender after the Closing Date, in the Assignment and Assumption executed by such Person, or such other office(s) of such Lender (or an Affiliate of such Lender) as such Lender may hereafter designate from time to time as its “Tranche B Lending Office(s)” by notice to the Company and the Administrative Agent. A Tranche B Lender may designate different Tranche B Lending Offices for Loans to Tranche B Borrowers in different jurisdictions.</w:t>
      </w:r>
    </w:p>
    <w:p>
      <w:pPr>
        <w:spacing w:after="0" w:line="173"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B Percentage</w:t>
      </w:r>
      <w:r>
        <w:rPr>
          <w:rFonts w:ascii="Arial" w:cs="Arial" w:eastAsia="Arial" w:hAnsi="Arial"/>
          <w:sz w:val="16"/>
          <w:szCs w:val="16"/>
          <w:color w:val="auto"/>
        </w:rPr>
        <w:t xml:space="preserve">” means, with respect to any Tranche B Lender at any time, the percentage of the aggregate Tranche B Commitments represented by such Tranche B Lender’s Tranche B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B Commitments have expired or been terminated, the Tranche B Percentages shall be determined on the basis of the Tranche B Commitments most recently in effect, giving effect to any assignments.</w:t>
      </w:r>
    </w:p>
    <w:p>
      <w:pPr>
        <w:spacing w:after="0" w:line="14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Revolving Credit Exposure</w:t>
      </w:r>
      <w:r>
        <w:rPr>
          <w:rFonts w:ascii="Arial" w:cs="Arial" w:eastAsia="Arial" w:hAnsi="Arial"/>
          <w:sz w:val="18"/>
          <w:szCs w:val="18"/>
          <w:color w:val="auto"/>
        </w:rPr>
        <w:t>” means, with respect to any Tranche B Lender at any time, the aggregate amount of (a) the sum of the US Dollar Equivalents of such Tranche B Lender’s outstanding Tranche B Loans and (b) the sum of the US Dollar Equivalents at such time of the face amounts of the BAs accepted by such Tranche B Lender and outstanding at such time.</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B Loans</w:t>
      </w:r>
      <w:r>
        <w:rPr>
          <w:rFonts w:ascii="Arial" w:cs="Arial" w:eastAsia="Arial" w:hAnsi="Arial"/>
          <w:sz w:val="17"/>
          <w:szCs w:val="17"/>
          <w:color w:val="auto"/>
        </w:rPr>
        <w:t>” means Loans made by the Tranche B Lenders pursuant to Section 2.01(b). Each Tranche B Loan denominated in US Dollars shall be a LIBOR Loan or, solely in the case of a Tranche B Loan denominated in US Dollars and made to a US Borrowing Subsidiary or a Canadian Borrowing Subsidiary, an ABR Loan. Each Tranche B Loan denominated in Sterling shall be a LIBOR Loan. Each Tranche B Loan denominated in Euros shall be a EURIBOR Loan. Each Tranche B Loan denominated in Canadian Dollars shall be a Canadian Prime Rate Loan.</w:t>
      </w:r>
    </w:p>
    <w:p>
      <w:pPr>
        <w:spacing w:after="0" w:line="171" w:lineRule="exact"/>
        <w:rPr>
          <w:sz w:val="20"/>
          <w:szCs w:val="20"/>
          <w:color w:val="auto"/>
        </w:rPr>
      </w:pPr>
    </w:p>
    <w:p>
      <w:pPr>
        <w:ind w:right="4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B Subsidiary</w:t>
      </w:r>
      <w:r>
        <w:rPr>
          <w:rFonts w:ascii="Arial" w:cs="Arial" w:eastAsia="Arial" w:hAnsi="Arial"/>
          <w:sz w:val="17"/>
          <w:szCs w:val="17"/>
          <w:color w:val="auto"/>
        </w:rPr>
        <w:t>” means any Subsidiary that is incorporated or otherwise organized under the laws of Guernsey, the United States of America, the United Kingdom, Ireland, Switzerland, Denmark, Cyprus or Canada or any political subdivision of any thereof.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Borrower</w:t>
      </w:r>
      <w:r>
        <w:rPr>
          <w:rFonts w:ascii="Arial" w:cs="Arial" w:eastAsia="Arial" w:hAnsi="Arial"/>
          <w:sz w:val="18"/>
          <w:szCs w:val="18"/>
          <w:color w:val="auto"/>
        </w:rPr>
        <w:t>” means any Borrowing Subsidiary that is a Tranche C Subsidiary.</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C Commitment</w:t>
      </w:r>
      <w:r>
        <w:rPr>
          <w:rFonts w:ascii="Arial" w:cs="Arial" w:eastAsia="Arial" w:hAnsi="Arial"/>
          <w:sz w:val="17"/>
          <w:szCs w:val="17"/>
          <w:color w:val="auto"/>
        </w:rPr>
        <w:t>” means, with respect to each Tranche C Lender, the commitment of such Tranche C Lender to make Tranche C Loans pursuant to Section 2.01(c), expressed as an amount representing the maximum aggregate amount of such Tranche C Lender’s Tranche C Revolving Credit Exposure hereunder, as such commitment may be reduced or increased from time to time pursuant to Section 2.08 or assignments by or to such Tranche C Lender pursuant to Section 11.04. The initial amount of each Tranche C Lender’s Tranche C Commitment is set forth on Schedule 2.01, or in the Assignment and Assumption pursuant to which such Tranche C Lender shall have assumed its Tranche C Commitment, as the case may be. The aggregate amount of Tranche C Commitments on the Closing Date is US$0.</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73" w:right="319" w:bottom="1440" w:gutter="0" w:footer="0" w:header="0"/>
        </w:sectPr>
      </w:pPr>
    </w:p>
    <w:bookmarkStart w:id="313" w:name="page314"/>
    <w:bookmarkEnd w:id="3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Tranche C Lender</w:t>
      </w:r>
      <w:r>
        <w:rPr>
          <w:rFonts w:ascii="Arial" w:cs="Arial" w:eastAsia="Arial" w:hAnsi="Arial"/>
          <w:sz w:val="18"/>
          <w:szCs w:val="18"/>
          <w:color w:val="auto"/>
        </w:rPr>
        <w:t>” means a Lender with a Tranche C Commitment or a Tranche C Revolving Credit Exposure.</w:t>
      </w:r>
    </w:p>
    <w:p>
      <w:pPr>
        <w:spacing w:after="0" w:line="225"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C Lending Office</w:t>
      </w:r>
      <w:r>
        <w:rPr>
          <w:rFonts w:ascii="Arial" w:cs="Arial" w:eastAsia="Arial" w:hAnsi="Arial"/>
          <w:sz w:val="17"/>
          <w:szCs w:val="17"/>
          <w:color w:val="auto"/>
        </w:rPr>
        <w:t>” means, with respect to any Tranche C Lender, the office(s) of such Lender (or any Affiliate of such Lender) specified as its “Tranche C Lending Office(s)” on Schedule 2.01 or, as to any Person that becomes a Tranche C Lender after the Closing Date, in the Assignment and Assumption executed by such Person, or such other office(s) of such Lender (or an Affiliate of such Lender) as such Lender may hereafter designate from time to time as its “Tranche C Lending Office(s)” by notice to the Company and the Administrative Agent.</w:t>
      </w:r>
    </w:p>
    <w:p>
      <w:pPr>
        <w:spacing w:after="0" w:line="17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C Percentage</w:t>
      </w:r>
      <w:r>
        <w:rPr>
          <w:rFonts w:ascii="Arial" w:cs="Arial" w:eastAsia="Arial" w:hAnsi="Arial"/>
          <w:sz w:val="16"/>
          <w:szCs w:val="16"/>
          <w:color w:val="auto"/>
        </w:rPr>
        <w:t xml:space="preserve">” means, with respect to any Tranche C Lender at any time, the percentage of the aggregate Tranche C Commitments represented by such Tranche C Lender’s Tranche C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C Commitments have expired or been terminated, the Tranche C Percentages shall be determined on the basis of the Tranche C Commitments most recently in effect, giving effect to any assignments.</w:t>
      </w:r>
    </w:p>
    <w:p>
      <w:pPr>
        <w:spacing w:after="0" w:line="14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Revolving Credit Exposure</w:t>
      </w:r>
      <w:r>
        <w:rPr>
          <w:rFonts w:ascii="Arial" w:cs="Arial" w:eastAsia="Arial" w:hAnsi="Arial"/>
          <w:sz w:val="18"/>
          <w:szCs w:val="18"/>
          <w:color w:val="auto"/>
        </w:rPr>
        <w:t>” means, with respect to any Tranche C Lender at any time, the aggregate amount of the sum of the US Dollar Equivalents of such Tranche C Lender’s outstanding Tranche C Loans.</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Loans</w:t>
      </w:r>
      <w:r>
        <w:rPr>
          <w:rFonts w:ascii="Arial" w:cs="Arial" w:eastAsia="Arial" w:hAnsi="Arial"/>
          <w:sz w:val="18"/>
          <w:szCs w:val="18"/>
          <w:color w:val="auto"/>
        </w:rPr>
        <w:t>” means Loans made by the Tranche C Lenders pursuant to Section 2.01(a). Each Tranche C Loan shall be a LIBOR Loan or an ABR Loan.</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Subsidiary</w:t>
      </w:r>
      <w:r>
        <w:rPr>
          <w:rFonts w:ascii="Arial" w:cs="Arial" w:eastAsia="Arial" w:hAnsi="Arial"/>
          <w:sz w:val="18"/>
          <w:szCs w:val="18"/>
          <w:color w:val="auto"/>
        </w:rPr>
        <w:t>” means any Subsidiary that is incorporated or otherwise organized under the laws of the United States of America or any political subdivision thereof.</w:t>
      </w:r>
    </w:p>
    <w:p>
      <w:pPr>
        <w:spacing w:after="0" w:line="170"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execution, delivery and performance by each Credit Party of the Credit Documents to which it is to be a party, the making of the Loans, the acceptance and purchase of the BAs, the use of the proceeds thereof, the issuance of the Letters of Credit, the creation of the Guarantee provided for in Article X and the other transactions contemplated hereby.</w:t>
      </w:r>
    </w:p>
    <w:p>
      <w:pPr>
        <w:spacing w:after="0" w:line="181"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Type</w:t>
      </w:r>
      <w:r>
        <w:rPr>
          <w:rFonts w:ascii="Arial" w:cs="Arial" w:eastAsia="Arial" w:hAnsi="Arial"/>
          <w:sz w:val="16"/>
          <w:szCs w:val="16"/>
          <w:color w:val="auto"/>
        </w:rPr>
        <w:t>”, when used in reference to any Loan or Borrowing, refers to whether the rate of interest on such Loan, or on the Loans comprising such Borrowing, is determined by reference to the Adjusted LIBO Rate, LIBO Rate, the EURIBO Rate, the Alternate Base Rate or the Canadian Prime Rate.</w:t>
      </w:r>
    </w:p>
    <w:p>
      <w:pPr>
        <w:spacing w:after="0" w:line="124"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Borrowing Subsidiary</w:t>
      </w:r>
      <w:r>
        <w:rPr>
          <w:rFonts w:ascii="Arial" w:cs="Arial" w:eastAsia="Arial" w:hAnsi="Arial"/>
          <w:sz w:val="18"/>
          <w:szCs w:val="18"/>
          <w:color w:val="auto"/>
        </w:rPr>
        <w:t>” means (i) any Borrowing Subsidiary that is incorporated or otherwise organized under the laws of the United Kingdom or (ii) any other Borrowing Subsidiary obligated to make payments hereunder or under any other Credit Document that are potentially subject to withholding taxes imposed by the laws of the United Kingdom.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DTTP Scheme</w:t>
      </w:r>
      <w:r>
        <w:rPr>
          <w:rFonts w:ascii="Arial" w:cs="Arial" w:eastAsia="Arial" w:hAnsi="Arial"/>
          <w:sz w:val="18"/>
          <w:szCs w:val="18"/>
          <w:color w:val="auto"/>
        </w:rPr>
        <w:t>” means the Double Taxation Treaty Passport Scheme administered by HMRC.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4" w:right="319" w:bottom="1440" w:gutter="0" w:footer="0" w:header="0"/>
        </w:sectPr>
      </w:pPr>
    </w:p>
    <w:bookmarkStart w:id="314" w:name="page315"/>
    <w:bookmarkEnd w:id="314"/>
    <w:p>
      <w:pPr>
        <w:ind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US Base Rate</w:t>
      </w:r>
      <w:r>
        <w:rPr>
          <w:rFonts w:ascii="Arial" w:cs="Arial" w:eastAsia="Arial" w:hAnsi="Arial"/>
          <w:sz w:val="17"/>
          <w:szCs w:val="17"/>
          <w:color w:val="auto"/>
        </w:rPr>
        <w:t>” means the reference rate of interest (however designated) announced from time to time by JPMorgan Chase Bank, N.A., Toronto Branch, as its reference rate for determining interest chargeable by it on commercial loans made in Canada and denominated in US Dollars. Each change in the US Base Rate shall be effective from and including the date such change is publicly announced as being effective.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Borrowing Subsidiary</w:t>
      </w:r>
      <w:r>
        <w:rPr>
          <w:rFonts w:ascii="Arial" w:cs="Arial" w:eastAsia="Arial" w:hAnsi="Arial"/>
          <w:sz w:val="18"/>
          <w:szCs w:val="18"/>
          <w:color w:val="auto"/>
        </w:rPr>
        <w:t>” means any Borrowing Subsidiary that is a US Subsidiary.</w:t>
      </w:r>
    </w:p>
    <w:p>
      <w:pPr>
        <w:spacing w:after="0" w:line="225"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Dollar Equivalent</w:t>
      </w:r>
      <w:r>
        <w:rPr>
          <w:rFonts w:ascii="Arial" w:cs="Arial" w:eastAsia="Arial" w:hAnsi="Arial"/>
          <w:sz w:val="17"/>
          <w:szCs w:val="17"/>
          <w:color w:val="auto"/>
        </w:rPr>
        <w:t>” means, on any date of determination, (a) with respect to any amount in US Dollars, such amount and (b) with respect to any amount in any currency other than US Dollars, the equivalent in US Dollars of such amount, determined by the Administrative Agent pursuant to Section 1.05 using the Exchange Rate with respect to such currency at the time in effect under the provisions of such Section.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Subsidiary</w:t>
      </w:r>
      <w:r>
        <w:rPr>
          <w:rFonts w:ascii="Arial" w:cs="Arial" w:eastAsia="Arial" w:hAnsi="Arial"/>
          <w:sz w:val="17"/>
          <w:szCs w:val="17"/>
          <w:color w:val="auto"/>
        </w:rPr>
        <w:t>” means any Subsidiary that is organized under the laws of the United States of America, any State thereof or the District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211"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 and the rules and regulations promulgated or issued thereunder.</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Classification of Loans and Borrowings.</w:t>
      </w:r>
      <w:r>
        <w:rPr>
          <w:rFonts w:ascii="Arial" w:cs="Arial" w:eastAsia="Arial" w:hAnsi="Arial"/>
          <w:sz w:val="16"/>
          <w:szCs w:val="16"/>
          <w:color w:val="auto"/>
        </w:rPr>
        <w:t xml:space="preserve"> For purposes of this Agreement, Loans may be classified and referred to by Class (</w:t>
      </w:r>
      <w:r>
        <w:rPr>
          <w:rFonts w:ascii="Arial" w:cs="Arial" w:eastAsia="Arial" w:hAnsi="Arial"/>
          <w:sz w:val="16"/>
          <w:szCs w:val="16"/>
          <w:u w:val="single" w:color="auto"/>
          <w:color w:val="auto"/>
        </w:rPr>
        <w:t>e.g.</w:t>
      </w:r>
      <w:r>
        <w:rPr>
          <w:rFonts w:ascii="Arial" w:cs="Arial" w:eastAsia="Arial" w:hAnsi="Arial"/>
          <w:sz w:val="16"/>
          <w:szCs w:val="16"/>
          <w:color w:val="auto"/>
        </w:rPr>
        <w:t>, a “Tranche A Loan”) or by Type (</w:t>
      </w:r>
      <w:r>
        <w:rPr>
          <w:rFonts w:ascii="Arial" w:cs="Arial" w:eastAsia="Arial" w:hAnsi="Arial"/>
          <w:sz w:val="16"/>
          <w:szCs w:val="16"/>
          <w:u w:val="single" w:color="auto"/>
          <w:color w:val="auto"/>
        </w:rPr>
        <w:t>e.g.</w:t>
      </w:r>
      <w:r>
        <w:rPr>
          <w:rFonts w:ascii="Arial" w:cs="Arial" w:eastAsia="Arial" w:hAnsi="Arial"/>
          <w:sz w:val="16"/>
          <w:szCs w:val="16"/>
          <w:color w:val="auto"/>
        </w:rPr>
        <w:t>, a “LIBOR Loan”) or by Class and Type (</w:t>
      </w:r>
      <w:r>
        <w:rPr>
          <w:rFonts w:ascii="Arial" w:cs="Arial" w:eastAsia="Arial" w:hAnsi="Arial"/>
          <w:sz w:val="16"/>
          <w:szCs w:val="16"/>
          <w:u w:val="single" w:color="auto"/>
          <w:color w:val="auto"/>
        </w:rPr>
        <w:t>e.g.</w:t>
      </w:r>
      <w:r>
        <w:rPr>
          <w:rFonts w:ascii="Arial" w:cs="Arial" w:eastAsia="Arial" w:hAnsi="Arial"/>
          <w:sz w:val="16"/>
          <w:szCs w:val="16"/>
          <w:color w:val="auto"/>
        </w:rPr>
        <w:t>, a “Tranche A LIBOR Loan”). Borrowings also may be classified and referred to by Class (</w:t>
      </w:r>
      <w:r>
        <w:rPr>
          <w:rFonts w:ascii="Arial" w:cs="Arial" w:eastAsia="Arial" w:hAnsi="Arial"/>
          <w:sz w:val="16"/>
          <w:szCs w:val="16"/>
          <w:u w:val="single" w:color="auto"/>
          <w:color w:val="auto"/>
        </w:rPr>
        <w:t>e.g.</w:t>
      </w:r>
      <w:r>
        <w:rPr>
          <w:rFonts w:ascii="Arial" w:cs="Arial" w:eastAsia="Arial" w:hAnsi="Arial"/>
          <w:sz w:val="16"/>
          <w:szCs w:val="16"/>
          <w:color w:val="auto"/>
        </w:rPr>
        <w:t>, a “Tranche A Borrowing”) or by Type (</w:t>
      </w:r>
      <w:r>
        <w:rPr>
          <w:rFonts w:ascii="Arial" w:cs="Arial" w:eastAsia="Arial" w:hAnsi="Arial"/>
          <w:sz w:val="16"/>
          <w:szCs w:val="16"/>
          <w:u w:val="single" w:color="auto"/>
          <w:color w:val="auto"/>
        </w:rPr>
        <w:t>e.g.</w:t>
      </w:r>
      <w:r>
        <w:rPr>
          <w:rFonts w:ascii="Arial" w:cs="Arial" w:eastAsia="Arial" w:hAnsi="Arial"/>
          <w:sz w:val="16"/>
          <w:szCs w:val="16"/>
          <w:color w:val="auto"/>
        </w:rPr>
        <w:t>, a “LIBOR Borrowing”) or by Class and Type (</w:t>
      </w:r>
      <w:r>
        <w:rPr>
          <w:rFonts w:ascii="Arial" w:cs="Arial" w:eastAsia="Arial" w:hAnsi="Arial"/>
          <w:sz w:val="16"/>
          <w:szCs w:val="16"/>
          <w:u w:val="single" w:color="auto"/>
          <w:color w:val="auto"/>
        </w:rPr>
        <w:t>e.g.</w:t>
      </w:r>
      <w:r>
        <w:rPr>
          <w:rFonts w:ascii="Arial" w:cs="Arial" w:eastAsia="Arial" w:hAnsi="Arial"/>
          <w:sz w:val="16"/>
          <w:szCs w:val="16"/>
          <w:color w:val="auto"/>
        </w:rPr>
        <w:t>, a “Tranche A LIBOR Borrowing”).</w:t>
      </w:r>
    </w:p>
    <w:p>
      <w:pPr>
        <w:spacing w:after="0" w:line="14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3" w:right="279" w:bottom="1440" w:gutter="0" w:footer="0" w:header="0"/>
        </w:sectPr>
      </w:pPr>
    </w:p>
    <w:bookmarkStart w:id="315" w:name="page316"/>
    <w:bookmarkEnd w:id="31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such amendments, supplements or modifications set forth herein), (b) any definition of or reference to any statute, regulation or other law herein shall be construed (i) as referring to such statute, regulation or other law as from time to time amended, supplemented or otherwise modified (including by succession of comparable successor statutes, regulations or other laws) and (ii) to include all official rulings and interpretations thereunder having the force of law or with which affected Persons customarily comply, (c) any reference herein to any Person shall be construed to include such Person’s successors and assigns,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66"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 Pro Forma Computations.</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parties hereto shall negotiate in good faith with a view to agreeing on an amendment of such provision that will preserve the original intent thereof while giving effect to such change in GAAP.</w:t>
      </w:r>
    </w:p>
    <w:p>
      <w:pPr>
        <w:spacing w:after="0" w:line="166"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Currency Translation.</w:t>
      </w:r>
      <w:r>
        <w:rPr>
          <w:rFonts w:ascii="Arial" w:cs="Arial" w:eastAsia="Arial" w:hAnsi="Arial"/>
          <w:sz w:val="17"/>
          <w:szCs w:val="17"/>
          <w:color w:val="auto"/>
        </w:rPr>
        <w:t xml:space="preserve"> The Administrative Agent shall determine the US Dollar Equivalent of any Borrowing denominated in a currency other than US Dollars, other than a Canadian Prime Rate Borrowing, as of the date of the commencement of the initial Interest Period therefor and as of the date of the commencement of each subsequent Interest Period therefor, in each case using the Exchange Rate for such currency in relation to US Dollars in effect on the date that is three Business Days prior to the date on which the applicable Interest Period shall commence, and each such amount shall, except as provided in the last two sentences of this Section, be the US Dollar Equivalent of such Borrowing until the next required calculation thereof pursuant to this sentence. The Administrative Agent shall determine the US Dollar Equivalent of any Letter of Credit denominated in a currency other than US Dollars as of the date such Letter of Credit is issued, amended to increase its face amount, extended or renewed and as of the last Business Day of each subsequent calendar month, in each case using the Exchange Rate for such currency in relation to US Dollars in effect on the date that is three Business Days prior to the date on which such Letter of Credit is issued, amended to increase its face amount, extended or renewed or the last Business Day of such subsequent calendar month, as the case may be, and each such amount shall, except as provided in the last two sentences of this Section, be the US Dollar Equivalent of such Letter of Credit until the next required calculation thereof pursuant to this sentence. The Administrative Agent shall determine the US Dollar Equivalent of any Canadian Prime Rate Borrowing or BA as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3" w:right="239" w:bottom="1440" w:gutter="0" w:footer="0" w:header="0"/>
        </w:sectPr>
      </w:pPr>
    </w:p>
    <w:bookmarkStart w:id="316" w:name="page317"/>
    <w:bookmarkEnd w:id="31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on which such Borrowing is made or such BA is accepted and purchased and as of the last Business Day of each subsequent calendar quarter, in each case using the Exchange Rate for such currency in relation to US Dollars in effect on the last Business Day preceding the date of such Borrowing or acceptance and purchase and as of the last Business Day of such subsequent calendar quarter, as the case may be, and each such amount shall, except as provided in the last two sentences of this Section, be the US Dollar Equivalent of such Borrowing or BA until the next required calculation thereof pursuant to this sentence. The Administrative Agent shall notify the Company and the Lenders of each calculation of the US Dollar Equivalent of each Borrowing, BA or Letter of Credit. Notwithstanding the foregoing, for purposes of any determination of the CAM Percentages, any determination under Article V, Article VI (other than Sections 6.06 and 6.07) or Article VII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 6.06 and 6.07, amounts in currencies other than US Dollars shall be translated into US Dollars at the currency exchange rates used in preparing the Company’s annual and quarterly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Commitments.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Tranche A Commitments.</w:t>
      </w:r>
      <w:r>
        <w:rPr>
          <w:rFonts w:ascii="Arial" w:cs="Arial" w:eastAsia="Arial" w:hAnsi="Arial"/>
          <w:sz w:val="16"/>
          <w:szCs w:val="16"/>
          <w:color w:val="auto"/>
        </w:rPr>
        <w:t xml:space="preserve"> Subject to the terms and conditions set forth herein, each Tranche A Lender agrees to make Tranche A Loans denominated in US Dollars, Sterling and Euro to the Tranche A Borrowers from time to time during the Availability Period in an aggregate principal amount at any time outstanding that will not result in (A) the aggregate Tranche A Revolving Credit Exposures exceeding the aggregate Tranche A Commitments or (B) the Tranche A Revolving Credit Exposure of any Lender exceeding its Tranche A Commitment. Within the foregoing limits and subject to the terms and conditions set forth herein, the Tranche A Borrowers may borrow, prepay and reborrow Tranche A Loans.</w:t>
      </w:r>
    </w:p>
    <w:p>
      <w:pPr>
        <w:spacing w:after="0" w:line="50" w:lineRule="exact"/>
        <w:rPr>
          <w:sz w:val="20"/>
          <w:szCs w:val="20"/>
          <w:color w:val="auto"/>
        </w:rPr>
      </w:pPr>
    </w:p>
    <w:p>
      <w:pPr>
        <w:ind w:right="80" w:firstLine="921"/>
        <w:spacing w:after="0" w:line="285" w:lineRule="auto"/>
        <w:tabs>
          <w:tab w:leader="none" w:pos="1168" w:val="left"/>
        </w:tabs>
        <w:numPr>
          <w:ilvl w:val="1"/>
          <w:numId w:val="333"/>
        </w:numPr>
        <w:rPr>
          <w:rFonts w:ascii="Arial" w:cs="Arial" w:eastAsia="Arial" w:hAnsi="Arial"/>
          <w:sz w:val="16"/>
          <w:szCs w:val="16"/>
          <w:color w:val="auto"/>
        </w:rPr>
      </w:pPr>
      <w:r>
        <w:rPr>
          <w:rFonts w:ascii="Arial" w:cs="Arial" w:eastAsia="Arial" w:hAnsi="Arial"/>
          <w:sz w:val="16"/>
          <w:szCs w:val="16"/>
          <w:u w:val="single" w:color="auto"/>
          <w:color w:val="auto"/>
        </w:rPr>
        <w:t>Tranche B Commitments.</w:t>
      </w:r>
      <w:r>
        <w:rPr>
          <w:rFonts w:ascii="Arial" w:cs="Arial" w:eastAsia="Arial" w:hAnsi="Arial"/>
          <w:sz w:val="16"/>
          <w:szCs w:val="16"/>
          <w:color w:val="auto"/>
        </w:rPr>
        <w:t xml:space="preserve"> Subject to the terms and conditions set forth herein, each Tranche B Lender agrees (i) to make Tranche B Loans denominated in US Dollars, Sterling and Euro to the Tranche B Borrowers other than the Canadian Borrowing Subsidiaries, (ii) to make Tranche B Loans denominated in US Dollars and Canadian Dollars to the Canadian Borrowing Subsidiaries and (iii) to accept and purchase drafts drawn by Canadian Borrowing Subsidiaries in Canadian Dollars as BAs, in each case from time to time during the Availability Period in an aggregate principal or face amount at any time outstanding that will not result in (A) the aggregate Tranche B Revolving Credit Exposures exceeding the aggregate Tranche B Commitments or</w:t>
      </w:r>
    </w:p>
    <w:p>
      <w:pPr>
        <w:spacing w:after="0" w:line="2" w:lineRule="exact"/>
        <w:rPr>
          <w:rFonts w:ascii="Arial" w:cs="Arial" w:eastAsia="Arial" w:hAnsi="Arial"/>
          <w:sz w:val="16"/>
          <w:szCs w:val="16"/>
          <w:color w:val="auto"/>
        </w:rPr>
      </w:pPr>
    </w:p>
    <w:p>
      <w:pPr>
        <w:ind w:right="160" w:firstLine="8"/>
        <w:spacing w:after="0" w:line="323" w:lineRule="auto"/>
        <w:tabs>
          <w:tab w:leader="none" w:pos="28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Tranche B Revolving Credit Exposure of any Lender exceeding its Tranche B Commitment. Within the foregoing limits and subject to the terms and conditions set forth herein, the Tranche B Borrowers may borrow, prepay and reborrow Tranche B Loans and issue and sell drafts drawn as BAs.</w:t>
      </w:r>
    </w:p>
    <w:p>
      <w:pPr>
        <w:spacing w:after="0" w:line="30" w:lineRule="exact"/>
        <w:rPr>
          <w:rFonts w:ascii="Arial" w:cs="Arial" w:eastAsia="Arial" w:hAnsi="Arial"/>
          <w:sz w:val="16"/>
          <w:szCs w:val="16"/>
          <w:color w:val="auto"/>
        </w:rPr>
      </w:pPr>
    </w:p>
    <w:p>
      <w:pPr>
        <w:ind w:right="520" w:firstLine="921"/>
        <w:spacing w:after="0" w:line="342" w:lineRule="auto"/>
        <w:tabs>
          <w:tab w:leader="none" w:pos="1157" w:val="left"/>
        </w:tabs>
        <w:numPr>
          <w:ilvl w:val="1"/>
          <w:numId w:val="334"/>
        </w:numPr>
        <w:rPr>
          <w:rFonts w:ascii="Arial" w:cs="Arial" w:eastAsia="Arial" w:hAnsi="Arial"/>
          <w:sz w:val="16"/>
          <w:szCs w:val="16"/>
          <w:color w:val="auto"/>
        </w:rPr>
      </w:pPr>
      <w:r>
        <w:rPr>
          <w:rFonts w:ascii="Arial" w:cs="Arial" w:eastAsia="Arial" w:hAnsi="Arial"/>
          <w:sz w:val="16"/>
          <w:szCs w:val="16"/>
          <w:u w:val="single" w:color="auto"/>
          <w:color w:val="auto"/>
        </w:rPr>
        <w:t>Tranche C Commitments.</w:t>
      </w:r>
      <w:r>
        <w:rPr>
          <w:rFonts w:ascii="Arial" w:cs="Arial" w:eastAsia="Arial" w:hAnsi="Arial"/>
          <w:sz w:val="16"/>
          <w:szCs w:val="16"/>
          <w:color w:val="auto"/>
        </w:rPr>
        <w:t xml:space="preserve"> Subject to the terms and conditions set forth herein, each Tranche C Lender agrees to make Tranche C Loans denominated in US Dollars to the Tranche C Borrowers from time to time during the Availability Period in an aggregate principal amount at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17" w:name="page318"/>
    <w:bookmarkEnd w:id="3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time outstanding that will not result in (i) the aggregate Tranche C Revolving Credit Exposures exceeding the aggregate Tranche C Commitments or</w:t>
      </w:r>
    </w:p>
    <w:p>
      <w:pPr>
        <w:spacing w:after="0" w:line="46" w:lineRule="exact"/>
        <w:rPr>
          <w:sz w:val="20"/>
          <w:szCs w:val="20"/>
          <w:color w:val="auto"/>
        </w:rPr>
      </w:pPr>
    </w:p>
    <w:p>
      <w:pPr>
        <w:ind w:right="140" w:firstLine="8"/>
        <w:spacing w:after="0" w:line="261" w:lineRule="auto"/>
        <w:tabs>
          <w:tab w:leader="none" w:pos="26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Tranche C Revolving Credit Exposure of any Lender exceeding its Tranche C Commitment. Within the foregoing limits and subject to the terms and conditions set forth herein, the Tranche C Borrowers may borrow, prepay and reborrow Tranche B Loans.</w:t>
      </w:r>
    </w:p>
    <w:p>
      <w:pPr>
        <w:spacing w:after="0" w:line="184"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Loans and Borrowings.</w:t>
      </w:r>
      <w:r>
        <w:rPr>
          <w:rFonts w:ascii="Arial" w:cs="Arial" w:eastAsia="Arial" w:hAnsi="Arial"/>
          <w:sz w:val="16"/>
          <w:szCs w:val="16"/>
          <w:color w:val="auto"/>
        </w:rPr>
        <w:t xml:space="preserve"> (a) Each Tranche A Loan shall be made as part of a Tranche A Borrowing consisting of Tranche A Loans of the same Type and currency made by the Tranche A Lenders ratably in accordance with their respective Tranche A Commitments. Each Tranche B Loan shall be made as part of a Tranche B Borrowing consisting of Tranche B Loans of the same Type and currency made by the Tranche B Lenders ratably in accordance with their respective Tranche B Commitments. Each Tranche C Loan shall be made as part of a Tranche C Borrowing consisting of Tranche C Loans of the same Type made by the Tranche C Lenders ratably in accordance with their respective Tranche C Commitments. The failure of any Lender to make any Loan required to be made by it shall not relieve any other Lender of its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w:t>
      </w:r>
    </w:p>
    <w:p>
      <w:pPr>
        <w:spacing w:after="0" w:line="59" w:lineRule="exact"/>
        <w:rPr>
          <w:sz w:val="20"/>
          <w:szCs w:val="20"/>
          <w:color w:val="auto"/>
        </w:rPr>
      </w:pPr>
    </w:p>
    <w:p>
      <w:pPr>
        <w:ind w:right="120" w:firstLine="921"/>
        <w:spacing w:after="0" w:line="255" w:lineRule="auto"/>
        <w:tabs>
          <w:tab w:leader="none" w:pos="1168"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Subject to Section 2.13, (i) each Borrowing denominated in US Dollars shall be comprised entirely of (A) LIBOR Loans or (B) solely in the case of any such Borrowing by a US Borrowing Subsidiary or a Canadian Borrowing Subsidiary, ABR Loans, (ii) each Borrowing denominated in Sterling shall be comprised entirely of LIBOR Loans, (iii) each Borrowing denominated in Euros shall be comprised entirely of EURIBOR Loans and (iv) each Borrowing denominated in Canadian Dollars shall be comprised entirely of Canadian Prime Rate Loans. Each Lender at its option may make any Loan or accept and purchase any BA by causing any domestic or foreign branch or Affiliate of such Lender to make such Loan or accept and purchase such BA;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exercise of such option shall not affect the obligation of the applicable Borrower to repay such Loan in accordance with the terms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the obligations of any Lender under Section 2.18.</w:t>
      </w:r>
    </w:p>
    <w:p>
      <w:pPr>
        <w:spacing w:after="0" w:line="81" w:lineRule="exact"/>
        <w:rPr>
          <w:rFonts w:ascii="Arial" w:cs="Arial" w:eastAsia="Arial" w:hAnsi="Arial"/>
          <w:sz w:val="18"/>
          <w:szCs w:val="18"/>
          <w:color w:val="auto"/>
        </w:rPr>
      </w:pPr>
    </w:p>
    <w:p>
      <w:pPr>
        <w:ind w:firstLine="921"/>
        <w:spacing w:after="0" w:line="288" w:lineRule="auto"/>
        <w:tabs>
          <w:tab w:leader="none" w:pos="1158" w:val="left"/>
        </w:tabs>
        <w:numPr>
          <w:ilvl w:val="1"/>
          <w:numId w:val="336"/>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LIBOR Borrowing or EURIBOR Borrowing, such Borrowing shall be in an aggregate amount that is an integral multiple of the Borrowing Multiple and not less than the Borrowing Minimum. At the time that each ABR Borrowing is made, such Borrowing shall be in an aggregate amount that is an integral multiple of the Borrowing Multiple and not less than the Borrowing Minimum;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ind w:right="100" w:firstLine="8"/>
        <w:spacing w:after="0" w:line="252" w:lineRule="auto"/>
        <w:tabs>
          <w:tab w:leader="none" w:pos="21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an ABR Borrowing under any Tranche may be in an aggregate amount that is equal to the entire unused balance of the Commitments under such Tranche and (ii) a Tranche A Borrowing that is required to finance the reimbursement of an LC Disbursement as contemplated by Section 2.04(e) may be in an aggregate amount equal to the amount of such LC Disbursement. At the time that each Canadian Prime Rate Borrowing is made, such Borrowing shall be in an aggregate amount that is an integral multiple of the Borrowing Multiple and not less than the Borrowing Minimum. Borrowings of more than one Type may be outstanding at the same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not at any time be more than a total of 10 LIBOR Borrowings and EURIBOR Borrowings outstanding.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3" w:right="279" w:bottom="1440" w:gutter="0" w:footer="0" w:header="0"/>
        </w:sectPr>
      </w:pPr>
    </w:p>
    <w:bookmarkStart w:id="318" w:name="page319"/>
    <w:bookmarkEnd w:id="318"/>
    <w:p>
      <w:pPr>
        <w:ind w:right="460" w:firstLine="921"/>
        <w:spacing w:after="0" w:line="277" w:lineRule="auto"/>
        <w:tabs>
          <w:tab w:leader="none" w:pos="1168" w:val="left"/>
        </w:tabs>
        <w:numPr>
          <w:ilvl w:val="0"/>
          <w:numId w:val="3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this Agreement, no Borrower shall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 xml:space="preserve"> To request a Borrowing, the applicable Borrower shall notify the Applicable Agent by telephone confirmed promptly by hand delivery or telecopy to such Applicable Agent of a written Borrowing Request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any other form approved by the Administrative Agent and signed by a Financial Officer of the Company (a) in the case of a LIBOR Borrowing denominated in US Dollars, not later than 11:00 a.m., Local Time, three Business Days before the date of the proposed Borrowing, (b) in the case of a LIBOR Borrowing denominated in Sterling or a EURIBOR Borrowing, not later than 11:00 a.m., Local Time, three Business Days before the date of the proposed Borrowing, (c) (i) in the case of an ABR Borrowing under Tranche A, not later than 12:00 noon, Local Time, on the day of such proposed Borrowing and (ii) in the case of an ABR Borrowing under Tranche B or under Tranche C, not later than 12:00 noon, Local Time, on the day of such proposed Borrowing and (d) in the case of a Canadian Prime Rate Borrowing, not later than 1:30 pm, Local Time, one Business Day before the date of the proposed Borrowing. Each such telephonic and written Borrowing Request shall specify the following information in compliance with Section 2.02:</w:t>
      </w:r>
    </w:p>
    <w:p>
      <w:pPr>
        <w:spacing w:after="0" w:line="74" w:lineRule="exact"/>
        <w:rPr>
          <w:sz w:val="20"/>
          <w:szCs w:val="20"/>
          <w:color w:val="auto"/>
        </w:rPr>
      </w:pPr>
    </w:p>
    <w:p>
      <w:pPr>
        <w:ind w:left="1700" w:hanging="208"/>
        <w:spacing w:after="0"/>
        <w:tabs>
          <w:tab w:leader="none" w:pos="17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Borrower requesting such Borrowing;</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Tranche under which such Borrowing is to be made;</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currency and the principal amount of such Borrowing;</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Type of such Borrowing;</w:t>
      </w:r>
    </w:p>
    <w:p>
      <w:pPr>
        <w:spacing w:after="0" w:line="117" w:lineRule="exact"/>
        <w:rPr>
          <w:rFonts w:ascii="Arial" w:cs="Arial" w:eastAsia="Arial" w:hAnsi="Arial"/>
          <w:sz w:val="18"/>
          <w:szCs w:val="18"/>
          <w:color w:val="auto"/>
        </w:rPr>
      </w:pPr>
    </w:p>
    <w:p>
      <w:pPr>
        <w:ind w:right="240" w:firstLine="1492"/>
        <w:spacing w:after="0" w:line="277" w:lineRule="auto"/>
        <w:tabs>
          <w:tab w:leader="none" w:pos="178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in the case of a LIBOR Borrowing or a EURIBOR Borrowing, the initial Interest Period to be applicable thereto, which shall be a period contemplated by the definition of the term “Interest Period”; and</w:t>
      </w:r>
    </w:p>
    <w:p>
      <w:pPr>
        <w:spacing w:after="0" w:line="62" w:lineRule="exact"/>
        <w:rPr>
          <w:rFonts w:ascii="Arial" w:cs="Arial" w:eastAsia="Arial" w:hAnsi="Arial"/>
          <w:sz w:val="18"/>
          <w:szCs w:val="18"/>
          <w:color w:val="auto"/>
        </w:rPr>
      </w:pPr>
    </w:p>
    <w:p>
      <w:pPr>
        <w:ind w:left="1840" w:hanging="348"/>
        <w:spacing w:after="0"/>
        <w:tabs>
          <w:tab w:leader="none" w:pos="18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Applicable Funding Account.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Borrowing Request that shall fail to specify any of the information required by the preceding provisions of this paragraph may be rejected by the Applicable Agent if such failure is not corrected promptly after the Applicable Agent shall give written or telephonic notice thereof to the applicable Borrower and, if so rejected, will be of no force or effect. Promptly following receipt of a Borrowing Request in accordance with this Section, the Applicable Agent shall advise each Lender that will make a Loan as part of the requested Borrowing of the details thereof and of the amount of such Lender’s Loan to be made as part of the requested Borrowing.</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terms and conditions set forth herein, any Borrower may request any Issuing Bank to issue Letters of Credit (or to amend, renew or extend outstanding Letters of Credit) denominated in US Dollars, Sterling or Euro for its own account in a form reasonably acceptable to the Administrative Agent and the applicable Issuing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319" w:name="page320"/>
    <w:bookmarkEnd w:id="319"/>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at any time and from time to time during the Availability Period. In the event of any inconsistency between the terms and conditions of this Agreement and the terms and conditions of any form of letter of credit application or other agreement submitted by a Borrower to, or entered into by a Borrower with, an Issuing Bank relating to any Letter of Credit, the terms and conditions of this Agreement shall control. For all purposes of this Agreement, each Existing Letter of Credit shall be deemed to be a Letter of Credit issued hereunder for the account of the applicable Borrower. On the Effective Date, the Lenders shall hold participations in any Existing Letter of Credit on such date in proportion to the Lenders’ respective Tranche A Percentage determined after giving effect to the amendment and restatement hereof (including the Commitment Schedule) on the Effective Date.</w:t>
      </w:r>
    </w:p>
    <w:p>
      <w:pPr>
        <w:spacing w:after="0" w:line="70" w:lineRule="exact"/>
        <w:rPr>
          <w:sz w:val="20"/>
          <w:szCs w:val="20"/>
          <w:color w:val="auto"/>
        </w:rPr>
      </w:pPr>
    </w:p>
    <w:p>
      <w:pPr>
        <w:ind w:firstLine="921"/>
        <w:spacing w:after="0" w:line="283" w:lineRule="auto"/>
        <w:tabs>
          <w:tab w:leader="none" w:pos="1168"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a Borrower shall deliver (or transmit by electronic communication, if arrangements for doing so have been approved by the applicable Issuing Bank) to an Issuing Bank and the Administrative Agent, reasonably in advance of the requested date of issuance (which shall be a day at least three Business Days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enable the applicable Issuing Bank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Company shall be deemed to represent and warrant that), after giving effect to such issuance, amendment, renewal or extension (i) the LC Exposure shall not exceed US$50,000,000,</w:t>
      </w:r>
    </w:p>
    <w:p>
      <w:pPr>
        <w:spacing w:after="0" w:line="4" w:lineRule="exact"/>
        <w:rPr>
          <w:rFonts w:ascii="Arial" w:cs="Arial" w:eastAsia="Arial" w:hAnsi="Arial"/>
          <w:sz w:val="16"/>
          <w:szCs w:val="16"/>
          <w:color w:val="auto"/>
        </w:rPr>
      </w:pPr>
    </w:p>
    <w:p>
      <w:pPr>
        <w:ind w:right="20" w:firstLine="8"/>
        <w:spacing w:after="0" w:line="287" w:lineRule="auto"/>
        <w:tabs>
          <w:tab w:leader="none" w:pos="26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amount of the LC Exposure attributable to Letters of Credit issued by the applicable Issuing Bank will not exceed the LC Commitment of such Issuing Bank, (iii) the aggregate Tranche A Revolving Credit Exposures will not exceed the aggregate Tranche A Commitments and (iv) the Tranche A Revolving Credit Exposure of each Lender will not exceed the Tranche A Commitment of such Lender and (v) in the event the Maturity Date shall have been extended as provided in Section 2.08(e), the LC Exposures attributable to Letters of Credit expiring after any Existing Maturity Date shall not exceed the total Tranche A Commitments that have been extended to a date after the expiration date of the last of such Letters of Credit. If the Required Lenders notify the Issuing Banks that a Default exists and instruct the Issuing Banks to suspend the issuance, amendment, renewal or extension of Letters of Credit, no Issuing Bank shall issue, amend, renew or extend any Letter of Credit without the consent of the Required Lenders until such notice is withdrawn by the Required Lenders (each Lender that shall have delivered such a notice hereby agreeing promptly to withdraw it at such time as it determines that no Default exists).</w:t>
      </w:r>
    </w:p>
    <w:p>
      <w:pPr>
        <w:spacing w:after="0" w:line="62" w:lineRule="exact"/>
        <w:rPr>
          <w:rFonts w:ascii="Arial" w:cs="Arial" w:eastAsia="Arial" w:hAnsi="Arial"/>
          <w:sz w:val="16"/>
          <w:szCs w:val="16"/>
          <w:color w:val="auto"/>
        </w:rPr>
      </w:pPr>
    </w:p>
    <w:p>
      <w:pPr>
        <w:ind w:right="20" w:firstLine="921"/>
        <w:spacing w:after="0" w:line="259" w:lineRule="auto"/>
        <w:tabs>
          <w:tab w:leader="none" w:pos="1157" w:val="left"/>
        </w:tabs>
        <w:numPr>
          <w:ilvl w:val="1"/>
          <w:numId w:val="341"/>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Maturity Date. A Letter of Credit may provide for automatic renewals for additional periods of up to one year subject to a right on the part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20" w:name="page321"/>
    <w:bookmarkEnd w:id="3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applicable Issuing Bank to prevent any such renewal from occurring by giving notice to the beneficiary during a specified period in advance of any such renewal, and the failure of such Issuing Bank to give such notice by the end of such period shall for all purposes hereof be deemed an extension of such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Letter of Credit, as extended from time to time, expire after the date that is five Business Days prior to the Maturity Date without the consent of each Tranche A Lender.</w:t>
      </w:r>
    </w:p>
    <w:p>
      <w:pPr>
        <w:spacing w:after="0" w:line="79" w:lineRule="exact"/>
        <w:rPr>
          <w:sz w:val="20"/>
          <w:szCs w:val="20"/>
          <w:color w:val="auto"/>
        </w:rPr>
      </w:pPr>
    </w:p>
    <w:p>
      <w:pPr>
        <w:ind w:right="40" w:firstLine="921"/>
        <w:spacing w:after="0" w:line="268" w:lineRule="auto"/>
        <w:tabs>
          <w:tab w:leader="none" w:pos="1168"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the applicable Issuing Bank or the Lenders, the applicable Issuing Bank hereby grants to each Tranche A Lender, and each Tranche A Lender hereby acquires from such Issuing Bank, a participation in such Letter of Credit equal to such Lender’s Tranche A Percentage from time to time of the aggregate amount available to be drawn under such Letter of Credit. In consideration and in furtherance of the foregoing, each Tranche A Lender hereby absolutely and unconditionally agrees to pay to the Administrative Agent, for the account of such Issuing Bank, such Lender’s Tranche A Percentage of each LC Disbursement made by such Issuing Bank and not reimbursed by the applicable Borrower on the date due as provided in paragraph (e) of this Section, or of any reimbursement payment required to be refunded to the applicable Borrower for any reason. Each Tranche A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Tranche A Commitments, and that each such payment shall be made without any offset, abatement, withholding or reduction whatsoever. Each Lender further acknowledges and agrees that, in issuing, amending, renewing or extending any Letter of Credit, the Issuing Bank shall be entitled to rely, and shall not incur any liability for relying, upon the representations and warranties of the Company deemed made pursuant to Section 2.04(b) or 4.02.</w:t>
      </w:r>
    </w:p>
    <w:p>
      <w:pPr>
        <w:spacing w:after="0" w:line="79" w:lineRule="exact"/>
        <w:rPr>
          <w:rFonts w:ascii="Arial" w:cs="Arial" w:eastAsia="Arial" w:hAnsi="Arial"/>
          <w:sz w:val="17"/>
          <w:szCs w:val="17"/>
          <w:color w:val="auto"/>
        </w:rPr>
      </w:pPr>
    </w:p>
    <w:p>
      <w:pPr>
        <w:ind w:right="40" w:firstLine="921"/>
        <w:spacing w:after="0" w:line="269" w:lineRule="auto"/>
        <w:tabs>
          <w:tab w:leader="none" w:pos="1157"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applicable Borrower shall reimburse such LC Disbursement by paying to the Administrative Agent an amount equal to such LC Disbursement, in the currency of such LC Disbursement, not later than 2:00 p.m., New York City time, on the second Business Day immediately following the day that the Borrower receives notice of such LC Disbursement;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an LC Disbursement in US Dollars the Borrower may, subject to the conditions to borrowing set forth herein, request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Section 2.03 that such payment be financed with an ABR Borrowing in an equivalent amount and, to the extent so financed, the Borrower’s obligation to make such payment shall be discharged and replaced by the resulting ABR Borrowing. If such Borrower fails to make such payment when due, the Administrative Agent shall notify each Tranche A Lender of the applicable LC Disbursement, the amount and currency of the payment then due from such Borrower in respect thereof and such Lender’s Tranche A Percentage thereof. Promptly following receipt of such notice, each Tranche A Lender shall pay to the Administrative Agent its Tranche A Percentage of the payment then due from the Borrower, in the same manner as provided in Section 2.06 with respect to Loans made by such Tranche A Lender (and Section 2.06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to the payment obligations of the Tranche A Lenders), and the Administrative Agent shall promptly pay to such Issuing Bank the amounts so received by it from the Tranche A Lenders. Promptly following receipt by the Administrative Agent of any payment from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321" w:name="page322"/>
    <w:bookmarkEnd w:id="32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pursuant to this paragraph, the Administrative Agent shall distribute such payment to such Issuing Bank or, to the extent that Tranche A Lenders have made payments pursuant to this paragraph to reimburse such Issuing Bank, then to such Tranche A Lenders and such Issuing Bank, as their interests may appear. Any payment made by a Tranche A Lender pursuant to this paragraph to reimburse such Issuing Bank for any LC Disbursement (other than the funding of ABR Loans as contemplated above) shall not constitute a Loan and shall not relieve the applicable Borrower of its obligation to reimburse such LC Disbursement;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Borrower shall be required to make duplicate payments with respect to any LC Disbursement. If the applicable Borrower’s reimbursement of, or obligation to reimburse, any amounts in any currency other than US Dollars would subject the Administrative Agent, any Issuing Bank or any Tranche A Lender to any stamp duty, ad valorem charge or similar tax that would not be payable if such reimbursement were made or required to be made in US Dollars, such Borrower shall, at its option, either (x) pay the amount of any such tax requested by the Administrative Agent, the relevant Issuing Bank or the relevant Lender or (y) reimburse any LC Disbursement made in such currency in US Dollars on the date such LC Disbursement is made, in such amount as the applicable Issuing Bank shall determine in good faith would be required, based on Exchange Rates in effect on the date of reimbursement, to enable it to purchase an amount of the applicable foreign currency equal to the amount of such LC Disbursement.</w:t>
      </w:r>
    </w:p>
    <w:p>
      <w:pPr>
        <w:spacing w:after="0" w:line="65" w:lineRule="exact"/>
        <w:rPr>
          <w:sz w:val="20"/>
          <w:szCs w:val="20"/>
          <w:color w:val="auto"/>
        </w:rPr>
      </w:pPr>
    </w:p>
    <w:p>
      <w:pPr>
        <w:ind w:right="80" w:firstLine="921"/>
        <w:spacing w:after="0" w:line="285" w:lineRule="auto"/>
        <w:tabs>
          <w:tab w:leader="none" w:pos="1138"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applicable Borrower’s obligations hereunder. None of the Administrative Agent, the Lenders, any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shall be construed to excuse an Issuing Bank from liability to the applicable Borrower to the extent of any direct damages (as opposed to consequential, special, indirect and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wilful misconduct on the part of an Issuing Bank (as determined by a final and non-appealable judgment 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322" w:name="page323"/>
    <w:bookmarkEnd w:id="322"/>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80" w:lineRule="exact"/>
        <w:rPr>
          <w:sz w:val="20"/>
          <w:szCs w:val="20"/>
          <w:color w:val="auto"/>
        </w:rPr>
      </w:pPr>
    </w:p>
    <w:p>
      <w:pPr>
        <w:ind w:right="160" w:firstLine="921"/>
        <w:spacing w:after="0" w:line="257" w:lineRule="auto"/>
        <w:tabs>
          <w:tab w:leader="none" w:pos="1168"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applicable Borrower by telephone (confirmed by fax) of such demand for payment and whether such Issuing Bank has made or will make an LC Disbursement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to give or delay in giving such notice shall not relieve the applicable Borrower of its obligation to reimburse such Issuing Bank and the Lenders with respect to any such LC Disbursement.</w:t>
      </w:r>
    </w:p>
    <w:p>
      <w:pPr>
        <w:spacing w:after="0" w:line="80" w:lineRule="exact"/>
        <w:rPr>
          <w:rFonts w:ascii="Arial" w:cs="Arial" w:eastAsia="Arial" w:hAnsi="Arial"/>
          <w:sz w:val="18"/>
          <w:szCs w:val="18"/>
          <w:color w:val="auto"/>
        </w:rPr>
      </w:pPr>
    </w:p>
    <w:p>
      <w:pPr>
        <w:ind w:right="60" w:firstLine="921"/>
        <w:spacing w:after="0" w:line="270" w:lineRule="auto"/>
        <w:tabs>
          <w:tab w:leader="none" w:pos="1168" w:val="left"/>
        </w:tabs>
        <w:numPr>
          <w:ilvl w:val="1"/>
          <w:numId w:val="344"/>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the rate per annum then applicable to ABR Loans denominated in US Dollars and made to the Company and (ii) in the case of an LC Disbursement denominated in any other currency, a rate per annum determined by the applicable Issuing Bank (which determination will be conclusive absent manifest error) to represent its cost of funds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“LIBOR/EURIBOR Spread and BA Stamping Fee” in the definition of such term);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Borrower fails to reimburse such LC Disbursement when due pursuant to paragraph (e) of this Section, then Section 2.12(e) shall apply. Interest accrued pursuant to this paragraph shall be for the account of the applicable Issuing Bank, except that interest accrued on and after the date of payment by any Tranche A Lender pursuant to paragraph (e) of this Section to reimburse such Issuing Bank shall be for the account of such Tranche A Lender to the extent of such payment.</w:t>
      </w:r>
    </w:p>
    <w:p>
      <w:pPr>
        <w:spacing w:after="0" w:line="69" w:lineRule="exact"/>
        <w:rPr>
          <w:rFonts w:ascii="Arial" w:cs="Arial" w:eastAsia="Arial" w:hAnsi="Arial"/>
          <w:sz w:val="17"/>
          <w:szCs w:val="17"/>
          <w:color w:val="auto"/>
        </w:rPr>
      </w:pPr>
    </w:p>
    <w:p>
      <w:pPr>
        <w:ind w:firstLine="921"/>
        <w:spacing w:after="0" w:line="284" w:lineRule="auto"/>
        <w:tabs>
          <w:tab w:leader="none" w:pos="1128"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any Event of Default shall occur and be continuing, on the Business Day that the Company receives notice from the Administrative Agent or the Required Lenders (or, if the maturity of the Loans has been accelerated, Tranche A Lenders with LC Exposures representing more than 50% of the aggregate amount of LC Exposure) demanding the deposit of cash collateral pursuant to this paragraph, each applicable Borrower shall deposit (“</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in respect of each outstanding Letter of Credit issued for such Borrower’s account, in an account with the Applicable Agent, in the name of the Applicable Agent and for the benefit of the Tranche A Lenders and the applicable Issuing Bank, an amount in cash and in the currency of such Letter of Credit equal to the portion of the LC Exposure attributable to such Letter of Credit as of such date plus any accrued and unpaid interest thereon;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obligation to Cash Collateralize shall become effective immediately, and such deposit shall become immediately due and payable,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demand or other notice of any kind, upon the occurrence of any Event of Default with respect to the Company or any Borrower described in clause (h) or</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of Article VII.</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3" w:right="239" w:bottom="1440" w:gutter="0" w:footer="0" w:header="0"/>
        </w:sectPr>
      </w:pPr>
    </w:p>
    <w:bookmarkStart w:id="323" w:name="page324"/>
    <w:bookmarkEnd w:id="323"/>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such deposit shall be held by the Applicable Agent as collateral for the payment and performance of the obligations of the Borrowers under this Agreement. The Applicable Agent shall have exclusive dominion and control, including the exclusive right of withdrawal, over such account. Other than any interest earned on the investment of such deposits, which investments shall be made at the option and sole discretion of the Applicable Agent (which will use commercially reasonable efforts to obtain a return at market rates on any such investments) and at the Borrowers’ risk and expense, such deposits shall not bear interest. Interest or profits, if any, on such investments shall accumulate in such account. Monies in such account shall be applied by the Applicable Agent to reimburse the applicable Issuing Banks for LC Disbursements for which they have not been reimbursed and, to the extent not so applied, shall be held for the satisfaction of the reimbursement obligations of the Borrowers for the LC Exposure at such time or, if the maturity of the Loans has been accelerated, be applied to satisfy other Obligations of the Borrowers (but subject to the consent of (i) Tranche A Lenders with LC Exposures representing more than 50% of the aggregate amount of LC Exposure and (ii) in the case of any such application at a time when any Lender is a Defaulting Lender (but only if, after giving effect thereto, the remaining cash collateral shall be less than the aggregate LC Exposure of all the Defaulting Lenders), each Issuing Bank). If the Borrowers are required to provide cash collateral hereunder as a result of the occurrence of an Event of Default, such cash collateral (to the extent not applied as aforesaid) shall be returned to the Borrowers within three Business Days after all Events of Default have been cured or waived.</w:t>
      </w:r>
    </w:p>
    <w:p>
      <w:pPr>
        <w:spacing w:after="0" w:line="61" w:lineRule="exact"/>
        <w:rPr>
          <w:sz w:val="20"/>
          <w:szCs w:val="20"/>
          <w:color w:val="auto"/>
        </w:rPr>
      </w:pPr>
    </w:p>
    <w:p>
      <w:pPr>
        <w:ind w:right="20" w:firstLine="921"/>
        <w:spacing w:after="0" w:line="270" w:lineRule="auto"/>
        <w:tabs>
          <w:tab w:leader="none" w:pos="1128" w:val="left"/>
        </w:tabs>
        <w:numPr>
          <w:ilvl w:val="0"/>
          <w:numId w:val="346"/>
        </w:numPr>
        <w:rPr>
          <w:rFonts w:ascii="Arial" w:cs="Arial" w:eastAsia="Arial" w:hAnsi="Arial"/>
          <w:sz w:val="17"/>
          <w:szCs w:val="17"/>
          <w:color w:val="auto"/>
        </w:rPr>
      </w:pPr>
      <w:r>
        <w:rPr>
          <w:rFonts w:ascii="Arial" w:cs="Arial" w:eastAsia="Arial" w:hAnsi="Arial"/>
          <w:sz w:val="17"/>
          <w:szCs w:val="17"/>
          <w:u w:val="single" w:color="auto"/>
          <w:color w:val="auto"/>
        </w:rPr>
        <w:t>Designation of Additional Issuing Banks.</w:t>
      </w:r>
      <w:r>
        <w:rPr>
          <w:rFonts w:ascii="Arial" w:cs="Arial" w:eastAsia="Arial" w:hAnsi="Arial"/>
          <w:sz w:val="17"/>
          <w:szCs w:val="17"/>
          <w:color w:val="auto"/>
        </w:rPr>
        <w:t xml:space="preserve"> From time to time, the Company may by notice to the Administrative Agent and the Tranche A Lenders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7"/>
          <w:szCs w:val="17"/>
          <w:i w:val="1"/>
          <w:iCs w:val="1"/>
          <w:color w:val="auto"/>
        </w:rPr>
        <w:t>Issuing Bank Agreement</w:t>
      </w:r>
      <w:r>
        <w:rPr>
          <w:rFonts w:ascii="Arial" w:cs="Arial" w:eastAsia="Arial" w:hAnsi="Arial"/>
          <w:sz w:val="17"/>
          <w:szCs w:val="17"/>
          <w:color w:val="auto"/>
        </w:rPr>
        <w:t>”), which shall be in a form satisfactory to the Company and the Administrative Agent, shall set forth the LC Commitment of such Lender and shall be executed by such Lender, the Company and the Administrative Agent and, from and after the effective date of such agreement, (i) such Lender shall have all the rights and obligations of an Issuing Bank under this Agreement and the other Credit Documents and (ii) references herein and in the other Credit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spacing w:after="0" w:line="73" w:lineRule="exact"/>
        <w:rPr>
          <w:rFonts w:ascii="Arial" w:cs="Arial" w:eastAsia="Arial" w:hAnsi="Arial"/>
          <w:sz w:val="17"/>
          <w:szCs w:val="17"/>
          <w:color w:val="auto"/>
        </w:rPr>
      </w:pPr>
    </w:p>
    <w:p>
      <w:pPr>
        <w:ind w:firstLine="921"/>
        <w:spacing w:after="0" w:line="290" w:lineRule="auto"/>
        <w:tabs>
          <w:tab w:leader="none" w:pos="1168"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Replacement of an Issuing Bank</w:t>
      </w:r>
      <w:r>
        <w:rPr>
          <w:rFonts w:ascii="Arial" w:cs="Arial" w:eastAsia="Arial" w:hAnsi="Arial"/>
          <w:sz w:val="16"/>
          <w:szCs w:val="16"/>
          <w:color w:val="auto"/>
        </w:rPr>
        <w:t>. An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and required to be paid under Section 2.11(b). From and after the effective date of any such replacement, the successor Issuing Bank shall have all the rights and obligations of an Issuing Bank under this Agreement with respect to Letters of Credit to be issued thereafter and references herein to the term “Issuing Bank” shall be deemed to refer to such successor or to any previous Issuing Bank,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3" w:right="239" w:bottom="1440" w:gutter="0" w:footer="0" w:header="0"/>
        </w:sectPr>
      </w:pPr>
    </w:p>
    <w:bookmarkStart w:id="324" w:name="page325"/>
    <w:bookmarkEnd w:id="324"/>
    <w:p>
      <w:pPr>
        <w:ind w:firstLine="921"/>
        <w:spacing w:after="0" w:line="269" w:lineRule="auto"/>
        <w:tabs>
          <w:tab w:leader="none" w:pos="1128"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Issuing Bank Reports.</w:t>
      </w:r>
      <w:r>
        <w:rPr>
          <w:rFonts w:ascii="Arial" w:cs="Arial" w:eastAsia="Arial" w:hAnsi="Arial"/>
          <w:sz w:val="17"/>
          <w:szCs w:val="17"/>
          <w:color w:val="auto"/>
        </w:rPr>
        <w:t xml:space="preserve"> Unless otherwise agreed by the Administrative Agent, each Issuing Bank shall report in writing to the Administrative Agent (which shall promptly provide notice to the Tranche A Lenders of the contents thereof) (i) on or prior to each Business Day on which such Issuing Bank issues, amends, renews or extends any Letter of Credit, the date of such issuance, amendment, renewal or extension, and the currencies and face amounts of the Letters of Credit issued, amended, renewed or extended by it and the currencies and face amounts of the Letters of Credit outstanding after giving effect to such issuance, amendment, renewal or extension (and whether the amounts thereof shall have changed), it being understood that such Issuing Bank shall not effect any issuance, renewal, extension or amendment resulting in an increase in the aggregate amount of the Letters of Credit issued by it without first obtaining written confirmation from the Administrative Agent that such increase is then permitted under this Agreement, (ii) on each Business Day on which such Issuing Bank makes any LC Disbursement, the date, currency and amount of such LC Disbursement, (iii) on any Business Day on which the applicable Borrower fails to reimburse an LC Disbursement required to be reimbursed to such Issuing Bank on such day, the date of such failure and the currency and amount of such LC Disbursement and (iv) on any other Business Day, such other information as the Administrative Agent shall reasonably request as to the Letters of Credit issued by such Issuing Bank.</w:t>
      </w:r>
    </w:p>
    <w:p>
      <w:pPr>
        <w:spacing w:after="0" w:line="183"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Canadian Bankers’ Acceptances.</w:t>
      </w:r>
      <w:r>
        <w:rPr>
          <w:rFonts w:ascii="Arial" w:cs="Arial" w:eastAsia="Arial" w:hAnsi="Arial"/>
          <w:sz w:val="17"/>
          <w:szCs w:val="17"/>
          <w:color w:val="auto"/>
        </w:rPr>
        <w:t xml:space="preserve"> (a) Each acceptance and purchase of BAs of a single Contract Period pursuant to Section 2.01(b) and this Section shall be made ratably by the Tranche B Lenders in accordance with the amounts of their Tranche B Commitments. The failure of any Lender to accept any BA required to be accepted by it shall not relieve any other Lender of its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Commitments are several and no Lender shall be responsible for any other Lender’s failure to accept BAs as required. Each Lender at its option may accept and purchase any BA by causing any Canadian lending office or Affiliate of such Lender to accept and purchase such BA.</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 BAs of a single Contract Period accepted and purchased on any date shall be in an aggregate amount that is an integral multiple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Cdn.$1,000,000 and not less than Cdn.$3,000,000. If any Lender’s ratable share of the BAs of any Contract Period to be accepted on any date would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integral multiple of Cdn.$100,000, the face amount of the BAs accepted by such Lender may be increased or reduced to the nearest integral multiple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Cdn.$100,000 by the Canadian Agent in its sole discretion. BAs of more than one Contract Period may be outstanding at the same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not at any time be more than a total of ten BA Drawings outstanding at any time.</w:t>
      </w:r>
    </w:p>
    <w:p>
      <w:pPr>
        <w:spacing w:after="0" w:line="103" w:lineRule="exact"/>
        <w:rPr>
          <w:sz w:val="20"/>
          <w:szCs w:val="20"/>
          <w:color w:val="auto"/>
        </w:rPr>
      </w:pPr>
    </w:p>
    <w:p>
      <w:pPr>
        <w:ind w:right="240" w:firstLine="921"/>
        <w:spacing w:after="0" w:line="302" w:lineRule="auto"/>
        <w:tabs>
          <w:tab w:leader="none" w:pos="1158"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To request an acceptance and purchase of BAs, a Canadian Borrowing Subsidiary shall notify the Canadian Agent of such request by telephone or by fax not later than 11:00 a.m., Local Time, two Business Days before the date of such acceptance and purchase. Each such request shall be irrevocable and, if telephonic, shall be confirmed promptly by hand delivery or fax to the Canadian Agent of a written request in a form approved by the Canadian Agent and signed by such Canadian Borrowing Subsidiary. Each such telephonic and written request shall specify the following information:</w:t>
      </w:r>
    </w:p>
    <w:p>
      <w:pPr>
        <w:spacing w:after="0" w:line="46" w:lineRule="exact"/>
        <w:rPr>
          <w:rFonts w:ascii="Arial" w:cs="Arial" w:eastAsia="Arial" w:hAnsi="Arial"/>
          <w:sz w:val="16"/>
          <w:szCs w:val="16"/>
          <w:color w:val="auto"/>
        </w:rPr>
      </w:pPr>
    </w:p>
    <w:p>
      <w:pPr>
        <w:ind w:left="1700" w:hanging="208"/>
        <w:spacing w:after="0"/>
        <w:tabs>
          <w:tab w:leader="none" w:pos="170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aggregate face amount of the BAs to be accepted and purchased;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274" w:right="339" w:bottom="1440" w:gutter="0" w:footer="0" w:header="0"/>
        </w:sectPr>
      </w:pPr>
    </w:p>
    <w:bookmarkStart w:id="325" w:name="page326"/>
    <w:bookmarkEnd w:id="325"/>
    <w:p>
      <w:pPr>
        <w:ind w:left="1760" w:hanging="268"/>
        <w:spacing w:after="0"/>
        <w:tabs>
          <w:tab w:leader="none" w:pos="17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such acceptance and purchase, which shall be a Business Day;</w:t>
      </w:r>
    </w:p>
    <w:p>
      <w:pPr>
        <w:spacing w:after="0" w:line="117" w:lineRule="exact"/>
        <w:rPr>
          <w:rFonts w:ascii="Arial" w:cs="Arial" w:eastAsia="Arial" w:hAnsi="Arial"/>
          <w:sz w:val="18"/>
          <w:szCs w:val="18"/>
          <w:color w:val="auto"/>
        </w:rPr>
      </w:pPr>
    </w:p>
    <w:p>
      <w:pPr>
        <w:ind w:right="300" w:firstLine="1492"/>
        <w:spacing w:after="0" w:line="277" w:lineRule="auto"/>
        <w:tabs>
          <w:tab w:leader="none" w:pos="179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Contract Period to be applicable thereto, which shall be a period contemplated by the definition of the term “Contract Period” (and which shall in no event end after the Maturity Date);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location and number of the Canadian Borrowing Subsidiary’s account to which the proceeds of such BAs are to be disbursed.</w:t>
      </w:r>
    </w:p>
    <w:p>
      <w:pPr>
        <w:spacing w:after="0" w:line="24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Any request for an acceptance and purchase of BAs that shall fail to specify any of the information required by the preceding provisions of this paragraph may be rejected by the Canadian Agent if such failure is not corrected promptly after the Canadian Agent shall give written or telephonic notice thereof to the applicable Borrower and, if so rejected, will be of no force or effect. Promptly following receipt of a request in accordance with this paragraph, the Canadian Agent shall advise each Tranche B Lender of the details thereof and of the amount of BAs to be accepted and purchased by such Lender.</w:t>
      </w:r>
    </w:p>
    <w:p>
      <w:pPr>
        <w:spacing w:after="0" w:line="46" w:lineRule="exact"/>
        <w:rPr>
          <w:sz w:val="20"/>
          <w:szCs w:val="20"/>
          <w:color w:val="auto"/>
        </w:rPr>
      </w:pPr>
    </w:p>
    <w:p>
      <w:pPr>
        <w:ind w:firstLine="921"/>
        <w:spacing w:after="0" w:line="285" w:lineRule="auto"/>
        <w:tabs>
          <w:tab w:leader="none" w:pos="1168"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Each Canadian Borrowing Subsidiary hereby appoints each Tranche B Lender as its attorney to sign and endorse on its behalf, manually or by facsimile or mechanical signature, as and when deemed necessary by such Lender, blank forms of BAs, each Tranche B Lender hereby agreeing that it will not sign or endorse BAs in excess of those required in connection with BA Drawings that have been requested by the Canadian Borrowing Subsidiaries hereunder. It shall be the responsibility of each Tranche B Lender to maintain an adequate supply of blank forms of BAs for acceptance under this Agreement. Each Canadian Borrowing Subsidiary recognizes and agrees that all BAs signed and/or endorsed on its behalf by any Tranche B Lender in accordance with such Canadian Borrowing Subsidiary’s written request shall bind such Canadian Borrowing Subsidiary as fully and effectually as if manually signed and duly issued by authorized officers of such Canadian Borrowing Subsidiary. Each Tranche B Lender is hereby authorized to issue such BAs endorsed in blank in such face amounts as may be determined by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face amount thereof is equal to the aggregate face amount of BAs required to be accepted by such Lender in accordance with such Canadian Borrowing Subsidiary’s written request. No Tranche B Lender shall be liable for any damage, loss or claim arising by reason of any loss or improper use of any such instrument unless such loss or improper use results from the gross negligence or willful misconduct of such Lender. Each Tranche B Lender shall maintain a record with respect to BAs (i) received by it from the Canadian Agent in blank hereunder, (ii) voided by it for any reason, (iii) accepted and purchased by it hereunder and (iv) canceled at their respective maturities. Each Tranche B Lender further agrees to retain such records in the manner and for the periods provided in applicable provincial or federal statutes and regulations of Canada and to provide such records to each Canadian Borrowing Subsidiary upon its request and at its expense. Upon request by any Canadian Borrowing Subsidiary, a Lender shall cancel all forms of BA that have been pre-signed or pre-endorsed on behalf of such Canadian Borrowing Subsidiary and that are held by such Lender and are not required to be issued pursuant to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326" w:name="page327"/>
    <w:bookmarkEnd w:id="326"/>
    <w:p>
      <w:pPr>
        <w:ind w:right="160" w:firstLine="921"/>
        <w:spacing w:after="0" w:line="302" w:lineRule="auto"/>
        <w:tabs>
          <w:tab w:leader="none" w:pos="1158" w:val="left"/>
        </w:tabs>
        <w:numPr>
          <w:ilvl w:val="0"/>
          <w:numId w:val="3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Drafts of each Canadian Borrowing Subsidiary to be accepted as BAs hereunder shall be signed as set forth in paragraph (d) above. Notwithstanding that any Person whose signature appears on any BA may no longer be an authorized signatory for any of the Lenders or such Canadian Borrowing Subsidiary at the date of issuance of such BA, such signature shall nevertheless be valid and sufficient for all purposes as if such authority had remained in force at the time of such issuance and any such BA so signed and properly completed shall be binding on such Canadian Borrowing Subsidiary.</w:t>
      </w:r>
    </w:p>
    <w:p>
      <w:pPr>
        <w:spacing w:after="0" w:line="46" w:lineRule="exact"/>
        <w:rPr>
          <w:rFonts w:ascii="Arial" w:cs="Arial" w:eastAsia="Arial" w:hAnsi="Arial"/>
          <w:sz w:val="16"/>
          <w:szCs w:val="16"/>
          <w:color w:val="auto"/>
        </w:rPr>
      </w:pPr>
    </w:p>
    <w:p>
      <w:pPr>
        <w:ind w:right="60" w:firstLine="921"/>
        <w:spacing w:after="0" w:line="255" w:lineRule="auto"/>
        <w:tabs>
          <w:tab w:leader="none" w:pos="113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Upon acceptance of a BA by a Lender, such Lender shall purchase such BA from the applicable Canadian Borrowing Subsidiary at the Discount Rate for such Lender applicable to such BA accepted by it and provide to the Canadian Agent the Discount Proceeds for the account of such Canadian Borrowing Subsidiary as provided in Section 2.06. The acceptance fee payable by the applicable Canadian Borrowing Subsidiary to a Lender under Section 2.11 in respect of each BA accepted by such Lender shall be set off against the Discount Proceeds payable by such Lender under this paragraph. Notwithstanding the foregoing, in the case of any BA Drawing resulting from the conversion or continuation of a BA Drawing or Borrowing pursuant to Section 2.07, the net amount that would otherwise be payable to such Borrower by each Lender pursuant to this paragraph will be applied as provided in Section 2.07(f).</w:t>
      </w:r>
    </w:p>
    <w:p>
      <w:pPr>
        <w:spacing w:after="0" w:line="81" w:lineRule="exact"/>
        <w:rPr>
          <w:rFonts w:ascii="Arial" w:cs="Arial" w:eastAsia="Arial" w:hAnsi="Arial"/>
          <w:sz w:val="18"/>
          <w:szCs w:val="18"/>
          <w:color w:val="auto"/>
        </w:rPr>
      </w:pPr>
    </w:p>
    <w:p>
      <w:pPr>
        <w:ind w:right="360" w:firstLine="921"/>
        <w:spacing w:after="0" w:line="264" w:lineRule="auto"/>
        <w:tabs>
          <w:tab w:leader="none" w:pos="116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Each Tranche B Lender may at any time and from time to time hold, sell, rediscount or otherwise dispose of any or all BA’s accepted and purchased by it (it being understood that no such sale, rediscount or disposition shall constitute an assignment or participation of any Commitment hereunder).</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Each BA accepted and purchased hereunder shall mature at the end of the Contract Period applicable thereto.</w:t>
      </w:r>
    </w:p>
    <w:p>
      <w:pPr>
        <w:spacing w:after="0" w:line="117" w:lineRule="exact"/>
        <w:rPr>
          <w:rFonts w:ascii="Arial" w:cs="Arial" w:eastAsia="Arial" w:hAnsi="Arial"/>
          <w:sz w:val="18"/>
          <w:szCs w:val="18"/>
          <w:color w:val="auto"/>
        </w:rPr>
      </w:pPr>
    </w:p>
    <w:p>
      <w:pPr>
        <w:ind w:firstLine="921"/>
        <w:spacing w:after="0" w:line="271" w:lineRule="auto"/>
        <w:tabs>
          <w:tab w:leader="none" w:pos="112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Subject to applicable law, each Canadian Borrowing Subsidiary waives presentment for payment and any other defense to payment of any amounts due to a Tranche B Lender in respect of a BA accepted and purchased by it pursuant to this Agreement that might exist solely by reason of such BA being held, at the maturity thereof, by such Lender in its own right, and each Canadian Borrowing Subsidiary agrees not to claim any days of grace if such Lender as holder sues such Canadian Borrowing Subsidiary on the BA for payment of the amounts payable by such Canadian Borrowing Subsidiary thereunder. On the last day of the Contract Period of a BA, or such earlier date as may be required pursuant to the provisions of this Agreement, the applicable Canadian Borrowing Subsidiary shall pay the Lender that has accepted and purchased such BA the full face amount of such BA, and after such payment such Canadian Borrowing Subsidiary shall have no further liability in respect of such BA and such Lender shall be entitled to all benefits of, and be responsible for all payments due to third parties under, such BA.</w:t>
      </w:r>
    </w:p>
    <w:p>
      <w:pPr>
        <w:spacing w:after="0" w:line="70" w:lineRule="exact"/>
        <w:rPr>
          <w:rFonts w:ascii="Arial" w:cs="Arial" w:eastAsia="Arial" w:hAnsi="Arial"/>
          <w:sz w:val="17"/>
          <w:szCs w:val="17"/>
          <w:color w:val="auto"/>
        </w:rPr>
      </w:pPr>
    </w:p>
    <w:p>
      <w:pPr>
        <w:ind w:right="480" w:firstLine="921"/>
        <w:spacing w:after="0" w:line="264" w:lineRule="auto"/>
        <w:tabs>
          <w:tab w:leader="none" w:pos="112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At the option of each Canadian Borrowing Subsidiary and any Lender, BAs under this Agreement to be accepted by that Lender may be issued in the form of depository bills for deposit with The Canadian Depository for Securities Limited pursuant to the Depository Bills and Notes Act (Canada). All depository bills so issued shall be governed by the provisions of this Section.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327" w:name="page328"/>
    <w:bookmarkEnd w:id="327"/>
    <w:p>
      <w:pPr>
        <w:ind w:firstLine="921"/>
        <w:spacing w:after="0" w:line="286" w:lineRule="auto"/>
        <w:tabs>
          <w:tab w:leader="none" w:pos="1168" w:val="left"/>
        </w:tabs>
        <w:numPr>
          <w:ilvl w:val="0"/>
          <w:numId w:val="3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Tranche B Lender is not a chartered bank under the Bank Act (Canada) or if a Tranche B Lender notifies the Canadian Agent in writing that it is otherwise unable to accept BAs, such Lender will, instead of accepting and purchasing any BAs, make a Loan (a “</w:t>
      </w:r>
      <w:r>
        <w:rPr>
          <w:rFonts w:ascii="Arial" w:cs="Arial" w:eastAsia="Arial" w:hAnsi="Arial"/>
          <w:sz w:val="16"/>
          <w:szCs w:val="16"/>
          <w:i w:val="1"/>
          <w:iCs w:val="1"/>
          <w:color w:val="auto"/>
        </w:rPr>
        <w:t>BA Equivalent Loan</w:t>
      </w:r>
      <w:r>
        <w:rPr>
          <w:rFonts w:ascii="Arial" w:cs="Arial" w:eastAsia="Arial" w:hAnsi="Arial"/>
          <w:sz w:val="16"/>
          <w:szCs w:val="16"/>
          <w:color w:val="auto"/>
        </w:rPr>
        <w:t>”) to the applicable Canadian Borrowing Subsidiary in the amount and for the same term as each draft which such Lender would otherwise have been required to accept and purchase hereunder. Each such Lender will provide to the Canadian Agent the Discount Proceeds of such BA Equivalent Loan for the account of the applicable Canadian Borrowing Subsidiary in the same manner as such Lender would have provided the Discount Proceeds in respect of the draft which such Lender would otherwise have been required to accept and purchase hereunder. Each such BA Equivalent Loan will bear interest at the same rate that would result if such Lender had accepted (and been paid an acceptance fee) and purchased (on a discounted basis) a BA for the relevant Contract Period (it being the intention of the parties that each such BA Equivalent Loan shall have the same economic consequences for the Lenders and the applicable Canadian Borrowing Subsidiary as the BA that such BA Equivalent Loan replaces). All such interest shall be paid in advance on the date such BA Equivalent Loan is made, and will be deducted from the principal amount of such BA Equivalent Loan in the same manner in which the Discount Proceeds of a BA would be deducted from the face amount of the BA. Subject to the repayment requirements of this Agreement, on the last day of the relevant Contract Period for such BA Equivalent Loan, the applicable Canadian Borrowing Subsidiary shall be entitled to convert each such BA Equivalent Loan into another type of Loan, or to roll over each such BA Equivalent Loan into another BA Equivalent Loan, all in accordance with the applicable provisions of this Agreement.</w:t>
      </w:r>
    </w:p>
    <w:p>
      <w:pPr>
        <w:spacing w:after="0" w:line="66" w:lineRule="exact"/>
        <w:rPr>
          <w:rFonts w:ascii="Arial" w:cs="Arial" w:eastAsia="Arial" w:hAnsi="Arial"/>
          <w:sz w:val="16"/>
          <w:szCs w:val="16"/>
          <w:color w:val="auto"/>
        </w:rPr>
      </w:pPr>
    </w:p>
    <w:p>
      <w:pPr>
        <w:ind w:left="1140" w:hanging="219"/>
        <w:spacing w:after="0"/>
        <w:tabs>
          <w:tab w:leader="none" w:pos="114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Notwithstanding any provision hereof, the Borrowers may not prepay any BA Drawing other than on the last day of its Contract Period.</w:t>
      </w:r>
    </w:p>
    <w:p>
      <w:pPr>
        <w:spacing w:after="0" w:line="128" w:lineRule="exact"/>
        <w:rPr>
          <w:rFonts w:ascii="Arial" w:cs="Arial" w:eastAsia="Arial" w:hAnsi="Arial"/>
          <w:sz w:val="17"/>
          <w:szCs w:val="17"/>
          <w:color w:val="auto"/>
        </w:rPr>
      </w:pPr>
    </w:p>
    <w:p>
      <w:pPr>
        <w:ind w:left="1220" w:hanging="299"/>
        <w:spacing w:after="0"/>
        <w:tabs>
          <w:tab w:leader="none" w:pos="122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For greater certainty, all provisions of this Agreement that are applicable to BAs shall also be applicable,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BA Equivalent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21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 and BA Drawings.</w:t>
      </w:r>
      <w:r>
        <w:rPr>
          <w:rFonts w:ascii="Arial" w:cs="Arial" w:eastAsia="Arial" w:hAnsi="Arial"/>
          <w:sz w:val="18"/>
          <w:szCs w:val="18"/>
          <w:color w:val="auto"/>
        </w:rPr>
        <w:t xml:space="preserve"> (a) Each Lender shall make each Loan to be made by it hereunder and disburse the Discount Proceeds (net of applicable acceptance fees) of each BA to be accepted and purchased by it hereunder on the proposed date thereof by wire transfer of immediately available funds in the applicable currency by 2:00 p.m., Local Time, to the account of the Applicable Agent most recently designated by such Applicable Agent for such purpose by notice to the Lenders. The Applicable Agent will make such Loan proceeds or Discount Proceeds available to the applicable Borrower by promptly crediting the amounts so received, in like funds, to the Applicable Funding Account of such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ABR Loans made to finance the reimbursement of an LC Disbursement as provided in Section 2.04(e) shall be remitted by the Administrative Agent to the applicable Issuing Bank.</w:t>
      </w:r>
    </w:p>
    <w:p>
      <w:pPr>
        <w:spacing w:after="0" w:line="81" w:lineRule="exact"/>
        <w:rPr>
          <w:sz w:val="20"/>
          <w:szCs w:val="20"/>
          <w:color w:val="auto"/>
        </w:rPr>
      </w:pPr>
    </w:p>
    <w:p>
      <w:pPr>
        <w:ind w:right="200" w:firstLine="921"/>
        <w:spacing w:after="0" w:line="276" w:lineRule="auto"/>
        <w:tabs>
          <w:tab w:leader="none" w:pos="1168" w:val="left"/>
        </w:tabs>
        <w:numPr>
          <w:ilvl w:val="0"/>
          <w:numId w:val="353"/>
        </w:numPr>
        <w:rPr>
          <w:rFonts w:ascii="Arial" w:cs="Arial" w:eastAsia="Arial" w:hAnsi="Arial"/>
          <w:sz w:val="17"/>
          <w:szCs w:val="17"/>
          <w:color w:val="auto"/>
        </w:rPr>
      </w:pPr>
      <w:r>
        <w:rPr>
          <w:rFonts w:ascii="Arial" w:cs="Arial" w:eastAsia="Arial" w:hAnsi="Arial"/>
          <w:sz w:val="17"/>
          <w:szCs w:val="17"/>
          <w:color w:val="auto"/>
        </w:rPr>
        <w:t>Unless the Applicable Agent shall have received notice from a Lender prior to the proposed date of any Borrowing or acceptance and purchase of BAs that such Lender will not make available to the Applicable Agent such Lender’s share of such Borrowing or the applicable Discount Proceeds (net of applicable acceptance fees), the Applicable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or the applicable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3" w:right="259" w:bottom="1440" w:gutter="0" w:footer="0" w:header="0"/>
        </w:sectPr>
      </w:pPr>
    </w:p>
    <w:bookmarkStart w:id="328" w:name="page329"/>
    <w:bookmarkEnd w:id="32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Discount Proceeds (net of applicable acceptance fees) available to the Applicable Agent, then the applicable Lender and such Borrower severally agree to pay to the Applicable Agent forthwith on demand such corresponding amount with interest thereon, for each day from and including the date such amount is made available to such Borrower to but excluding the date of payment to the Applicable Agent, at (i) in the case of such Lender, the rate reasonably determined by the Applicable Agent to be the cost to it of funding such amount or (ii) in the case of such Borrower, the interest rate applicable to the subject Loan or the applicable Discount Rate and pro-rated acceptance fee, as the case may be.</w:t>
      </w:r>
    </w:p>
    <w:p>
      <w:pPr>
        <w:spacing w:after="0" w:line="173"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Interest Elections.</w:t>
      </w:r>
      <w:r>
        <w:rPr>
          <w:rFonts w:ascii="Arial" w:cs="Arial" w:eastAsia="Arial" w:hAnsi="Arial"/>
          <w:sz w:val="16"/>
          <w:szCs w:val="16"/>
          <w:color w:val="auto"/>
        </w:rPr>
        <w:t xml:space="preserve"> (a) Each Borrowing initially shall be of the Type specified in the applicable Borrowing Request and, in the case of a LIBOR Borrowing or a EURIBOR Borrowing, shall have an initial Interest Period as specified in such Borrowing Request. Each BA Drawing shall have a Contract Period as specified in the applicable request therefor. Thereafter, the applicable Borrower may elect to convert such Borrowing or BA Drawing to a Borrowing of a different Type (to the extent such Type is available for the applicable currency under Section 2.02(b)) or, in the case of a Borrowing in Canadian Dollars, a BA Drawing, or to continue such Borrowing or BA Drawing and, in the case of a LIBOR Borrowing or a EURIBOR Borrowing, may elect Interest Periods therefor, all as provided in this Section and on terms consistent with the other provisions of this Agreement, it being understood that no BA Drawing may be converted or continued other than at the end of the Contract Period applicable thereto. A Borrower may elect different options with respect to different portions of an affected Borrowing or BA Drawing, in which case each such portion shall be allocated ratably among the Lenders holding the Loans comprising such Borrowing or accepting the BAs comprising such BA Drawing, as the case may be, and the Loans or BAs resulting from an election made with respect to any such portion shall be considered a separate Borrowing or BA Drawing.</w:t>
      </w:r>
    </w:p>
    <w:p>
      <w:pPr>
        <w:spacing w:after="0" w:line="61" w:lineRule="exact"/>
        <w:rPr>
          <w:sz w:val="20"/>
          <w:szCs w:val="20"/>
          <w:color w:val="auto"/>
        </w:rPr>
      </w:pPr>
    </w:p>
    <w:p>
      <w:pPr>
        <w:ind w:right="20" w:firstLine="921"/>
        <w:spacing w:after="0" w:line="269" w:lineRule="auto"/>
        <w:tabs>
          <w:tab w:leader="none" w:pos="116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To make an election pursuant to this Section, a Borrower shall notify the Applicable Agent of such election by telephone (i) in the case of an election that would result in a Borrowing, by the time and date that a Borrowing Request would be required under Section 2.03 if such Borrower were requesting a Borrowing of the Type resulting from such election to be made on the effective date of such election, and (ii) in the case of an election that would result in a BA Drawing or the continuation of a BA Drawing, by the time and date that a request would be required under Section 2.05 if such Borrower were requesting an acceptance and purchase of BAs to be made on the effective date of such election. Each such Interest Election Request shall be irrevocable and shall be confirmed promptly by delivery to the Applicable Agent (with a copy to the Administrative Agent if such Applicable Agent shall be the Canadian Agent) of a written Interest Election Request in a form approved by the Administrative Agent and signed by a Financial Officer on behalf of the applicable Borrower. Notwithstanding any other provision of this Section, a Borrower shall not be permitted to (i) change the currency of any Borrowing or BA Drawing, (ii) elect an Interest Period for LIBOR Loans or EURIBOR Loans that does not comply with Section 2.02(d) or any Contract Period for a BA Drawing that does not comply with Section 2.05 or (iii) convert any Borrowing or BA Drawing to a Borrowing or BA Drawing not available to such Borrower under the Class of Commitments pursuant to which such Borrowing or BA Drawing was made.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3" w:right="239" w:bottom="1440" w:gutter="0" w:footer="0" w:header="0"/>
        </w:sectPr>
      </w:pPr>
    </w:p>
    <w:bookmarkStart w:id="329" w:name="page330"/>
    <w:bookmarkEnd w:id="329"/>
    <w:p>
      <w:pPr>
        <w:ind w:left="1160" w:hanging="239"/>
        <w:spacing w:after="0"/>
        <w:tabs>
          <w:tab w:leader="none" w:pos="11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telephonic and written Interest Election Request shall specify the following information in compliance with Section 2.02:</w:t>
      </w:r>
    </w:p>
    <w:p>
      <w:pPr>
        <w:spacing w:after="0" w:line="117" w:lineRule="exact"/>
        <w:rPr>
          <w:rFonts w:ascii="Arial" w:cs="Arial" w:eastAsia="Arial" w:hAnsi="Arial"/>
          <w:sz w:val="18"/>
          <w:szCs w:val="18"/>
          <w:color w:val="auto"/>
        </w:rPr>
      </w:pPr>
    </w:p>
    <w:p>
      <w:pPr>
        <w:ind w:right="80" w:firstLine="1492"/>
        <w:spacing w:after="0" w:line="264" w:lineRule="auto"/>
        <w:tabs>
          <w:tab w:leader="none" w:pos="169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Borrowing or BA Drawing to which such Interest Election Request applies and, if different options are being elected with respect to different portions thereof, the portions thereof to be allocated to each resulting Borrowing or BA Drawing (in which case the information to be specified pursuant to clauses (iii) and (iv) below shall be specified for each resulting Borrowing or BA Drawing);</w:t>
      </w:r>
    </w:p>
    <w:p>
      <w:pPr>
        <w:spacing w:after="0" w:line="73" w:lineRule="exact"/>
        <w:rPr>
          <w:rFonts w:ascii="Arial" w:cs="Arial" w:eastAsia="Arial" w:hAnsi="Arial"/>
          <w:sz w:val="18"/>
          <w:szCs w:val="18"/>
          <w:color w:val="auto"/>
        </w:rPr>
      </w:pPr>
    </w:p>
    <w:p>
      <w:pPr>
        <w:ind w:left="1760" w:hanging="268"/>
        <w:spacing w:after="0"/>
        <w:tabs>
          <w:tab w:leader="none" w:pos="17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in the case of an election resulting in a Borrowing, the Type of the resulting Borrowing; and</w:t>
      </w:r>
    </w:p>
    <w:p>
      <w:pPr>
        <w:spacing w:after="0" w:line="117" w:lineRule="exact"/>
        <w:rPr>
          <w:rFonts w:ascii="Arial" w:cs="Arial" w:eastAsia="Arial" w:hAnsi="Arial"/>
          <w:sz w:val="18"/>
          <w:szCs w:val="18"/>
          <w:color w:val="auto"/>
        </w:rPr>
      </w:pPr>
    </w:p>
    <w:p>
      <w:pPr>
        <w:ind w:right="40" w:firstLine="1492"/>
        <w:spacing w:after="0" w:line="259" w:lineRule="auto"/>
        <w:tabs>
          <w:tab w:leader="none" w:pos="178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in the case of an election resulting in a Borrowing, if the resulting Borrowing is to be a LIBOR Borrowing or a EURIBOR Borrowing, the Interest Period to be applicable thereto after giving effect to such election, which shall be a period contemplated by the definition of the term “Interest Period”, and in the case of an election resulting in a BA Drawing, the Contract Period to be applicable thereto, which shall be a period contemplated by the definition of the term “Contract Period”.</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any such Interest Election Request requests a LIBOR or EURIBOR Borrowing or a BA Drawing but does not specify an Interest Period or Contract Period, then the Borrower shall be deemed to have selected, as applicable, an Interest Period of one month’s duration or a Contract Period of one month’s duration.</w:t>
      </w:r>
    </w:p>
    <w:p>
      <w:pPr>
        <w:spacing w:after="0" w:line="16" w:lineRule="exact"/>
        <w:rPr>
          <w:sz w:val="20"/>
          <w:szCs w:val="20"/>
          <w:color w:val="auto"/>
        </w:rPr>
      </w:pPr>
    </w:p>
    <w:p>
      <w:pPr>
        <w:ind w:right="100" w:firstLine="921"/>
        <w:spacing w:after="0" w:line="277" w:lineRule="auto"/>
        <w:tabs>
          <w:tab w:leader="none" w:pos="116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Applicable Agent shall advise each affected Lender of the details thereof and of such Lender’s portion of each resulting Borrowing or BA Drawing.</w:t>
      </w:r>
    </w:p>
    <w:p>
      <w:pPr>
        <w:spacing w:after="0" w:line="62" w:lineRule="exact"/>
        <w:rPr>
          <w:rFonts w:ascii="Arial" w:cs="Arial" w:eastAsia="Arial" w:hAnsi="Arial"/>
          <w:sz w:val="18"/>
          <w:szCs w:val="18"/>
          <w:color w:val="auto"/>
        </w:rPr>
      </w:pPr>
    </w:p>
    <w:p>
      <w:pPr>
        <w:ind w:right="40" w:firstLine="921"/>
        <w:spacing w:after="0" w:line="270" w:lineRule="auto"/>
        <w:tabs>
          <w:tab w:leader="none" w:pos="1158" w:val="left"/>
        </w:tabs>
        <w:numPr>
          <w:ilvl w:val="0"/>
          <w:numId w:val="356"/>
        </w:numPr>
        <w:rPr>
          <w:rFonts w:ascii="Arial" w:cs="Arial" w:eastAsia="Arial" w:hAnsi="Arial"/>
          <w:sz w:val="17"/>
          <w:szCs w:val="17"/>
          <w:color w:val="auto"/>
        </w:rPr>
      </w:pPr>
      <w:r>
        <w:rPr>
          <w:rFonts w:ascii="Arial" w:cs="Arial" w:eastAsia="Arial" w:hAnsi="Arial"/>
          <w:sz w:val="17"/>
          <w:szCs w:val="17"/>
          <w:color w:val="auto"/>
        </w:rPr>
        <w:t>If the applicable Borrower fails to deliver a timely Interest Election Request with respect to an ABR Borrowing, a LIBOR Borrowing denominated in US Dollars and made to a US Borrowing Subsidiary or a Canadian Borrowing Subsidiary or a BA Drawing prior to the end of the Interest Period or Contract Period applicable thereto, then, unless such Borrowing or BA Drawing is repaid as provided herein at the end of such Interest Period or Contract Period, (i) in the case of a LIBOR Borrowing denominated in US Dollars and made to a US Borrowing Subsidiary or a Canadian Borrowing Subsidiary, such Borrowing shall be converted to an ABR Borrowing and (ii) in the case of a BA Drawing, such BA Drawing shall be converted to a Canadian Prime Rate Borrowing, at the end of such Interest Period or Contract Period. If the applicable Borrower fails to deliver an Interest Election Request with respect to any LIBOR Borrowing or EURIBOR Borrowing not referred to in the immediately preceding sentence by the third Business Day preceding the end of the Interest Period applicable thereto, and does not, by such third Business Day, notify the Applicable Agent pursuant to Section 2.10 that it will prepay such Borrowing at the end of such Interest Period, then such Borrowing will be converted or continued at the end of such Interest Period as a LIBOR Borrowing or EURIBOR Borrowing, as the case may be, with an Interest Period of one month’s duration.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330" w:name="page331"/>
    <w:bookmarkEnd w:id="330"/>
    <w:p>
      <w:pPr>
        <w:ind w:right="20" w:firstLine="921"/>
        <w:spacing w:after="0" w:line="255" w:lineRule="auto"/>
        <w:tabs>
          <w:tab w:leader="none" w:pos="1138"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conversion of any Borrowing (or portion thereof), or the continuation of any BA Drawing (or portion thereof), to or as a BA Drawing, the net amount that would otherwise be payable to a Borrower by each Lender pursuant to Section 2.05(f) in respect of such new BA Drawing shall be applied against the principal of such Borrowing (in the case of a conversion) or the reimbursement obligation owed to such Lender under Section 2.05(i) in respect of the BAs accepted by such Lender as part of such maturing BA Drawing (in the case of a continuation), and such Borrower shall pay to such Lender an amount equal to the difference between the principal amount of such Loan or the aggregate face amount of such maturing BAs, as the case may be, and such net amount.</w:t>
      </w:r>
    </w:p>
    <w:p>
      <w:pPr>
        <w:spacing w:after="0" w:line="85" w:lineRule="exact"/>
        <w:rPr>
          <w:rFonts w:ascii="Arial" w:cs="Arial" w:eastAsia="Arial" w:hAnsi="Arial"/>
          <w:sz w:val="18"/>
          <w:szCs w:val="18"/>
          <w:color w:val="auto"/>
        </w:rPr>
      </w:pPr>
    </w:p>
    <w:p>
      <w:pPr>
        <w:ind w:firstLine="921"/>
        <w:spacing w:after="0" w:line="253" w:lineRule="auto"/>
        <w:tabs>
          <w:tab w:leader="none" w:pos="116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Notwithstanding any contrary provision hereof, if an Event of Default has occurred and is continuing and the Administrative Agent, at the request of the Required Lenders, so notifies the Borrower, then, so long as an Event of Default is continuing, (i) no outstanding Borrowing denominated in US Dollars and made to a US Borrowing Subsidiary or a Canadian Borrowing Subsidiary may be converted to or continued as a LIBOR Borrowing, and no Borrowing or BA Drawing denominated in Canadian Dollars may be converted to or continued as a BA Drawing, and (ii) (A) each LIBOR Borrowing denominated in US Dollars and made to a US Borrowing Subsidiary or a Canadian Borrowing Subsidiary shall, unless repaid, be converted to an ABR Borrowing at the end of the Interest Period applicable thereto, (B) each BA Drawing shall, unless repaid, be converted to a Canadian Prime Rate Borrowing at the end of the Contract Period applicable thereto and (C) each other LIBOR Borrowing or EURIBOR Borrowing shall, unless repaid by the third Business Day prior to the end of the Interest Period applicable thereto, be continued as a LIBOR Borrowing or EURIBOR Borrowing, as the case may be, with an Interest Period of one month’s duration.</w:t>
      </w:r>
    </w:p>
    <w:p>
      <w:pPr>
        <w:spacing w:after="0" w:line="19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Extension and Increase of Commitments.</w:t>
      </w:r>
      <w:r>
        <w:rPr>
          <w:rFonts w:ascii="Arial" w:cs="Arial" w:eastAsia="Arial" w:hAnsi="Arial"/>
          <w:sz w:val="18"/>
          <w:szCs w:val="18"/>
          <w:color w:val="auto"/>
        </w:rPr>
        <w:t xml:space="preserve"> (a) Unless previously terminated, the Commitments shall terminate on the Maturity Date.</w:t>
      </w:r>
    </w:p>
    <w:p>
      <w:pPr>
        <w:spacing w:after="0" w:line="62" w:lineRule="exact"/>
        <w:rPr>
          <w:sz w:val="20"/>
          <w:szCs w:val="20"/>
          <w:color w:val="auto"/>
        </w:rPr>
      </w:pPr>
    </w:p>
    <w:p>
      <w:pPr>
        <w:ind w:right="160" w:firstLine="921"/>
        <w:spacing w:after="0" w:line="276" w:lineRule="auto"/>
        <w:tabs>
          <w:tab w:leader="none" w:pos="1168"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The Company may at any time terminate, or from time to time reduce, the Commitments of any Tranche;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each reduction of the Commitments of any Tranche shall be in an amount that is an integral multiple of the Borrowing Multiple and not less than the Borrowing Minimum, in each case for Borrowings denominated in US Dollars and (ii) the Company shall not terminate or reduce the Commitments of any Tranche if, after giving effect to such termination or reduction and to any concurrent payment or prepayment of Loans, BAs or LC Disbursements, the aggregate amount of Revolving Credit Exposures under such Tranche would exceed the aggregate amount of Commitments of such Tranche.</w:t>
      </w:r>
    </w:p>
    <w:p>
      <w:pPr>
        <w:spacing w:after="0" w:line="64" w:lineRule="exact"/>
        <w:rPr>
          <w:rFonts w:ascii="Arial" w:cs="Arial" w:eastAsia="Arial" w:hAnsi="Arial"/>
          <w:sz w:val="17"/>
          <w:szCs w:val="17"/>
          <w:color w:val="auto"/>
        </w:rPr>
      </w:pPr>
    </w:p>
    <w:p>
      <w:pPr>
        <w:ind w:right="40" w:firstLine="921"/>
        <w:spacing w:after="0" w:line="273" w:lineRule="auto"/>
        <w:tabs>
          <w:tab w:leader="none" w:pos="1158"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The Company shall notify the Administrative Agent of any election to terminate or reduce the Commitments under any Tranche under paragraph (b) of this Section at least two Business Days prior to the effective date of such termination or reduction, specifying such election and the effective date thereof. Promptly following receipt of any such notice, the Administrative Agent shall advise the other Agents and the applicable Lenders of the contents thereof. Each notice delivered by the Company pursuant to this Section shall be irrevocable;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notice of termination of the Commitments under any Tranche may state that such notice is conditioned upon the effectiveness of other credit facilities, in which case such notice may be revoked or extended by the Company (by notice to the Administrative Agent on or prior to the specified effective date) if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331" w:name="page332"/>
    <w:bookmarkEnd w:id="331"/>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condition is not satisfied or the effectiveness of such other credit facilities is delayed. Any termination or reduction of the Commitments under any Tranche shall, once effective, be permanent. Each reduction of the Commitments under any Tranche shall be made ratably among the applicable Lenders in accordance with their Commitments under such Tranche.</w:t>
      </w:r>
    </w:p>
    <w:p>
      <w:pPr>
        <w:spacing w:after="0" w:line="73" w:lineRule="exact"/>
        <w:rPr>
          <w:sz w:val="20"/>
          <w:szCs w:val="20"/>
          <w:color w:val="auto"/>
        </w:rPr>
      </w:pPr>
    </w:p>
    <w:p>
      <w:pPr>
        <w:ind w:firstLine="921"/>
        <w:spacing w:after="0" w:line="284" w:lineRule="auto"/>
        <w:tabs>
          <w:tab w:leader="none" w:pos="1168"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Company may at any time and from time to time, by written notice to the Administrative Agent (which shall promptly deliver a copy to each of the other Agents and each of the Lenders), request that the Tranche A Commitments, Tranche B Commitments and/or Tranche C Commitments be increased. Such notice shall set forth the amount of the requested increase in the Tranche A Commitments, Tranche B Commitments and/or Tranche C Commitments and the date on which such increase is requested to become effective (which shall be not less than 30 days or more than 100 days after the date of such notice), and shall offer each Lender the opportunity to increase its Commitment by its Tranche A Percentage, Tranche B Percentage or Tranche C Percentage, as the case may be, of the proposed increased amount. Each Lender shall, by notice to the Company and the Administrative Agent given not more than 15 days after the date of the Company’s notice, either agree to increase its Commitment by all or a portion of the offered amount or decline to increase its Commitment (and any Lender that does not deliver such a notice within such period of 15 days shall be deemed to have declined to increase its Commitment). If a Lender agrees to increase its Commitment by only a portion of the offered amount, such portion shall be least $5,000,000 less than the offered amount. In the event that, on the 15th day after the Company shall have delivered a notice pursuant to the first sentence of this paragraph, the applicable Lenders shall have agreed pursuant to the preceding sentence to increase their Commitments by an aggregate amount less than the increase in the total Commitments requested by the Company, the Company may arrange for one or more Lenders or other Eligible Assignees (any such financial institution referred to in this Section being called an “</w:t>
      </w:r>
      <w:r>
        <w:rPr>
          <w:rFonts w:ascii="Arial" w:cs="Arial" w:eastAsia="Arial" w:hAnsi="Arial"/>
          <w:sz w:val="16"/>
          <w:szCs w:val="16"/>
          <w:i w:val="1"/>
          <w:iCs w:val="1"/>
          <w:color w:val="auto"/>
        </w:rPr>
        <w:t>Increasing Lender</w:t>
      </w:r>
      <w:r>
        <w:rPr>
          <w:rFonts w:ascii="Arial" w:cs="Arial" w:eastAsia="Arial" w:hAnsi="Arial"/>
          <w:sz w:val="16"/>
          <w:szCs w:val="16"/>
          <w:color w:val="auto"/>
        </w:rPr>
        <w:t xml:space="preserve">”) to extend Commitments or increase their existing Commitments in an aggregate amount equal to the unsubscribed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new Commitments and increases in existing Commitments pursuant to this paragraph shall not be greater than US$200,000,000 in the aggregate during the term of this Agreement and shall not be less than US$25,000,000 (or any portion of such US$200,000,000 aggregate amount remaining unused) for any such increase, (ii) each Increasing Lender, if not already a Lender hereunder, shall be subject to the approval of the Administrative Agent and each Issuing Bank (which approval shall not be unreasonably withheld) and (iii) each Increasing Lender, if not already a Lender hereunder, shall become a party to this Agreement by completing and delivering to the Administrative Agent a duly executed accession agreement in a form satisfactory to the Administrative Agent and the Borrower (an “</w:t>
      </w:r>
      <w:r>
        <w:rPr>
          <w:rFonts w:ascii="Arial" w:cs="Arial" w:eastAsia="Arial" w:hAnsi="Arial"/>
          <w:sz w:val="16"/>
          <w:szCs w:val="16"/>
          <w:i w:val="1"/>
          <w:iCs w:val="1"/>
          <w:color w:val="auto"/>
        </w:rPr>
        <w:t>Accession Agreement</w:t>
      </w:r>
      <w:r>
        <w:rPr>
          <w:rFonts w:ascii="Arial" w:cs="Arial" w:eastAsia="Arial" w:hAnsi="Arial"/>
          <w:sz w:val="16"/>
          <w:szCs w:val="16"/>
          <w:color w:val="auto"/>
        </w:rPr>
        <w:t xml:space="preserve">”). New Commitments and increases in Commitments shall become effective on the date specified in the applicable notice delivered pursuant to this paragraph (but not prior to the third Business Day after the delivery of such notice to the Administrative Agent). Upon the effectiveness of any Accession Agreement to which any Increasing Lender is a party, (i) such Increasing Lender shall thereafter be deemed to be a party to this Agreement and shall be entitled to all rights, benefits and privileges accorded a Lender hereunder and subject to all obligations of a Lender hereunder and (ii)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shall be deemed to have been amended to reflect the Commitment or Commitments of such Increasing Lender as provided in such Accession Agreement. Notwithstanding the foregoing, (i) no Lender shall be required to increase its Commitment unless it shall agree to such increase in its sole discretion, (ii) any increase in the Commitment of a Lender pursuant to this paragraph shall not require the consent of any other Lender and (iii) no increase in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332" w:name="page333"/>
    <w:bookmarkEnd w:id="33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Commitments (or in the Commitment of any Lender) pursuant to this paragraph shall become effective unless (A) the Administrative Agent shall have received documents consistent with those delivered under Section 4.01(b) and (c), giving effect to such increase and (B) on the effective date of such increase, the representations and warranties of the Borrowers set forth in this Agreement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Following any extension of new Commitments of any Tranche or increases in existing Commitments of any Tranche pursuant to this paragraph, any Loans outstanding under such Tranche prior to the effectiveness of such increase or extension may continue outstanding until the ends of the respective Interests Periods applicable thereto, and shall then be either repaid or refinanced with new Loans under such Tranche made pursuant to Section 2.01. On the effective date of any increase in the Tranche B Commitments pursuant to this paragraph, the applicable Borrowers and Lenders shall take such actions (including making and receiving payments), if any, as the Administrative Agent shall specify in order that the extensions of credit represented by any outstanding BAs may be held by the Tranche B Lenders ratably in proportion to their Tranche B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does not specify any such actions, such outstanding BAs will continue outstanding for the duration of the applicable Contract Periods and the applicable Borrowers’ reimbursement obligations under Section 2.05(i) will continue to be owed to the Lenders that accepted and purchased such BAs.</w:t>
      </w:r>
    </w:p>
    <w:p>
      <w:pPr>
        <w:spacing w:after="0" w:line="61" w:lineRule="exact"/>
        <w:rPr>
          <w:sz w:val="20"/>
          <w:szCs w:val="20"/>
          <w:color w:val="auto"/>
        </w:rPr>
      </w:pPr>
    </w:p>
    <w:p>
      <w:pPr>
        <w:ind w:right="20" w:firstLine="921"/>
        <w:spacing w:after="0" w:line="268" w:lineRule="auto"/>
        <w:tabs>
          <w:tab w:leader="none" w:pos="1158"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The Company may, by delivery of a Maturity Date Extension Request to the Administrative Agent (which shall promptly deliver a copy to each of the other Agents and the Lenders) not less than 30 days and not more than 60 days prior to any anniversary of the Closing Date, request that the Lenders extend the Maturity Date for an additional period of one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shall be no more than two extensions of the Maturity Date pursuant to this paragraph. Each Lender shall, by notice to the Company and the Administrative Agent given not more than 20 days after the date of the Administrative Agent’s receipt of the Company’s Maturity Date Extension Request, advise the Company whether or not it agrees to the requested extension (each Lender agreeing to a requested extension being called a </w:t>
      </w:r>
      <w:r>
        <w:rPr>
          <w:rFonts w:ascii="Arial" w:cs="Arial" w:eastAsia="Arial" w:hAnsi="Arial"/>
          <w:sz w:val="17"/>
          <w:szCs w:val="17"/>
          <w:i w:val="1"/>
          <w:iCs w:val="1"/>
          <w:color w:val="auto"/>
        </w:rPr>
        <w:t>“Consenting Lender”</w:t>
      </w:r>
      <w:r>
        <w:rPr>
          <w:rFonts w:ascii="Arial" w:cs="Arial" w:eastAsia="Arial" w:hAnsi="Arial"/>
          <w:sz w:val="17"/>
          <w:szCs w:val="17"/>
          <w:color w:val="auto"/>
        </w:rPr>
        <w:t xml:space="preserve">, and each Lender declining to agree to a requested extension being called a </w:t>
      </w:r>
      <w:r>
        <w:rPr>
          <w:rFonts w:ascii="Arial" w:cs="Arial" w:eastAsia="Arial" w:hAnsi="Arial"/>
          <w:sz w:val="17"/>
          <w:szCs w:val="17"/>
          <w:i w:val="1"/>
          <w:iCs w:val="1"/>
          <w:color w:val="auto"/>
        </w:rPr>
        <w:t>“Declining</w:t>
      </w:r>
      <w:r>
        <w:rPr>
          <w:rFonts w:ascii="Arial" w:cs="Arial" w:eastAsia="Arial" w:hAnsi="Arial"/>
          <w:sz w:val="17"/>
          <w:szCs w:val="17"/>
          <w:color w:val="auto"/>
        </w:rPr>
        <w:t xml:space="preserve"> </w:t>
      </w:r>
      <w:r>
        <w:rPr>
          <w:rFonts w:ascii="Arial" w:cs="Arial" w:eastAsia="Arial" w:hAnsi="Arial"/>
          <w:sz w:val="17"/>
          <w:szCs w:val="17"/>
          <w:i w:val="1"/>
          <w:iCs w:val="1"/>
          <w:color w:val="auto"/>
        </w:rPr>
        <w:t>Lender”</w:t>
      </w:r>
      <w:r>
        <w:rPr>
          <w:rFonts w:ascii="Arial" w:cs="Arial" w:eastAsia="Arial" w:hAnsi="Arial"/>
          <w:sz w:val="17"/>
          <w:szCs w:val="17"/>
          <w:color w:val="auto"/>
        </w:rPr>
        <w:t>). Any Lender that has not so advised the Company and the Administrative Agent by such day shall be deemed to have declined to agree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extension and shall be a Declining Lender. If Lenders constituting at least the Required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Arial" w:cs="Arial" w:eastAsia="Arial" w:hAnsi="Arial"/>
          <w:sz w:val="17"/>
          <w:szCs w:val="17"/>
          <w:i w:val="1"/>
          <w:iCs w:val="1"/>
          <w:color w:val="auto"/>
        </w:rPr>
        <w:t>“Existing Maturity Date”</w:t>
      </w:r>
      <w:r>
        <w:rPr>
          <w:rFonts w:ascii="Arial" w:cs="Arial" w:eastAsia="Arial" w:hAnsi="Arial"/>
          <w:sz w:val="17"/>
          <w:szCs w:val="17"/>
          <w:color w:val="auto"/>
        </w:rPr>
        <w:t>). The principal amount of any outstanding Loans made by Declining Lenders, together with any accrued interest thereon and any accrued fees and other amounts payable to or for the account of such Declining Lenders hereunder, shall be due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3" w:right="239" w:bottom="1440" w:gutter="0" w:footer="0" w:header="0"/>
        </w:sectPr>
      </w:pPr>
    </w:p>
    <w:bookmarkStart w:id="333" w:name="page334"/>
    <w:bookmarkEnd w:id="33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payable on the Existing Maturity Date, and on the Existing Maturity Date the Borrowers shall also make such other prepayments of their Loans pursuant to Section 2.10 as shall be required in order that, after giving effect to the termination of the Commitments of, and all payments to, Declining Lenders pursuant to this sentence, (i) the aggregate Tranche A Revolving Credit Exposures will not exceed the aggregate Tranche A Commitments, (ii) the aggregate Tranche B Revolving Credit Exposures will not exceed the aggregate Tranche B Commitments and (iii) the aggregate Tranche C Revolving Credit Exposures will not exceed the aggregate Tranche C Commitments. Upon the payment of all outstanding Loans and other amounts payable to a Declining Lender pursuant to the foregoing sentence, such Declining Lender shall cease to be a party hereto but shall continue to be entitled to the benefits of Sections 2.14, 2.15, 2.16 and 11.03. Notwithstanding the foregoing provisions of this paragraph, the Company shall have the right, pursuant to and in accordance with Sections 2.18 and 11.04, at any time prior to the Existing Maturity Date, to replace a Declining Lender with an Eligible Assignee that will agree to the applicable Maturity Date Extension Request, and any such replacement Lender shall for all purposes constitute a Consenting Lender. Notwithstanding the foregoing, no extension of the Maturity Date pursuant to this paragraph shall become effective unless (i) the Administrative Agent shall have received documents consistent with those described in Section 4.01(b) and (c), giving effect to such extension and (ii) on the effective date of such extension, the representations and warranties of the Borrowers set forth in this Agreement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w:t>
      </w:r>
    </w:p>
    <w:p>
      <w:pPr>
        <w:spacing w:after="0" w:line="17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and BAs; Evidence of Debt.</w:t>
      </w:r>
      <w:r>
        <w:rPr>
          <w:rFonts w:ascii="Arial" w:cs="Arial" w:eastAsia="Arial" w:hAnsi="Arial"/>
          <w:sz w:val="18"/>
          <w:szCs w:val="18"/>
          <w:color w:val="auto"/>
        </w:rPr>
        <w:t xml:space="preserve"> (a) Each Borrower hereby unconditionally promises to pay to the Applicable Agent for the account of each Lender the then unpaid principal amount of each Loan of such Borrower on the Maturity Date and the face amount of each BA, if any, accepted by such Lender as provided in Section 2.05. Each Borrower will pay the principal amount of each Loan or BA made to or drawn by such Borrower and the accrued interest on such Loan in the currency of such Loan or BA.</w:t>
      </w:r>
    </w:p>
    <w:p>
      <w:pPr>
        <w:spacing w:after="0" w:line="79" w:lineRule="exact"/>
        <w:rPr>
          <w:sz w:val="20"/>
          <w:szCs w:val="20"/>
          <w:color w:val="auto"/>
        </w:rPr>
      </w:pPr>
    </w:p>
    <w:p>
      <w:pPr>
        <w:ind w:right="80" w:firstLine="921"/>
        <w:spacing w:after="0" w:line="264" w:lineRule="auto"/>
        <w:tabs>
          <w:tab w:leader="none" w:pos="116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or BA accepted and purchased by such Lender, including the amounts of principal and interest payable and paid to such Lender from time to time hereunder.</w:t>
      </w:r>
    </w:p>
    <w:p>
      <w:pPr>
        <w:spacing w:after="0" w:line="73" w:lineRule="exact"/>
        <w:rPr>
          <w:rFonts w:ascii="Arial" w:cs="Arial" w:eastAsia="Arial" w:hAnsi="Arial"/>
          <w:sz w:val="18"/>
          <w:szCs w:val="18"/>
          <w:color w:val="auto"/>
        </w:rPr>
      </w:pPr>
    </w:p>
    <w:p>
      <w:pPr>
        <w:ind w:right="40" w:firstLine="921"/>
        <w:spacing w:after="0" w:line="257" w:lineRule="auto"/>
        <w:tabs>
          <w:tab w:leader="none" w:pos="115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and BA accepted and purchased hereunder, the Class and Type of each such Loan and, in the case of any LIBOR or EURIBOR Loan, the Interest Period applicable thereto, (ii) the amount of any principal or interest due and payable or to become due and payable from each Borrower to each Lender hereunder and (iii) the amount of any sum received by any Agent hereunder for the account of the Lenders or any of them and each Lender’s share thereof. The London Agent and the Canadian Agent shall furnish to the Administrative Agent, promptly after the making of any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3" w:right="279" w:bottom="1440" w:gutter="0" w:footer="0" w:header="0"/>
        </w:sectPr>
      </w:pPr>
    </w:p>
    <w:bookmarkStart w:id="334" w:name="page335"/>
    <w:bookmarkEnd w:id="334"/>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or Borrowing or the acceptance and purchase of any BAs with respect to which it is the Applicable Agent or the receipt of any payment of principal or interest with respect to any such Loan or Borrowing or any such BAs, information with respect thereto that will enable the Administrative Agent to maintain the accounts referred to in the preceding sentence.</w:t>
      </w:r>
    </w:p>
    <w:p>
      <w:pPr>
        <w:spacing w:after="0" w:line="73" w:lineRule="exact"/>
        <w:rPr>
          <w:sz w:val="20"/>
          <w:szCs w:val="20"/>
          <w:color w:val="auto"/>
        </w:rPr>
      </w:pPr>
    </w:p>
    <w:p>
      <w:pPr>
        <w:ind w:firstLine="921"/>
        <w:spacing w:after="0" w:line="312" w:lineRule="auto"/>
        <w:tabs>
          <w:tab w:leader="none" w:pos="1168" w:val="left"/>
        </w:tabs>
        <w:numPr>
          <w:ilvl w:val="0"/>
          <w:numId w:val="362"/>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Section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38" w:lineRule="exact"/>
        <w:rPr>
          <w:rFonts w:ascii="Arial" w:cs="Arial" w:eastAsia="Arial" w:hAnsi="Arial"/>
          <w:sz w:val="16"/>
          <w:szCs w:val="16"/>
          <w:color w:val="auto"/>
        </w:rPr>
      </w:pPr>
    </w:p>
    <w:p>
      <w:pPr>
        <w:ind w:right="20" w:firstLine="921"/>
        <w:spacing w:after="0" w:line="297" w:lineRule="auto"/>
        <w:tabs>
          <w:tab w:leader="none" w:pos="1158"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reasonably acceptable to the Administrative Agent. Thereafter, the Loans evidenced by such promissory note and interest thereon shall at all times (including after assignment pursuant to Section 11.04) be represented by one or more promissory notes in such form payable to the payee named therein (or, if such promissory note is a registered note, to such payee and its registered assigns).</w:t>
      </w:r>
    </w:p>
    <w:p>
      <w:pPr>
        <w:spacing w:after="0" w:line="158"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xml:space="preserve"> (a) Any Borrower shall have the right at any time and from time to time to prepay, without premium or penalty, any Borrowing of such Borrower in whole or in part, subject to prior notice in accordance with paragraph (d) of this Section and subject to Section 2.15.</w:t>
      </w:r>
    </w:p>
    <w:p>
      <w:pPr>
        <w:spacing w:after="0" w:line="73" w:lineRule="exact"/>
        <w:rPr>
          <w:sz w:val="20"/>
          <w:szCs w:val="20"/>
          <w:color w:val="auto"/>
        </w:rPr>
      </w:pPr>
    </w:p>
    <w:p>
      <w:pPr>
        <w:ind w:right="20" w:firstLine="921"/>
        <w:spacing w:after="0" w:line="271" w:lineRule="auto"/>
        <w:tabs>
          <w:tab w:leader="none" w:pos="1168" w:val="left"/>
        </w:tabs>
        <w:numPr>
          <w:ilvl w:val="0"/>
          <w:numId w:val="363"/>
        </w:numPr>
        <w:rPr>
          <w:rFonts w:ascii="Arial" w:cs="Arial" w:eastAsia="Arial" w:hAnsi="Arial"/>
          <w:sz w:val="17"/>
          <w:szCs w:val="17"/>
          <w:color w:val="auto"/>
        </w:rPr>
      </w:pPr>
      <w:r>
        <w:rPr>
          <w:rFonts w:ascii="Arial" w:cs="Arial" w:eastAsia="Arial" w:hAnsi="Arial"/>
          <w:sz w:val="17"/>
          <w:szCs w:val="17"/>
          <w:color w:val="auto"/>
        </w:rPr>
        <w:t>If the aggregate Revolving Credit Exposures under any Tranche shall exceed the aggregate Commitments under such Tranche, then (i) on the last day of any Interest Period for any LIBOR Borrowing or EURIBOR Borrowing, and the last day of any Contract Period for any BA Drawing, under such Tranche and (ii) on each other date on which any ABR Borrowing or Canadian Prime Rate Borrowing shall be outstanding under such Tranche, the applicable Borrowers shall prepay Loans under such Tranche in an aggregate amount equal to the lesser of (A) the amount necessary to eliminate such excess (after giving effect to any other prepayment of Loans or payment of BAs on such day) and (B) the amount of the applicable Borrowings or BA Drawings referred to in clause (i) or (ii), as applicable. If the aggregate amount of the Revolving Credit Exposures under any Tranche on any day shall exceed 105% of the aggregate Commitments under such Tranche, then the applicable Borrowers shall, within three Business Days, prepay one or more Borrowings under such Tranche in an aggregate principal amount sufficient to eliminate such excess.</w:t>
      </w:r>
    </w:p>
    <w:p>
      <w:pPr>
        <w:spacing w:after="0" w:line="70" w:lineRule="exact"/>
        <w:rPr>
          <w:rFonts w:ascii="Arial" w:cs="Arial" w:eastAsia="Arial" w:hAnsi="Arial"/>
          <w:sz w:val="17"/>
          <w:szCs w:val="17"/>
          <w:color w:val="auto"/>
        </w:rPr>
      </w:pPr>
    </w:p>
    <w:p>
      <w:pPr>
        <w:ind w:right="160" w:firstLine="921"/>
        <w:spacing w:after="0" w:line="277" w:lineRule="auto"/>
        <w:tabs>
          <w:tab w:leader="none" w:pos="115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62"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applicable Borrower shall notify the Applicable Agent by a fax notice signed by a Financial Officer on behalf of the applicable Borrower of any prepayment of a Borrowing hereunder (i) in the case of a LIBOR Borrowing denominated in US Dollars, not later than 11:00 a.m., Local Time, three Business Days before the date of such prepayment (or, in the case of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335" w:name="page336"/>
    <w:bookmarkEnd w:id="335"/>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prepayment under paragraph (b) above, as soon thereafter as practicable), (ii) in the case of a LIBOR Borrowing denominated in Sterling or a EURIBOR Borrowing, not later than 11:00 a.m., Local Time, three Business Days before the date of such prepayment (or, in the case of a prepayment under paragraph</w:t>
      </w:r>
    </w:p>
    <w:p>
      <w:pPr>
        <w:ind w:left="260" w:hanging="252"/>
        <w:spacing w:after="0"/>
        <w:tabs>
          <w:tab w:leader="none" w:pos="26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above, as soon thereafter as practicable), (iii) in the case of an ABR Borrowing, not later than 11:00 a.m., Local Time, on the date of such prepayment and</w:t>
      </w:r>
    </w:p>
    <w:p>
      <w:pPr>
        <w:spacing w:after="0" w:line="32" w:lineRule="exact"/>
        <w:rPr>
          <w:rFonts w:ascii="Arial" w:cs="Arial" w:eastAsia="Arial" w:hAnsi="Arial"/>
          <w:sz w:val="16"/>
          <w:szCs w:val="16"/>
          <w:color w:val="auto"/>
        </w:rPr>
      </w:pPr>
    </w:p>
    <w:p>
      <w:pPr>
        <w:ind w:firstLine="8"/>
        <w:spacing w:after="0" w:line="269" w:lineRule="auto"/>
        <w:tabs>
          <w:tab w:leader="none" w:pos="255" w:val="left"/>
        </w:tabs>
        <w:numPr>
          <w:ilvl w:val="0"/>
          <w:numId w:val="365"/>
        </w:numPr>
        <w:rPr>
          <w:rFonts w:ascii="Arial" w:cs="Arial" w:eastAsia="Arial" w:hAnsi="Arial"/>
          <w:sz w:val="17"/>
          <w:szCs w:val="17"/>
          <w:color w:val="auto"/>
        </w:rPr>
      </w:pPr>
      <w:r>
        <w:rPr>
          <w:rFonts w:ascii="Arial" w:cs="Arial" w:eastAsia="Arial" w:hAnsi="Arial"/>
          <w:sz w:val="17"/>
          <w:szCs w:val="17"/>
          <w:color w:val="auto"/>
        </w:rPr>
        <w:t xml:space="preserve">in the case of a Canadian Prime Rate Borrowing, not later than 11:00 a.m., Local Time, on the date of such prepayment. Each such notice shall be irrevocable and shall specify the prepayment date and the principal amount of each Borrowing or portion thereof to be prepaid;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notice of optional prepayment is given in connection with a conditional notice of termination of the Commitments as contemplated by Section 2.08(c), then such notice of prepayment may be revoked or extended if such notice of termination is revoked or extended in accordance with Section 2.08(c). Promptly following receipt of any such notice, the Applicable Agent shall advise the applicable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w:t>
      </w:r>
    </w:p>
    <w:p>
      <w:pPr>
        <w:spacing w:after="0" w:line="18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(a) The Company agrees to pay to the Administrative Agent, in US Dollars, for the account of each Lender, a facility fee, which shall accrue at the Applicable Rate (as set forth under the caption “Facility Fee Rate” in the definition of such term) on the daily amount of each Commitment of such Lender, whether used or unused, during the period from and including the Closing Date to but excluding the date on which such Commitment expires or is terminated;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Lender continues to have any Revolving Credit Exposure under any Tranche after its Commitment of such Tranche terminates, then such facility fee shall continue to accrue on the daily amount of such Lender’s Revolving Credit Exposure under such Tranche from and including the date on which such Commitment terminates to but excluding the date on which such Lender ceases to have any Revolving Credit Exposure under such Tranche. Accrued facility fees shall be payable in arrears on the last day of each March, June, September and December, commencing on the first such date to occur after the date hereof, and, with respect to the Commitments of any Tranche, on the date on which the Commitments of such Tranche shall terminate;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facility fees accruing on the Revolving Credit Exposure under any Tranche after the date on which the Commitments of such Tranche terminate shall be payable on demand. All facility fees shall be computed on the basis of a year of 360 days and shall be payable for the actual number of days elapsed (including the first day but excluding the last day).</w:t>
      </w:r>
    </w:p>
    <w:p>
      <w:pPr>
        <w:spacing w:after="0" w:line="65" w:lineRule="exact"/>
        <w:rPr>
          <w:sz w:val="20"/>
          <w:szCs w:val="20"/>
          <w:color w:val="auto"/>
        </w:rPr>
      </w:pPr>
    </w:p>
    <w:p>
      <w:pPr>
        <w:ind w:right="100" w:firstLine="921"/>
        <w:spacing w:after="0" w:line="271" w:lineRule="auto"/>
        <w:tabs>
          <w:tab w:leader="none" w:pos="116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The Company agrees to pay (i) to the Administrative Agent for the account of each Tranche A Lender a participation fee with respect to its participations in Letters of Credit, which shall accrue at the Applicable Rate (as set forth under the caption “LIBOR/EURIBOR Spread and BA Stamping Fee” in the definition of such term) used to determine the interest rate applicable to LIBOR Loans, on the daily amount of such Lender’s LC Exposure (excluding any portion thereof attributable to unreimbursed LC Disbursements) during the period from and including the Effective Date to but excluding the later of the date on which such Lender’s Tranche A Commitment terminates and the date on which such Lender ceases to have any LC Exposure and (ii) to each Issuing Bank a fronting fee, which shall accrue at the rate of 0.125% per annum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Tranche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336" w:name="page337"/>
    <w:bookmarkEnd w:id="336"/>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or becoming payable in respect of Letters of Credit issued through and including the last day of March, June, September and December of each year shall be payable on the third Business Day following such last day, commencing on the first such date to occur after the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fees shall be payable on the date on which the Tranche A Commitments terminate and any such fees accruing after the date on which the Tranche A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71" w:lineRule="exact"/>
        <w:rPr>
          <w:sz w:val="20"/>
          <w:szCs w:val="20"/>
          <w:color w:val="auto"/>
        </w:rPr>
      </w:pPr>
    </w:p>
    <w:p>
      <w:pPr>
        <w:ind w:right="20" w:firstLine="921"/>
        <w:spacing w:after="0" w:line="276" w:lineRule="auto"/>
        <w:tabs>
          <w:tab w:leader="none" w:pos="1158" w:val="left"/>
        </w:tabs>
        <w:numPr>
          <w:ilvl w:val="0"/>
          <w:numId w:val="367"/>
        </w:numPr>
        <w:rPr>
          <w:rFonts w:ascii="Arial" w:cs="Arial" w:eastAsia="Arial" w:hAnsi="Arial"/>
          <w:sz w:val="17"/>
          <w:szCs w:val="17"/>
          <w:color w:val="auto"/>
        </w:rPr>
      </w:pPr>
      <w:r>
        <w:rPr>
          <w:rFonts w:ascii="Arial" w:cs="Arial" w:eastAsia="Arial" w:hAnsi="Arial"/>
          <w:sz w:val="17"/>
          <w:szCs w:val="17"/>
          <w:color w:val="auto"/>
        </w:rPr>
        <w:t>Each Canadian Borrowing Subsidiary agrees to pay to the Canadian Agent, for the account of each Tranche B Lender, on each date on which BAs drawn by such Canadian Borrowing Subsidiary are accepted and purchased hereunder, in Canadian Dollars, an acceptance fee computed by multiplying the aggregate face amount of the BAs accepted by such Lender on such date by the product of (i) the Applicable Rate (as set forth under the caption “LIBOR/EURIBOR Spread and BA Stamping Fee” in the definition of such term) on such date and (ii) a fraction, the numerator of which is the number of days in the Contract Period applicable to such BAs and the denominator of which is 365.</w:t>
      </w:r>
    </w:p>
    <w:p>
      <w:pPr>
        <w:spacing w:after="0" w:line="64" w:lineRule="exact"/>
        <w:rPr>
          <w:rFonts w:ascii="Arial" w:cs="Arial" w:eastAsia="Arial" w:hAnsi="Arial"/>
          <w:sz w:val="17"/>
          <w:szCs w:val="17"/>
          <w:color w:val="auto"/>
        </w:rPr>
      </w:pPr>
    </w:p>
    <w:p>
      <w:pPr>
        <w:ind w:right="460" w:firstLine="921"/>
        <w:spacing w:after="0" w:line="277" w:lineRule="auto"/>
        <w:tabs>
          <w:tab w:leader="none" w:pos="116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Company agrees to pay to the Agents, for their own accounts, fees payable in the amounts and at the times separately agreed upon between the Company and the Agents.</w:t>
      </w:r>
    </w:p>
    <w:p>
      <w:pPr>
        <w:spacing w:after="0" w:line="62" w:lineRule="exact"/>
        <w:rPr>
          <w:rFonts w:ascii="Arial" w:cs="Arial" w:eastAsia="Arial" w:hAnsi="Arial"/>
          <w:sz w:val="18"/>
          <w:szCs w:val="18"/>
          <w:color w:val="auto"/>
        </w:rPr>
      </w:pPr>
    </w:p>
    <w:p>
      <w:pPr>
        <w:ind w:firstLine="921"/>
        <w:spacing w:after="0" w:line="293" w:lineRule="auto"/>
        <w:tabs>
          <w:tab w:leader="none" w:pos="1158"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immediately available funds, to the Administrative Agent, to the Issuing Banks (in the case of fees payable to them) or to the Canadian Agent (in the case of fees referred to in paragraph (c) of this Section) for distribution (i) in the case of facility fees, to the Lenders, (ii) in the case of the participation fees, to the Tranche A Lenders and (iii) in the case of acceptance fees, to the Tranche B Lenders. All fees payable hereunder to any Issuing Bank under clause (ii) of paragraph (b) above shall be payable to the office or offices specified by such Issuing Bank for the payment of such fees and will be made by the Company from locations in Guernsey or another jurisdiction under the laws of which no withholding or similar tax will be applicable to such payments. Fees paid shall not be refundable under any circumstances.</w:t>
      </w:r>
    </w:p>
    <w:p>
      <w:pPr>
        <w:spacing w:after="0" w:line="16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The Loans comprising each ABR Borrowing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“ABR/Canadian Prime Rate Spread”).</w:t>
      </w:r>
    </w:p>
    <w:p>
      <w:pPr>
        <w:spacing w:after="0" w:line="62" w:lineRule="exact"/>
        <w:rPr>
          <w:sz w:val="20"/>
          <w:szCs w:val="20"/>
          <w:color w:val="auto"/>
        </w:rPr>
      </w:pPr>
    </w:p>
    <w:p>
      <w:pPr>
        <w:ind w:right="100" w:firstLine="921"/>
        <w:spacing w:after="0" w:line="286" w:lineRule="auto"/>
        <w:tabs>
          <w:tab w:leader="none" w:pos="1168"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The Loans comprising each LIBOR Borrowing shall bear interest at (i) in the case of Loans denominated in US Dollars, the Adjusted LIBO Rate, and (ii) in the case of Loans denominated in Sterling, the LIBO Rate, in each case for the Interest Period in effect for such Borrowing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“LIBOR/EURIBOR Spread and BA Stamping Fee” in the definition of such term).</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74" w:right="319" w:bottom="1440" w:gutter="0" w:footer="0" w:header="0"/>
        </w:sectPr>
      </w:pPr>
    </w:p>
    <w:bookmarkStart w:id="337" w:name="page338"/>
    <w:bookmarkEnd w:id="337"/>
    <w:p>
      <w:pPr>
        <w:ind w:left="-8" w:firstLine="921"/>
        <w:spacing w:after="0" w:line="308" w:lineRule="auto"/>
        <w:tabs>
          <w:tab w:leader="none" w:pos="1150" w:val="left"/>
        </w:tabs>
        <w:numPr>
          <w:ilvl w:val="1"/>
          <w:numId w:val="3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Loans comprising each EURIBOR Borrowing shall bear interest at the EURIBO Rate for the Interest Period in effect for such Borrowing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“LIBOR/EURIBOR Spread and BA Stamping Fee” in the definition of such term).</w:t>
      </w:r>
    </w:p>
    <w:p>
      <w:pPr>
        <w:spacing w:after="0" w:line="38" w:lineRule="exact"/>
        <w:rPr>
          <w:rFonts w:ascii="Arial" w:cs="Arial" w:eastAsia="Arial" w:hAnsi="Arial"/>
          <w:sz w:val="17"/>
          <w:szCs w:val="17"/>
          <w:color w:val="auto"/>
        </w:rPr>
      </w:pPr>
    </w:p>
    <w:p>
      <w:pPr>
        <w:ind w:left="-8" w:right="160" w:firstLine="921"/>
        <w:spacing w:after="0" w:line="277" w:lineRule="auto"/>
        <w:tabs>
          <w:tab w:leader="none" w:pos="116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The Loans comprising each Canadian Prime Rate Borrowing shall bear interest at the Canadian Prime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“ABR/Canadian Prime Rate Spread”).</w:t>
      </w:r>
    </w:p>
    <w:p>
      <w:pPr>
        <w:spacing w:after="0" w:line="62" w:lineRule="exact"/>
        <w:rPr>
          <w:rFonts w:ascii="Arial" w:cs="Arial" w:eastAsia="Arial" w:hAnsi="Arial"/>
          <w:sz w:val="18"/>
          <w:szCs w:val="18"/>
          <w:color w:val="auto"/>
        </w:rPr>
      </w:pPr>
    </w:p>
    <w:p>
      <w:pPr>
        <w:ind w:left="-8" w:right="40" w:firstLine="921"/>
        <w:spacing w:after="0" w:line="297" w:lineRule="auto"/>
        <w:tabs>
          <w:tab w:leader="none" w:pos="1150" w:val="left"/>
        </w:tabs>
        <w:numPr>
          <w:ilvl w:val="1"/>
          <w:numId w:val="369"/>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any principal of or interest on any Loan or BA, any LC Disbursement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BA or any LC Disbursement, 2%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interest rate or discount rate otherwise applicable to such Loan, BA or LC Disbursement as provided in the preceding paragraphs of this Section or (ii) in the case of any other amount, 2% per annum plus the rate applicable to ABR Loans in US Dollars as provided in paragraph (a) of this Section.</w:t>
      </w:r>
    </w:p>
    <w:p>
      <w:pPr>
        <w:spacing w:after="0" w:line="50" w:lineRule="exact"/>
        <w:rPr>
          <w:rFonts w:ascii="Arial" w:cs="Arial" w:eastAsia="Arial" w:hAnsi="Arial"/>
          <w:sz w:val="16"/>
          <w:szCs w:val="16"/>
          <w:color w:val="auto"/>
        </w:rPr>
      </w:pPr>
    </w:p>
    <w:p>
      <w:pPr>
        <w:ind w:left="-8" w:right="340" w:firstLine="921"/>
        <w:spacing w:after="0" w:line="291" w:lineRule="auto"/>
        <w:tabs>
          <w:tab w:leader="none" w:pos="1130" w:val="left"/>
        </w:tabs>
        <w:numPr>
          <w:ilvl w:val="1"/>
          <w:numId w:val="369"/>
        </w:numPr>
        <w:rPr>
          <w:rFonts w:ascii="Arial" w:cs="Arial" w:eastAsia="Arial" w:hAnsi="Arial"/>
          <w:sz w:val="16"/>
          <w:szCs w:val="16"/>
          <w:color w:val="auto"/>
        </w:rPr>
      </w:pPr>
      <w:r>
        <w:rPr>
          <w:rFonts w:ascii="Arial" w:cs="Arial" w:eastAsia="Arial" w:hAnsi="Arial"/>
          <w:sz w:val="16"/>
          <w:szCs w:val="16"/>
          <w:color w:val="auto"/>
        </w:rPr>
        <w:t xml:space="preserve">Accrued interest on each Loan under any Tranche shall be payable in arrears on each Interest Payment Date for such Loan and upon the termination of the Commitments of such Tranche;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interest accrued pursuant to paragraph (e) of this Section shall be payable on demand,</w:t>
      </w:r>
    </w:p>
    <w:p>
      <w:pPr>
        <w:ind w:left="-8" w:right="120" w:firstLine="8"/>
        <w:spacing w:after="0" w:line="295" w:lineRule="auto"/>
        <w:tabs>
          <w:tab w:leader="none" w:pos="25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LIBOR Loan or EURIBOR Loan prior to the end of the current Interest Period therefor, accrued interest on such Loan shall be payable on the effective date of such conversion. All interest shall be payable in the currency in which the applicable Loan is denominated.</w:t>
      </w:r>
    </w:p>
    <w:p>
      <w:pPr>
        <w:spacing w:after="0" w:line="53" w:lineRule="exact"/>
        <w:rPr>
          <w:rFonts w:ascii="Arial" w:cs="Arial" w:eastAsia="Arial" w:hAnsi="Arial"/>
          <w:sz w:val="16"/>
          <w:szCs w:val="16"/>
          <w:color w:val="auto"/>
        </w:rPr>
      </w:pPr>
    </w:p>
    <w:p>
      <w:pPr>
        <w:ind w:left="1172" w:hanging="259"/>
        <w:spacing w:after="0"/>
        <w:tabs>
          <w:tab w:leader="none" w:pos="1172"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 interest on Borrowings denominated in Sterling,</w:t>
      </w:r>
    </w:p>
    <w:p>
      <w:pPr>
        <w:spacing w:after="0" w:line="46" w:lineRule="exact"/>
        <w:rPr>
          <w:rFonts w:ascii="Arial" w:cs="Arial" w:eastAsia="Arial" w:hAnsi="Arial"/>
          <w:sz w:val="16"/>
          <w:szCs w:val="16"/>
          <w:color w:val="auto"/>
        </w:rPr>
      </w:pPr>
    </w:p>
    <w:p>
      <w:pPr>
        <w:ind w:left="-8" w:right="60" w:firstLine="8"/>
        <w:spacing w:after="0" w:line="271" w:lineRule="auto"/>
        <w:tabs>
          <w:tab w:leader="none" w:pos="257" w:val="left"/>
        </w:tabs>
        <w:numPr>
          <w:ilvl w:val="0"/>
          <w:numId w:val="371"/>
        </w:numPr>
        <w:rPr>
          <w:rFonts w:ascii="Arial" w:cs="Arial" w:eastAsia="Arial" w:hAnsi="Arial"/>
          <w:sz w:val="17"/>
          <w:szCs w:val="17"/>
          <w:color w:val="auto"/>
        </w:rPr>
      </w:pPr>
      <w:r>
        <w:rPr>
          <w:rFonts w:ascii="Arial" w:cs="Arial" w:eastAsia="Arial" w:hAnsi="Arial"/>
          <w:sz w:val="17"/>
          <w:szCs w:val="17"/>
          <w:color w:val="auto"/>
        </w:rPr>
        <w:t>interest computed by reference to the Alternate Base Rate at times when the Alternate Base Rate is based on the Prime Rate and (iii) interest on Canadian Prime Rate Borrowings and acceptance fees shall each be computed on the basis of a year of 365 days (or, in the case of ABR Borrowings and Canadian Prime Rate Borrowings, 366 days in a leap year), and in each case shall be payable for the actual number of days elapsed (including the first day but excluding the last day). The applicable Adjusted LIBO Rate, LIBO Rate, EURIBO Rate, Alternate Base Rate or Canadian Prime Rate shall be determined by the Applicable Agent, and such determination shall be conclusive absent manifest error.</w:t>
      </w:r>
    </w:p>
    <w:p>
      <w:pPr>
        <w:spacing w:after="0" w:line="70" w:lineRule="exact"/>
        <w:rPr>
          <w:rFonts w:ascii="Arial" w:cs="Arial" w:eastAsia="Arial" w:hAnsi="Arial"/>
          <w:sz w:val="17"/>
          <w:szCs w:val="17"/>
          <w:color w:val="auto"/>
        </w:rPr>
      </w:pPr>
    </w:p>
    <w:p>
      <w:pPr>
        <w:ind w:left="-8" w:firstLine="921"/>
        <w:spacing w:after="0" w:line="257" w:lineRule="auto"/>
        <w:tabs>
          <w:tab w:leader="none" w:pos="11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rates of interest provided for in this Agreement, insofar as they apply to Swiss Borrowing Subsidiaries, are subject to adjustment as provided in this paragraph. When entering into this Agreement, the parties have assumed that the interest payable at the rates set out in this Section or in other Sections of this Agreement is not and will not become subject to the Swiss Withholding Tax. Notwithstanding that the parties do not anticipate that any payment of interest will be subject to the Swiss Withholding Tax, they agree that, in the event that (i) the Swiss Withholding Tax should be imposed on interest payments by any Swiss Borrowing Subsidiary and (ii) such Swiss Borrowing</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72"/>
          </w:cols>
          <w:pgMar w:left="248" w:top="273" w:right="279" w:bottom="1440" w:gutter="0" w:footer="0" w:header="0"/>
        </w:sectPr>
      </w:pPr>
    </w:p>
    <w:bookmarkStart w:id="338" w:name="page339"/>
    <w:bookmarkEnd w:id="338"/>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is unable, by reason of the Swiss Withholding Tax Act, to comply with Section 2.16, the interest rate on such payments due by such Swiss Borrowing Subsidiary, including limitations therein, shall be increased in such a way that the amount of interest effectively paid to each Lender corresponds to an amount which (after making any deduction of the Non-Refundable Portion (as defined below) of the Swiss Withholding Tax) equals the payment which would have been due had no deduction of Swiss Withholding Tax been required. For the purposes of this Section, “Non-Refundable Portion” shall mean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applicable Swiss Borrowing Subsidiaries and the Lenders shall promptly co-operate in completing any procedural formalities (including submitting forms and documents required by the Swiss or foreign tax authorities) to the extent possible and necessary (i) for the applicable Swiss Borrowing Subsidiary to obtain the tax ruling from the Swiss Federal Tax Administration and (ii) for the Lenders to claim a refund of any Swiss Withholding Tax so deducted. To the extent the Swiss Federal Tax Administration issues the tax ruling only after payments subject to Swiss Withholding Tax were to be made so that the Non-Refundable Portion applied for the purpose of such payments is higher than according to the later ruling confirmation, the Applicable Agent agrees to file the aforementioned documents as required by law or applicable double taxation treaties for the Lenders to</w:t>
      </w:r>
    </w:p>
    <w:p>
      <w:pPr>
        <w:spacing w:after="0" w:line="4" w:lineRule="exact"/>
        <w:rPr>
          <w:sz w:val="20"/>
          <w:szCs w:val="20"/>
          <w:color w:val="auto"/>
        </w:rPr>
      </w:pPr>
    </w:p>
    <w:p>
      <w:pPr>
        <w:ind w:right="20" w:firstLine="8"/>
        <w:spacing w:after="0" w:line="261" w:lineRule="auto"/>
        <w:tabs>
          <w:tab w:leader="none" w:pos="21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claim a refund of Swiss Withholding Tax and (ii) once paid out by the Swiss Federal Tax Administration, pay the refund to the applicable Swiss Borrowing Subsidiary.</w:t>
      </w:r>
    </w:p>
    <w:p>
      <w:pPr>
        <w:spacing w:after="0" w:line="75" w:lineRule="exact"/>
        <w:rPr>
          <w:rFonts w:ascii="Arial" w:cs="Arial" w:eastAsia="Arial" w:hAnsi="Arial"/>
          <w:sz w:val="18"/>
          <w:szCs w:val="18"/>
          <w:color w:val="auto"/>
        </w:rPr>
      </w:pPr>
    </w:p>
    <w:p>
      <w:pPr>
        <w:ind w:right="360" w:firstLine="921"/>
        <w:spacing w:after="0" w:line="308" w:lineRule="auto"/>
        <w:tabs>
          <w:tab w:leader="none" w:pos="1128" w:val="left"/>
        </w:tabs>
        <w:numPr>
          <w:ilvl w:val="1"/>
          <w:numId w:val="372"/>
        </w:numPr>
        <w:rPr>
          <w:rFonts w:ascii="Arial" w:cs="Arial" w:eastAsia="Arial" w:hAnsi="Arial"/>
          <w:sz w:val="17"/>
          <w:szCs w:val="17"/>
          <w:color w:val="auto"/>
        </w:rPr>
      </w:pPr>
      <w:r>
        <w:rPr>
          <w:rFonts w:ascii="Arial" w:cs="Arial" w:eastAsia="Arial" w:hAnsi="Arial"/>
          <w:sz w:val="17"/>
          <w:szCs w:val="17"/>
          <w:color w:val="auto"/>
        </w:rPr>
        <w:t>No Swiss Borrowing Subsidiary shall be required to pay any additional amount to a Lender pursuant to Section 2.12(h) as a result of such Lender having breached (i) Section 2.16(h) or (ii) the requirements for or limitations on transfers of interests under Section 11.04.</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Alternate Rate of Interest; Illegality.</w:t>
      </w:r>
      <w:r>
        <w:rPr>
          <w:rFonts w:ascii="Arial" w:cs="Arial" w:eastAsia="Arial" w:hAnsi="Arial"/>
          <w:sz w:val="17"/>
          <w:szCs w:val="17"/>
          <w:color w:val="auto"/>
        </w:rPr>
        <w:t xml:space="preserve"> (a) If prior to the commencement of any Interest Period for a LIBOR Borrowing or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EURIBOR Borrowing:</w:t>
      </w:r>
    </w:p>
    <w:p>
      <w:pPr>
        <w:spacing w:after="0" w:line="103" w:lineRule="exact"/>
        <w:rPr>
          <w:sz w:val="20"/>
          <w:szCs w:val="20"/>
          <w:color w:val="auto"/>
        </w:rPr>
      </w:pPr>
    </w:p>
    <w:p>
      <w:pPr>
        <w:ind w:right="140" w:firstLine="1492"/>
        <w:spacing w:after="0" w:line="264" w:lineRule="auto"/>
        <w:tabs>
          <w:tab w:leader="none" w:pos="169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the LIBO Rate or the EURIBO Rate, as the case may be (including, without limitation, because the applicable Screen Rate is not available or published on a current basis), for such Interest Period; or</w:t>
      </w:r>
    </w:p>
    <w:p>
      <w:pPr>
        <w:spacing w:after="0" w:line="73" w:lineRule="exact"/>
        <w:rPr>
          <w:rFonts w:ascii="Arial" w:cs="Arial" w:eastAsia="Arial" w:hAnsi="Arial"/>
          <w:sz w:val="18"/>
          <w:szCs w:val="18"/>
          <w:color w:val="auto"/>
        </w:rPr>
      </w:pPr>
    </w:p>
    <w:p>
      <w:pPr>
        <w:ind w:firstLine="1492"/>
        <w:spacing w:after="0" w:line="264" w:lineRule="auto"/>
        <w:tabs>
          <w:tab w:leader="none" w:pos="174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Administrative Agent is advised by a majority in interest of the Lenders that would make Loans as part of such Borrowing that the Adjusted LIBO Rate, the LIBO Rate or the EURIBO Rate, as the case may be, for such Interest Period will not adequately and fairly reflect the cost to such Lenders of making or maintaining the Loans included in such Borrowing for such Interest Period;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then, subject to paragraph (b) of this Section, the Administrative Agent shall give notice thereof to the applicable Borrower and the applicable Lenders by telephone or fax as promptly as practicable thereafter and, until the Administrative Agent notifies the applicable Borrower and the applicable Lenders that the circumstances giving rise to such notice no longer exist, (I) any Interest Election Request that requests the conversion of any Borrowing to, or continuation of any Borrowing as, 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3" w:right="239" w:bottom="1440" w:gutter="0" w:footer="0" w:header="0"/>
        </w:sectPr>
      </w:pPr>
    </w:p>
    <w:bookmarkStart w:id="339" w:name="page340"/>
    <w:bookmarkEnd w:id="339"/>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affected LIBOR Borrowing or EURIBOR Borrowing, as the case may be, shall be ineffective, (II) any affected LIBOR Borrowing or EURIBOR Borrowing that is requested to be continued shall (A) if denominated in US Dollars and made by a US Borrowing Subsidiary or a Canadian Borrowing Subsidiary, be continued as an ABR Borrowing, or (B) otherwise, be continued as a Borrowing bearing interest at a rate equal to the sum of (1) a rate per annum determined by the Administrative Agent from time to time to be sufficient to cover the funding cost of each Lender in connection with such Borrowing plus</w:t>
      </w:r>
    </w:p>
    <w:p>
      <w:pPr>
        <w:spacing w:after="0" w:line="2" w:lineRule="exact"/>
        <w:rPr>
          <w:sz w:val="20"/>
          <w:szCs w:val="20"/>
          <w:color w:val="auto"/>
        </w:rPr>
      </w:pPr>
    </w:p>
    <w:p>
      <w:pPr>
        <w:ind w:right="60" w:firstLine="8"/>
        <w:spacing w:after="0" w:line="255" w:lineRule="auto"/>
        <w:tabs>
          <w:tab w:leader="none" w:pos="24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Applicable Rate (as set forth under the caption “LIBOR/EURIBOR Spread and BA Stamping Fee” in the definition of such term) and (III) any Borrowing Request for an affected LIBOR Borrowing or a EURIBOR Borrowing shall (A) if denominated in US Dollars and made by a US Borrowing Subsidiary or a Canadian Borrowing Subsidiary, be deemed a request for an ABR Borrowing, or (B) otherwise, be ineffective.</w:t>
      </w:r>
    </w:p>
    <w:p>
      <w:pPr>
        <w:spacing w:after="0" w:line="82" w:lineRule="exact"/>
        <w:rPr>
          <w:rFonts w:ascii="Arial" w:cs="Arial" w:eastAsia="Arial" w:hAnsi="Arial"/>
          <w:sz w:val="18"/>
          <w:szCs w:val="18"/>
          <w:color w:val="auto"/>
        </w:rPr>
      </w:pPr>
    </w:p>
    <w:p>
      <w:pPr>
        <w:ind w:right="80" w:firstLine="921"/>
        <w:spacing w:after="0" w:line="291" w:lineRule="auto"/>
        <w:tabs>
          <w:tab w:leader="none" w:pos="1168"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If at any time the Administrative Agent determines (which determination shall be conclusive absent manifest error) that (i) the circumstances set forth in clause (a)(i) of this Section have arisen and such circumstances are unlikely to be temporary or (ii) the circumstances set forth in such clause (a)</w:t>
      </w:r>
    </w:p>
    <w:p>
      <w:pPr>
        <w:spacing w:after="0" w:line="285" w:lineRule="auto"/>
        <w:rPr>
          <w:rFonts w:ascii="Arial" w:cs="Arial" w:eastAsia="Arial" w:hAnsi="Arial"/>
          <w:sz w:val="16"/>
          <w:szCs w:val="16"/>
          <w:color w:val="auto"/>
        </w:rPr>
      </w:pPr>
      <w:r>
        <w:rPr>
          <w:rFonts w:ascii="Arial" w:cs="Arial" w:eastAsia="Arial" w:hAnsi="Arial"/>
          <w:sz w:val="16"/>
          <w:szCs w:val="16"/>
          <w:color w:val="auto"/>
        </w:rPr>
        <w:t>(i) have not arisen but the supervisor for the administrator of the applicable Screen Rate or a Governmental Authority having jurisdiction over the Administrative Agent has made a public statement identifying a specific date after which the applicable Screen Rate shall no longer be used for determining interest rates for loans, then the Administrative Agent and the Company shall endeavor to establish an alternate rate of interest to that based on the applicable Screen Rate that gives due consideration to the then prevailing market convention for determining a rate of interest for syndicated loans of the applicable currency and Type at such time, and shall enter into an amendment to this Agreement to reflect such alternate rate of interest and such other related changes to this Agreement as may be applicable. Notwithstanding anything to the contrary in Section 11.02,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(b) (but, in the case of the circumstances described in clause (ii) of the first sentence of clause (a) of this Section, only to the extent the applicable Screen Rate for such Interest Period is not available or published at such time on a current basis), clauses (I), (II) and (III) of clause (a) of this Section shall be applicable. Notwithstanding the foregoing, if any alternate rate of interest established pursuant to this clause (b) (without giving effect to the Applicable Rate or any alternative spread that may have been agreed upon over the applicable Lenders’ deemed cost of funds) shall be less than zero, such rate shall be deemed to be zero for all purposes of this Agreement.</w:t>
      </w:r>
    </w:p>
    <w:p>
      <w:pPr>
        <w:spacing w:after="0" w:line="62" w:lineRule="exact"/>
        <w:rPr>
          <w:rFonts w:ascii="Arial" w:cs="Arial" w:eastAsia="Arial" w:hAnsi="Arial"/>
          <w:sz w:val="16"/>
          <w:szCs w:val="16"/>
          <w:color w:val="auto"/>
        </w:rPr>
      </w:pPr>
    </w:p>
    <w:p>
      <w:pPr>
        <w:ind w:right="140" w:firstLine="921"/>
        <w:spacing w:after="0" w:line="276" w:lineRule="auto"/>
        <w:tabs>
          <w:tab w:leader="none" w:pos="1158" w:val="left"/>
        </w:tabs>
        <w:numPr>
          <w:ilvl w:val="1"/>
          <w:numId w:val="37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if it becomes unlawful for any Lender, any Affiliate of a Lender or its or their applicable Lending Office to perform its obligations hereunder to make Loans in any currency or to any Borrower, then such Lender shall notify the Applicable Agent thereof and the obligation of such Lender to make such Loans shall be suspended until such Lender shall notify the Applicable Agent, and the Applicable Agent shall notify the Company and the other Lenders, that the circumstances causing such suspension no longer exist (which notice shall be given promptly after such Lender shall become aware that the circumstances causing such suspension no longer exist).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340" w:name="page341"/>
    <w:bookmarkEnd w:id="3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(a) If any Change in Law shall:</w:t>
      </w:r>
    </w:p>
    <w:p>
      <w:pPr>
        <w:spacing w:after="0" w:line="117" w:lineRule="exact"/>
        <w:rPr>
          <w:sz w:val="20"/>
          <w:szCs w:val="20"/>
          <w:color w:val="auto"/>
        </w:rPr>
      </w:pPr>
    </w:p>
    <w:p>
      <w:pPr>
        <w:jc w:val="both"/>
        <w:ind w:right="280" w:firstLine="1492"/>
        <w:spacing w:after="0" w:line="264" w:lineRule="auto"/>
        <w:tabs>
          <w:tab w:leader="none" w:pos="169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in the case of Letters of Credit, participated in by, any Lender (except any such reserve requirement reflected in the Adjusted LIBO Rate) or any Issuing Bank;</w:t>
      </w:r>
    </w:p>
    <w:p>
      <w:pPr>
        <w:spacing w:after="0" w:line="73" w:lineRule="exact"/>
        <w:rPr>
          <w:rFonts w:ascii="Arial" w:cs="Arial" w:eastAsia="Arial" w:hAnsi="Arial"/>
          <w:sz w:val="18"/>
          <w:szCs w:val="18"/>
          <w:color w:val="auto"/>
        </w:rPr>
      </w:pPr>
    </w:p>
    <w:p>
      <w:pPr>
        <w:ind w:firstLine="1492"/>
        <w:spacing w:after="0" w:line="264" w:lineRule="auto"/>
        <w:tabs>
          <w:tab w:leader="none" w:pos="174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impose on any Lender, any Issuing Bank or the London, European or Canadian interbank market any other condition, cost or expense (other than Taxes) affecting this Agreement or LIBOR Loans or EURIBOR Loans made by or any acceptance and purchase of BAs by such Lender or any Letter of Credit or participations therein; or</w:t>
      </w:r>
    </w:p>
    <w:p>
      <w:pPr>
        <w:spacing w:after="0" w:line="73" w:lineRule="exact"/>
        <w:rPr>
          <w:rFonts w:ascii="Arial" w:cs="Arial" w:eastAsia="Arial" w:hAnsi="Arial"/>
          <w:sz w:val="18"/>
          <w:szCs w:val="18"/>
          <w:color w:val="auto"/>
        </w:rPr>
      </w:pPr>
    </w:p>
    <w:p>
      <w:pPr>
        <w:ind w:right="560" w:firstLine="1492"/>
        <w:spacing w:after="0" w:line="264" w:lineRule="auto"/>
        <w:tabs>
          <w:tab w:leader="none" w:pos="179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subject any Lender, any Issuing Bank or any Agent to any Taxes (other than Indemnified Taxes and Excluded Taxes or Swiss Withholding Tax) on its loans, loan principal, letters of credit, commitments or other obligations, or its deposits, reserves, other liabilities or capital attributable thereto;</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and the result of any of the foregoing shall be to increase the cost to any Lender or Issuing Bank of making or maintaining any Loan or accepting and purchasing any BAs (or of maintaining its obligation to make any such Loan or to accept and purchase any such BAs) or participating in, issuing or maintaining any Letter of Credit, or to reduce the amount of any sum received or receivable by any Lender, Issuing Bank or Agent hereunder (whether of principal, interest or otherwise), then the applicable Borrower will pay to such Lender, Issuing Bank or Agent, as the case may be, such additional amount or amounts as will compensate such Lender, Issuing Bank or Agent, as the case may be, for such additional costs incurred or reduction suffered.</w:t>
      </w:r>
    </w:p>
    <w:p>
      <w:pPr>
        <w:spacing w:after="0" w:line="50" w:lineRule="exact"/>
        <w:rPr>
          <w:sz w:val="20"/>
          <w:szCs w:val="20"/>
          <w:color w:val="auto"/>
        </w:rPr>
      </w:pPr>
    </w:p>
    <w:p>
      <w:pPr>
        <w:ind w:right="20" w:firstLine="921"/>
        <w:spacing w:after="0" w:line="271" w:lineRule="auto"/>
        <w:tabs>
          <w:tab w:leader="none" w:pos="1168" w:val="left"/>
        </w:tabs>
        <w:numPr>
          <w:ilvl w:val="1"/>
          <w:numId w:val="376"/>
        </w:numPr>
        <w:rPr>
          <w:rFonts w:ascii="Arial" w:cs="Arial" w:eastAsia="Arial" w:hAnsi="Arial"/>
          <w:sz w:val="17"/>
          <w:szCs w:val="17"/>
          <w:color w:val="auto"/>
        </w:rPr>
      </w:pPr>
      <w:r>
        <w:rPr>
          <w:rFonts w:ascii="Arial" w:cs="Arial" w:eastAsia="Arial" w:hAnsi="Arial"/>
          <w:sz w:val="17"/>
          <w:szCs w:val="17"/>
          <w:color w:val="auto"/>
        </w:rPr>
        <w:t>If any Lender or Issuing Bank determines in good faith that any Change in Law regarding capital requirements or liquidity has or would have the effect of reducing the rate of return on such Lender’s or Issuing Bank’s capital or on the capital of such Lender’s or Issuing Bank’s holding company, if any, as a consequence of this Agreement or the Loans made or BAs accepted and purchased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applicable Borrower will pay to such Lender or Issuing Bank, as the case may be, such additional amount or amounts as will compensate such Lender or Issuing Bank or such Lender’s or Issuing Bank’s holding company for any such reduction suffered.</w:t>
      </w:r>
    </w:p>
    <w:p>
      <w:pPr>
        <w:spacing w:after="0" w:line="70" w:lineRule="exact"/>
        <w:rPr>
          <w:rFonts w:ascii="Arial" w:cs="Arial" w:eastAsia="Arial" w:hAnsi="Arial"/>
          <w:sz w:val="17"/>
          <w:szCs w:val="17"/>
          <w:color w:val="auto"/>
        </w:rPr>
      </w:pPr>
    </w:p>
    <w:p>
      <w:pPr>
        <w:ind w:right="140" w:firstLine="921"/>
        <w:spacing w:after="0" w:line="291" w:lineRule="auto"/>
        <w:tabs>
          <w:tab w:leader="none" w:pos="1158" w:val="left"/>
        </w:tabs>
        <w:numPr>
          <w:ilvl w:val="1"/>
          <w:numId w:val="376"/>
        </w:numPr>
        <w:rPr>
          <w:rFonts w:ascii="Arial" w:cs="Arial" w:eastAsia="Arial" w:hAnsi="Arial"/>
          <w:sz w:val="16"/>
          <w:szCs w:val="16"/>
          <w:color w:val="auto"/>
        </w:rPr>
      </w:pPr>
      <w:r>
        <w:rPr>
          <w:rFonts w:ascii="Arial" w:cs="Arial" w:eastAsia="Arial" w:hAnsi="Arial"/>
          <w:sz w:val="16"/>
          <w:szCs w:val="16"/>
          <w:color w:val="auto"/>
        </w:rPr>
        <w:t>A certificate of a Lender, Issuing Bank or Agent setting forth the amount or amounts necessary to compensate such Lender, Issuing Bank or Agent or its holding company, as the case may be, and the manner in which such amount or amounts have been calculated, as specified in paragraph (a) or</w:t>
      </w:r>
    </w:p>
    <w:p>
      <w:pPr>
        <w:ind w:right="20" w:firstLine="8"/>
        <w:spacing w:after="0" w:line="323" w:lineRule="auto"/>
        <w:tabs>
          <w:tab w:leader="none" w:pos="25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of this Section, shall be delivered to the Company and shall be conclusive absent manifest error. The Company shall pay or cause the applicable Borrower to pay such Lender, Issuing Bank or Agent, as the case may be, the amount shown as due on any such certificate within 10 days after receipt thereof.</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74" w:right="279" w:bottom="1440" w:gutter="0" w:footer="0" w:header="0"/>
        </w:sectPr>
      </w:pPr>
    </w:p>
    <w:bookmarkStart w:id="341" w:name="page342"/>
    <w:bookmarkEnd w:id="341"/>
    <w:p>
      <w:pPr>
        <w:ind w:right="80" w:firstLine="921"/>
        <w:spacing w:after="0" w:line="293" w:lineRule="auto"/>
        <w:tabs>
          <w:tab w:leader="none" w:pos="1168" w:val="left"/>
        </w:tabs>
        <w:numPr>
          <w:ilvl w:val="0"/>
          <w:numId w:val="3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Failure or delay on the part of any Lender, Issuing Bank or Agent to demand compensation pursuant to this Section shall not constitute a waiver of such Lender’s, Issuing Bank’s or Agent’s right to demand such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Borrower shall not be required to compensate a Lender, Issuing Bank or Agent pursuant to this Section for any increased costs or reductions incurred more than 180 days prior to the date that such Lender, Issuing Bank or Agent, as the case may be, notifies the Company of the Change in Law giving rise to such increased costs or reductions and of such Lender’s, Issuing Bank’s or Agent’s intention to claim compensation therefor;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56" w:lineRule="exact"/>
        <w:rPr>
          <w:rFonts w:ascii="Arial" w:cs="Arial" w:eastAsia="Arial" w:hAnsi="Arial"/>
          <w:sz w:val="16"/>
          <w:szCs w:val="16"/>
          <w:color w:val="auto"/>
        </w:rPr>
      </w:pPr>
    </w:p>
    <w:p>
      <w:pPr>
        <w:ind w:firstLine="921"/>
        <w:spacing w:after="0" w:line="286" w:lineRule="auto"/>
        <w:tabs>
          <w:tab w:leader="none" w:pos="1158" w:val="left"/>
        </w:tabs>
        <w:numPr>
          <w:ilvl w:val="0"/>
          <w:numId w:val="378"/>
        </w:numPr>
        <w:rPr>
          <w:rFonts w:ascii="Arial" w:cs="Arial" w:eastAsia="Arial" w:hAnsi="Arial"/>
          <w:sz w:val="17"/>
          <w:szCs w:val="17"/>
          <w:color w:val="auto"/>
        </w:rPr>
      </w:pPr>
      <w:r>
        <w:rPr>
          <w:rFonts w:ascii="Arial" w:cs="Arial" w:eastAsia="Arial" w:hAnsi="Arial"/>
          <w:sz w:val="17"/>
          <w:szCs w:val="17"/>
          <w:color w:val="auto"/>
        </w:rPr>
        <w:t>Payments of any amounts due under this Section shall be without duplication of any payments required to be made under Section 2.15, 2.16 or 2.20. To the extent payment of any amount due under this Section is also required under one or more of Sections 2.15, 2.16 and 2.20, such payment will be due only under Section 2.16 or, if not within the scope of Section 2.16, under any one other Section as the payee may elect.</w:t>
      </w:r>
    </w:p>
    <w:p>
      <w:pPr>
        <w:spacing w:after="0" w:line="57" w:lineRule="exact"/>
        <w:rPr>
          <w:rFonts w:ascii="Arial" w:cs="Arial" w:eastAsia="Arial" w:hAnsi="Arial"/>
          <w:sz w:val="17"/>
          <w:szCs w:val="17"/>
          <w:color w:val="auto"/>
        </w:rPr>
      </w:pPr>
    </w:p>
    <w:p>
      <w:pPr>
        <w:ind w:firstLine="921"/>
        <w:spacing w:after="0" w:line="255" w:lineRule="auto"/>
        <w:tabs>
          <w:tab w:leader="none" w:pos="113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each Lender will make claims under this Section in respect (i) the Dodd-Frank Wall Street Reform and Consumer Protection Act or requests, rules, guidelines or directives thereunder or issued in connection therewith or (ii) requests, rules guidelines or directives concerning capital adequacy promulgated by the Bank for International Settlements, the Basel Committee on Banking Regulations and Supervisory Practices (or any successor similar authority) or other financial regulatory authorities, in each case pursuant to Basel III or CRD IV, only if such Lender represents that it is the general policy or practice of such Lender to make such claims under comparable credit facilities containing yield protection provisions that permit it to make such claims.</w:t>
      </w:r>
    </w:p>
    <w:p>
      <w:pPr>
        <w:spacing w:after="0" w:line="19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LIBOR Loan or any EURIBOR Loan other than on the last day of an Interest Period applicable thereto (including as a result of an Event of Default), (b) the conversion of any LIBOR Loan or any EURIBOR Loan other than on the last day of the Interest Period applicable thereto, (c) the failure to borrow, convert, continue or prepay any LIBOR Loan or any EURIBOR Loan on the date specified in any notice delivered pursuant hereto (regardless of whether any such notice may be revoked or extended under Section 2.10(d) and is revoked or extended in accordance therewith) or (d) the assignment of any LIBOR Loan or any EURIBOR Loan other than on the last day of the Interest Period applicable thereto as a result of a request by the applicable Borrower pursuant to Section 2.18 or the CAM Exchange, then, in any such event, the applicable Borrower shall compensate each Lender for the loss, cost and expense (but not for any lost profit)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LIBO Rate or the EURIBO Rate,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or the Discount Proceeds applicable to such BA for such period at the interest 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74" w:right="299" w:bottom="1440" w:gutter="0" w:footer="0" w:header="0"/>
        </w:sectPr>
      </w:pPr>
    </w:p>
    <w:bookmarkStart w:id="342" w:name="page343"/>
    <w:bookmarkEnd w:id="342"/>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such Lender would bid were it to bid, at the commencement of such period, for deposits in the applicable currency of a comparable amount and period from other banks in the London or European interbank market. A certificate of any Lender setting forth in reasonable detail any amount or amounts that such Lender is entitled to receive pursuant to this Section shall be delivered to the Company and shall be conclusive absent manifest error. The applicable Borrower shall pay such Lender the amount shown as due on any such certificate within 10 days after receipt thereof. Payments of any amounts due under this Section shall be without duplication of any payments required to be made under Section 2.14, 2.16 or 2.20. To the extent payment of any amount due under this Section is also required under one or more of Sections 2.14, 2.16 and 2.20, such payment will be due only under Section 2.16 or, if not within the scope of Section 2.16, under any one other Section as the payee may elect.</w:t>
      </w:r>
    </w:p>
    <w:p>
      <w:pPr>
        <w:spacing w:after="0" w:line="17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Any and all payments by or on account of any obligation of a Credit Party hereunder or under any other Credit Document shall be made free and clear of and without deduction for any Indemnified Taxes or Other Taxes;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Credit Party shall be required to deduct any Indemnified Taxes or Other Taxes from such payments, then (i) the sum payable shall be increased as necessary so that after making all required deductions (including deductions applicable to additional sums payable under this Section) each Agent, Lender and Issuing Bank (as the case may be) receives an amount equal to the sum it would have received had no such deductions been made, (ii) such Credit Party shall make such deductions and</w:t>
      </w:r>
    </w:p>
    <w:p>
      <w:pPr>
        <w:spacing w:after="0" w:line="2" w:lineRule="exact"/>
        <w:rPr>
          <w:sz w:val="20"/>
          <w:szCs w:val="20"/>
          <w:color w:val="auto"/>
        </w:rPr>
      </w:pPr>
    </w:p>
    <w:p>
      <w:pPr>
        <w:ind w:right="40" w:firstLine="8"/>
        <w:spacing w:after="0" w:line="253" w:lineRule="auto"/>
        <w:tabs>
          <w:tab w:leader="none" w:pos="31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such Credit Party shall pay the full amount deducted to the relevant Governmental Authority in accordance with applicable law (and, for the avoidance of doubt, the net remittance and refund procedures as set out in Section 2.12(h) shall apply). Notwithstanding the foregoing, with respect to Swiss Withholding Tax only, no Swiss Borrowing Subsidiary shall be required to pay any additional amount to any Lender pursuant to this Section 2.16(a) to compensate for a Tax or Other Tax payable because such Lender has breached (A) Section 2.16(h) and/or (B) the requirements for or limitations on transfers of interests under Section 11.04.</w:t>
      </w:r>
    </w:p>
    <w:p>
      <w:pPr>
        <w:spacing w:after="0" w:line="83" w:lineRule="exact"/>
        <w:rPr>
          <w:rFonts w:ascii="Arial" w:cs="Arial" w:eastAsia="Arial" w:hAnsi="Arial"/>
          <w:sz w:val="18"/>
          <w:szCs w:val="18"/>
          <w:color w:val="auto"/>
        </w:rPr>
      </w:pPr>
    </w:p>
    <w:p>
      <w:pPr>
        <w:ind w:left="1180" w:hanging="259"/>
        <w:spacing w:after="0"/>
        <w:tabs>
          <w:tab w:leader="none" w:pos="118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In addition, but without duplication, the Credit Parties shall pay any Other Taxes to the relevant Governmental Authority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102" w:lineRule="exact"/>
        <w:rPr>
          <w:rFonts w:ascii="Arial" w:cs="Arial" w:eastAsia="Arial" w:hAnsi="Arial"/>
          <w:sz w:val="16"/>
          <w:szCs w:val="16"/>
          <w:color w:val="auto"/>
        </w:rPr>
      </w:pPr>
    </w:p>
    <w:p>
      <w:pPr>
        <w:ind w:right="20" w:firstLine="921"/>
        <w:spacing w:after="0" w:line="270" w:lineRule="auto"/>
        <w:tabs>
          <w:tab w:leader="none" w:pos="1158" w:val="left"/>
        </w:tabs>
        <w:numPr>
          <w:ilvl w:val="1"/>
          <w:numId w:val="379"/>
        </w:numPr>
        <w:rPr>
          <w:rFonts w:ascii="Arial" w:cs="Arial" w:eastAsia="Arial" w:hAnsi="Arial"/>
          <w:sz w:val="17"/>
          <w:szCs w:val="17"/>
          <w:color w:val="auto"/>
        </w:rPr>
      </w:pPr>
      <w:r>
        <w:rPr>
          <w:rFonts w:ascii="Arial" w:cs="Arial" w:eastAsia="Arial" w:hAnsi="Arial"/>
          <w:sz w:val="17"/>
          <w:szCs w:val="17"/>
          <w:color w:val="auto"/>
        </w:rPr>
        <w:t>(i) Each Credit Party shall indemnify each Agent, Lender and Issuing Bank, within 10 days after written demand therefor, for the full amount of any Indemnified Taxes or Other Taxes paid by such Agent, Lender or Issuing Bank, as the case may be, on or with respect to any payment by or on account of any obligation of such Credit Party hereunder or under any other Credit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setting forth the amount of such payment or liability delivered to the Company by an Agent, Lender or Issuing Bank, or by the Administrative Agent on behalf of a Lender or Issuing Bank, shall be conclusive absent manifest error. Such Agent, Lender or Issuing Bank shall use commercially reasonable efforts to cooperate with such Credit Party, at such Credit Party’s expense, to contest any Indemnified Taxes or Other Taxes imposed on or with respect to payments made to or by such Agent, Lender or Issuing Bank and indemnified by such Credit Party that such Credit Party reasonably believes were not correctly or legally imposed or asserted by the relevant Governmental Authority.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3" w:right="239" w:bottom="1440" w:gutter="0" w:footer="0" w:header="0"/>
        </w:sectPr>
      </w:pPr>
    </w:p>
    <w:bookmarkStart w:id="343" w:name="page344"/>
    <w:bookmarkEnd w:id="343"/>
    <w:p>
      <w:pPr>
        <w:ind w:right="60" w:firstLine="921"/>
        <w:spacing w:after="0" w:line="270" w:lineRule="auto"/>
        <w:tabs>
          <w:tab w:leader="none" w:pos="1178" w:val="left"/>
        </w:tabs>
        <w:numPr>
          <w:ilvl w:val="0"/>
          <w:numId w:val="3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shall severally indemnify each Agent, within 10 days after demand therefor, for (A) any Indemnified Taxes or Other Taxes attributable to such Lender (but only to the extent that any Credit Party has not already indemnified such Agent for such Indemnified Taxes and without limiting the obligation of the Credit Parties to do so), (B) any Taxes attributable to such Lender’s failure to comply with the provisions of Section 11.04(k) relating to the maintenance of a Participant Register and (C) any Excluded Taxes attributable to such Lender, in each case, that are payable or paid by such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an Agent shall be conclusive absent manifest error. Each Lender hereby authorizes each Agent to set off and apply any and all amounts at any time owing to such Lender hereunder or under any other Credit Document or otherwise payable by such Agent to the Lender from any other source against any amount due to such Agent under this paragraph (c)(ii). For the avoidance of doubt, nothing in this paragraph (c)(ii) shall increase the obligations of any Borrower under this Section 2.16.</w:t>
      </w:r>
    </w:p>
    <w:p>
      <w:pPr>
        <w:spacing w:after="0" w:line="70" w:lineRule="exact"/>
        <w:rPr>
          <w:sz w:val="20"/>
          <w:szCs w:val="20"/>
          <w:color w:val="auto"/>
        </w:rPr>
      </w:pPr>
    </w:p>
    <w:p>
      <w:pPr>
        <w:ind w:firstLine="921"/>
        <w:spacing w:after="0" w:line="286" w:lineRule="auto"/>
        <w:tabs>
          <w:tab w:leader="none" w:pos="116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 Credit Party to a Governmental Authority,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57" w:lineRule="exact"/>
        <w:rPr>
          <w:rFonts w:ascii="Arial" w:cs="Arial" w:eastAsia="Arial" w:hAnsi="Arial"/>
          <w:sz w:val="17"/>
          <w:szCs w:val="17"/>
          <w:color w:val="auto"/>
        </w:rPr>
      </w:pPr>
    </w:p>
    <w:p>
      <w:pPr>
        <w:ind w:right="40" w:firstLine="921"/>
        <w:spacing w:after="0" w:line="289" w:lineRule="auto"/>
        <w:tabs>
          <w:tab w:leader="none" w:pos="1158" w:val="left"/>
        </w:tabs>
        <w:numPr>
          <w:ilvl w:val="0"/>
          <w:numId w:val="381"/>
        </w:numPr>
        <w:rPr>
          <w:rFonts w:ascii="Arial" w:cs="Arial" w:eastAsia="Arial" w:hAnsi="Arial"/>
          <w:sz w:val="16"/>
          <w:szCs w:val="16"/>
          <w:color w:val="auto"/>
        </w:rPr>
      </w:pPr>
      <w:r>
        <w:rPr>
          <w:rFonts w:ascii="Arial" w:cs="Arial" w:eastAsia="Arial" w:hAnsi="Arial"/>
          <w:sz w:val="16"/>
          <w:szCs w:val="16"/>
          <w:color w:val="auto"/>
        </w:rPr>
        <w:t xml:space="preserve">(i) Any Lender that is entitled to an exemption from or reduction of withholding tax under the law of any jurisdiction in which a Borrower to which such Lender may be required to make Loans hereunder is resident or located, or any treaty to which such jurisdiction is a party, with respect to payments under this Agreement shall deliver to the Company and the applicable Borrower (if not the Company), with a copy to the Administrative Agent, at the time or times prescribed by applicable law, such properly completed and executed documentation prescribed by applicable law or reasonably requested by the Company as will permit such payments to be made without withholding or at a reduced rate; </w:t>
      </w:r>
      <w:r>
        <w:rPr>
          <w:rFonts w:ascii="Arial" w:cs="Arial" w:eastAsia="Arial" w:hAnsi="Arial"/>
          <w:sz w:val="16"/>
          <w:szCs w:val="16"/>
          <w:i w:val="1"/>
          <w:iCs w:val="1"/>
          <w:color w:val="auto"/>
        </w:rPr>
        <w:t>provided</w:t>
      </w:r>
      <w:r>
        <w:rPr>
          <w:rFonts w:ascii="Arial" w:cs="Arial" w:eastAsia="Arial" w:hAnsi="Arial"/>
          <w:sz w:val="16"/>
          <w:szCs w:val="16"/>
          <w:color w:val="auto"/>
        </w:rPr>
        <w:t>, other than in the case of any exemption or reduction on which such Lender shall have been relying at the time it became a Lender or as to which such Lender becomes actually aware after such time, that such Lender has received written notice from the Company advising it of the availability of such exemption or reduction and containing all applicable documentation (together with English translations thereof, if requested by such Lender). Each Lender shall promptly notify the Company at any time it determines that it is no longer in a position to provide any such previously delivered documentation to the Company.</w:t>
      </w:r>
    </w:p>
    <w:p>
      <w:pPr>
        <w:spacing w:after="0" w:line="58" w:lineRule="exact"/>
        <w:rPr>
          <w:rFonts w:ascii="Arial" w:cs="Arial" w:eastAsia="Arial" w:hAnsi="Arial"/>
          <w:sz w:val="16"/>
          <w:szCs w:val="16"/>
          <w:color w:val="auto"/>
        </w:rPr>
      </w:pPr>
    </w:p>
    <w:p>
      <w:pPr>
        <w:jc w:val="both"/>
        <w:ind w:right="180" w:firstLine="1492"/>
        <w:spacing w:after="0" w:line="302" w:lineRule="auto"/>
        <w:tabs>
          <w:tab w:leader="none" w:pos="1748" w:val="left"/>
        </w:tabs>
        <w:numPr>
          <w:ilvl w:val="1"/>
          <w:numId w:val="381"/>
        </w:numPr>
        <w:rPr>
          <w:rFonts w:ascii="Arial" w:cs="Arial" w:eastAsia="Arial" w:hAnsi="Arial"/>
          <w:sz w:val="16"/>
          <w:szCs w:val="16"/>
          <w:color w:val="auto"/>
        </w:rPr>
      </w:pPr>
      <w:r>
        <w:rPr>
          <w:rFonts w:ascii="Arial" w:cs="Arial" w:eastAsia="Arial" w:hAnsi="Arial"/>
          <w:sz w:val="16"/>
          <w:szCs w:val="16"/>
          <w:color w:val="auto"/>
        </w:rPr>
        <w:t>Without limiting the generality of the foregoing paragraph,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Applicable Agent at the time or times prescribed by law and at such time or times reasonably requested by the Borrower or the Applicable Agent such documentation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3" w:right="239" w:bottom="1440" w:gutter="0" w:footer="0" w:header="0"/>
        </w:sectPr>
      </w:pPr>
    </w:p>
    <w:bookmarkStart w:id="344" w:name="page345"/>
    <w:bookmarkEnd w:id="344"/>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prescribed by applicable law (including as prescribed by Section 1471(b)(3)(C)(i) of the Code) and such additional documentation reasonably requested by the Borrower or the Applicable Agent as may be necessary for the Borrower and the Applicable Agent to comply with their obligations under FATCA and to determine that such Lender has complied with such Lender’s obligations under FATCA or to determine the amount to deduct and withhold from such payment. Solely for purposes of this paragraph (e)(ii), “FATCA” shall include any amendments made to FATCA after the date of this Agreement.</w:t>
      </w:r>
    </w:p>
    <w:p>
      <w:pPr>
        <w:spacing w:after="0" w:line="46" w:lineRule="exact"/>
        <w:rPr>
          <w:sz w:val="20"/>
          <w:szCs w:val="20"/>
          <w:color w:val="auto"/>
        </w:rPr>
      </w:pPr>
    </w:p>
    <w:p>
      <w:pPr>
        <w:ind w:right="20" w:firstLine="1492"/>
        <w:spacing w:after="0" w:line="264" w:lineRule="auto"/>
        <w:tabs>
          <w:tab w:leader="none" w:pos="1798" w:val="left"/>
        </w:tabs>
        <w:numPr>
          <w:ilvl w:val="1"/>
          <w:numId w:val="382"/>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Agreement,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73" w:lineRule="exact"/>
        <w:rPr>
          <w:rFonts w:ascii="Arial" w:cs="Arial" w:eastAsia="Arial" w:hAnsi="Arial"/>
          <w:sz w:val="18"/>
          <w:szCs w:val="18"/>
          <w:color w:val="auto"/>
        </w:rPr>
      </w:pPr>
    </w:p>
    <w:p>
      <w:pPr>
        <w:ind w:right="20" w:firstLine="921"/>
        <w:spacing w:after="0" w:line="269" w:lineRule="auto"/>
        <w:tabs>
          <w:tab w:leader="none" w:pos="113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Lender determines, in its good faith judgment (which shall be conclusive absent manifest error), that it has received a refund of any Indemnified Taxes or Other Taxes as to which it has been indemnified by a Borrower or with respect to which a Borrower has paid additional amounts pursuant to this Section, it shall pay over such refund to such Borrower (but only to the extent of indemnity payments made, or additional amounts paid, by such Borrower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other Person. To the extent this Section 2.16(f) otherwise applies, the relevant Agent or Lender and the relevant Credit Party will cooperate to pursue any applicable refund, if necessary.</w:t>
      </w:r>
    </w:p>
    <w:p>
      <w:pPr>
        <w:spacing w:after="0" w:line="74" w:lineRule="exact"/>
        <w:rPr>
          <w:rFonts w:ascii="Arial" w:cs="Arial" w:eastAsia="Arial" w:hAnsi="Arial"/>
          <w:sz w:val="17"/>
          <w:szCs w:val="17"/>
          <w:color w:val="auto"/>
        </w:rPr>
      </w:pPr>
    </w:p>
    <w:p>
      <w:pPr>
        <w:ind w:firstLine="921"/>
        <w:spacing w:after="0" w:line="286" w:lineRule="auto"/>
        <w:tabs>
          <w:tab w:leader="none" w:pos="116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Payments of any amounts due under this Section shall be without duplication of any payments required to be made under Section 2.14, 2.15 or 2.20. To the extent payment of any amount due under this Section is also required under one or more of Sections 2.14, 2.15 and 2.20, such payment will be due only under this Section or, if not within the scope of this Section, under any one other Section as the payee may elect.</w:t>
      </w:r>
    </w:p>
    <w:p>
      <w:pPr>
        <w:spacing w:after="0" w:line="57" w:lineRule="exact"/>
        <w:rPr>
          <w:rFonts w:ascii="Arial" w:cs="Arial" w:eastAsia="Arial" w:hAnsi="Arial"/>
          <w:sz w:val="17"/>
          <w:szCs w:val="17"/>
          <w:color w:val="auto"/>
        </w:rPr>
      </w:pPr>
    </w:p>
    <w:p>
      <w:pPr>
        <w:ind w:right="120" w:firstLine="921"/>
        <w:spacing w:after="0" w:line="273" w:lineRule="auto"/>
        <w:tabs>
          <w:tab w:leader="none" w:pos="116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Each Lender that is a Lender as of the Effective Date confirms that, as of the Effective Date such Lender is a Qualifying Bank. Each person that shall become a Lender after the Effective Date confirms that as of the date such person becomes a Lender it is (i) a Qualifying Bank or (ii) one single creditor for the purposes of the Swiss Withholding Tax Rules. If any Lender that is initially a Qualifying Bank ceases to be a Qualifying Bank, any resulting Swiss Withholding Tax imposed on such Lender will be for that Lender’s account. The Company shall ensure that at any time when the Borrowing Subsidiaries include one or more Swiss Subsidiary Borrowers, each Swiss Subsidiary Borrower will comply, insofar as compliance depends on the Company’s acting or refraining from acting, with the Swiss Withholding Tax Rules. For purposes of compliance with the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274" w:right="299" w:bottom="1440" w:gutter="0" w:footer="0" w:header="0"/>
        </w:sectPr>
      </w:pPr>
    </w:p>
    <w:bookmarkStart w:id="345" w:name="page346"/>
    <w:bookmarkEnd w:id="345"/>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preceding sentence in respect of Swiss Twenty Non-Bank Rule, the Company shall assume for the purposes of determining the total number of creditors which are Non-Qualifying Banks that at all times there are five Lenders that are not Qualifying Banks under this Agreement. Notwithstanding any other provision of this Agreement, the Company shall be responsible for any Swiss Withholding Tax that may be applicable as a result of a breach of its agreements set forth in this Section, but such breach shall not constitute a Default or an Event of Default for purposes of this Agreement.</w:t>
      </w:r>
    </w:p>
    <w:p>
      <w:pPr>
        <w:spacing w:after="0" w:line="46" w:lineRule="exact"/>
        <w:rPr>
          <w:sz w:val="20"/>
          <w:szCs w:val="20"/>
          <w:color w:val="auto"/>
        </w:rPr>
      </w:pPr>
    </w:p>
    <w:p>
      <w:pPr>
        <w:ind w:right="20" w:firstLine="921"/>
        <w:spacing w:after="0" w:line="286" w:lineRule="auto"/>
        <w:tabs>
          <w:tab w:leader="none" w:pos="1128" w:val="left"/>
        </w:tabs>
        <w:numPr>
          <w:ilvl w:val="0"/>
          <w:numId w:val="384"/>
        </w:numPr>
        <w:rPr>
          <w:rFonts w:ascii="Arial" w:cs="Arial" w:eastAsia="Arial" w:hAnsi="Arial"/>
          <w:sz w:val="17"/>
          <w:szCs w:val="17"/>
          <w:color w:val="auto"/>
        </w:rPr>
      </w:pPr>
      <w:r>
        <w:rPr>
          <w:rFonts w:ascii="Arial" w:cs="Arial" w:eastAsia="Arial" w:hAnsi="Arial"/>
          <w:sz w:val="17"/>
          <w:szCs w:val="17"/>
          <w:color w:val="auto"/>
        </w:rPr>
        <w:t>(i) Each UK Borrowing Subsidiary shall, at the request of any Lender or the Administrative Agent, assist the Lender in timely completing any procedural formalities (as may be applicable in the United Kingdom at the applicable time) reasonably necessary for such Lender to receive payments hereunder or under any other Credit Document without withholding or deduction for Taxes imposed under the laws of the United Kingdom.</w:t>
      </w:r>
    </w:p>
    <w:p>
      <w:pPr>
        <w:spacing w:after="0" w:line="57" w:lineRule="exact"/>
        <w:rPr>
          <w:rFonts w:ascii="Arial" w:cs="Arial" w:eastAsia="Arial" w:hAnsi="Arial"/>
          <w:sz w:val="17"/>
          <w:szCs w:val="17"/>
          <w:color w:val="auto"/>
        </w:rPr>
      </w:pPr>
    </w:p>
    <w:p>
      <w:pPr>
        <w:ind w:right="280" w:firstLine="921"/>
        <w:spacing w:after="0" w:line="312" w:lineRule="auto"/>
        <w:tabs>
          <w:tab w:leader="none" w:pos="1178"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If a Lender holds a passport number under the UK DTTP Scheme and chooses the UK DTTP Scheme to apply to its receipt of payments hereunder or under any other Credit Document, then such Lender shall include an indication of such choice by providing to the Administrative Agent and each UK Borrowing Subsidiary (in such Lender’s Administrative Questionnaire or otherwise) such Lender’s reference number for the UK DTTP Scheme.</w:t>
      </w:r>
    </w:p>
    <w:p>
      <w:pPr>
        <w:spacing w:after="0" w:line="38" w:lineRule="exact"/>
        <w:rPr>
          <w:rFonts w:ascii="Arial" w:cs="Arial" w:eastAsia="Arial" w:hAnsi="Arial"/>
          <w:sz w:val="16"/>
          <w:szCs w:val="16"/>
          <w:color w:val="auto"/>
        </w:rPr>
      </w:pPr>
    </w:p>
    <w:p>
      <w:pPr>
        <w:ind w:right="40" w:firstLine="921"/>
        <w:spacing w:after="0" w:line="255" w:lineRule="auto"/>
        <w:tabs>
          <w:tab w:leader="none" w:pos="1228"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Without limiting the generality of Section 2.16(h)(i), when a Lender provides the applicable UK DTTP Scheme reference number to the Administrative Agent and each UK Borrowing Subsidiary in accordance with Section 2.16(h)(ii), each UK Borrower shall file with HMRC a duly completed HMRC Form DTTP2 with respect to such Lender within 30 days of the date hereof (or, in the case of any Lender becoming a Lender hereunder after the date hereof, within 30 days of the date such Lender becomes a Lender hereunder), and in each case each UK Borrowing Subsidiary shall promptly provide such Lender and the Administrative Agent with a proof of, and a copy of, such filing. Unless impracticable, such filing shall be made by electronic online submission.</w:t>
      </w:r>
    </w:p>
    <w:p>
      <w:pPr>
        <w:spacing w:after="0" w:line="19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xml:space="preserve"> (a) Each Borrower shall make each payment required to be made by it hereunder or under any other Credit Document (whether of principal, interest, fees or reimbursement of LC Disbursements or otherwise) prior to the time required hereunder or under such other Credit Document for such payment or, if no such time is expressly required, prior to 1:00 p.m., Local Time, on the date when due, in immediately available funds, without set-off or counterclaim. Any amounts received after such time on any date may, in the discretion of the Applicable Agent, be deemed to have been received on the next succeeding Business Day for purposes of calculating interest thereon. All such payments shall be made to the Applicable Agent for the account of the applicable Lenders to such account as the Applicable Agent shall from time to time specify in one or more notices delivered to the Company, except that payments to be made directly to an Issuing Bank as expressly provided herein shall be made directly to such parties and payments pursuant to Sections 2.14, 2.15, 2.16, 2.20 and 11.03 shall be made directly to the Persons entitled thereto. The Applicable Agent shall distribute any such payments received by it for the account of any other Person to the appropriate recipient promptly following receipt thereof. If any payment under any Credit Document shall be due on a day that is not a Business Day, the date for payment shall be extended to the next succeeding Business Day and, in the case of any payment accruing interest, interest thereon shall be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4" w:right="279" w:bottom="1440" w:gutter="0" w:footer="0" w:header="0"/>
        </w:sectPr>
      </w:pPr>
    </w:p>
    <w:bookmarkStart w:id="346" w:name="page347"/>
    <w:bookmarkEnd w:id="346"/>
    <w:p>
      <w:pPr>
        <w:jc w:val="both"/>
        <w:ind w:right="3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for the period of such extension. All payments hereunder of principal or interest in respect of any Loan, BA or LC Disbursement shall, except as otherwise expressly provided herein, be made in the currency of such Loan, BA or LC Disbursement; all other payments hereunder and under each other Credit Document shall be made in US Dollars. Any payment required to be made by any Agent hereunder shall be deemed to have been made by the time required if such Agent shall, at or before such time, have taken the necessary steps to make such payment in accordance with the regulations or operating procedures of the clearing or settlement system used by such Agent to make such payment.</w:t>
      </w:r>
    </w:p>
    <w:p>
      <w:pPr>
        <w:spacing w:after="0" w:line="64" w:lineRule="exact"/>
        <w:rPr>
          <w:sz w:val="20"/>
          <w:szCs w:val="20"/>
          <w:color w:val="auto"/>
        </w:rPr>
      </w:pPr>
    </w:p>
    <w:p>
      <w:pPr>
        <w:ind w:right="20" w:firstLine="921"/>
        <w:spacing w:after="0" w:line="255" w:lineRule="auto"/>
        <w:tabs>
          <w:tab w:leader="none" w:pos="116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the Agents from any Borrower (or from the Company as guarantor of the Obligations of such Borrower pursuant to Article X) and available to pay fully all amounts of principal, unreimbursed LC Disbursements, interest and fees then due from such Borrower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towards payment of interest and fees then due from such Borrower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towards payment of principal of the Loans and BAs and unreimbursed LC Disbursements then due from such Borrower hereunder, ratably among the parties entitled thereto in accordance with the amounts of such principal then due to such parties.</w:t>
      </w:r>
    </w:p>
    <w:p>
      <w:pPr>
        <w:spacing w:after="0" w:line="85" w:lineRule="exact"/>
        <w:rPr>
          <w:rFonts w:ascii="Arial" w:cs="Arial" w:eastAsia="Arial" w:hAnsi="Arial"/>
          <w:sz w:val="18"/>
          <w:szCs w:val="18"/>
          <w:color w:val="auto"/>
        </w:rPr>
      </w:pPr>
    </w:p>
    <w:p>
      <w:pPr>
        <w:ind w:firstLine="921"/>
        <w:spacing w:after="0" w:line="287" w:lineRule="auto"/>
        <w:tabs>
          <w:tab w:leader="none" w:pos="1158"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If any Lender shall, by exercising any right of set-off or counterclaim or otherwise, obtain payment in respect of its Loans, BAs, participations in LC Disbursements or accrued interest on any of the foregoing (collectively “</w:t>
      </w:r>
      <w:r>
        <w:rPr>
          <w:rFonts w:ascii="Arial" w:cs="Arial" w:eastAsia="Arial" w:hAnsi="Arial"/>
          <w:sz w:val="16"/>
          <w:szCs w:val="16"/>
          <w:i w:val="1"/>
          <w:iCs w:val="1"/>
          <w:color w:val="auto"/>
        </w:rPr>
        <w:t>Claims</w:t>
      </w:r>
      <w:r>
        <w:rPr>
          <w:rFonts w:ascii="Arial" w:cs="Arial" w:eastAsia="Arial" w:hAnsi="Arial"/>
          <w:sz w:val="16"/>
          <w:szCs w:val="16"/>
          <w:color w:val="auto"/>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Claims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the Company and each Borrower rights of set-off and counterclaim with respect to such participation as fully as if such Lender were a direct creditor of the Company or such Borrower in the amount of such participation.</w:t>
      </w:r>
    </w:p>
    <w:p>
      <w:pPr>
        <w:spacing w:after="0" w:line="60" w:lineRule="exact"/>
        <w:rPr>
          <w:rFonts w:ascii="Arial" w:cs="Arial" w:eastAsia="Arial" w:hAnsi="Arial"/>
          <w:sz w:val="16"/>
          <w:szCs w:val="16"/>
          <w:color w:val="auto"/>
        </w:rPr>
      </w:pPr>
    </w:p>
    <w:p>
      <w:pPr>
        <w:ind w:right="20" w:firstLine="921"/>
        <w:spacing w:after="0" w:line="257" w:lineRule="auto"/>
        <w:tabs>
          <w:tab w:leader="none" w:pos="116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Unless an Agent shall have received notice from a Borrower prior to the date on which any payment is due to such Agent for the account of any Lenders or any Issuing Bank hereunder that such Borrower will not make such payment, such Agent may assume that such Borrower has made such payment on such date in accordance herewith and may, in reliance upon such assumption, distribute to the applicable Lenders or Issuing Bank, as the case may be, the amount due. In such event, if such Borrower has not in fact made such payment, then each applicable Lender or Issuing Bank, as the case may be, severally agrees to repay to such Agent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347" w:name="page348"/>
    <w:bookmarkEnd w:id="34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forthwith on demand the amount so distributed to such Lender or Issuing Bank with interest thereon, for each day from and including the date such amount is distributed to it to but excluding the date of payment to such Agent, at a rate determined by such Agent in accordance with banking industry rules on interbank compensation.</w:t>
      </w:r>
    </w:p>
    <w:p>
      <w:pPr>
        <w:spacing w:after="0" w:line="73" w:lineRule="exact"/>
        <w:rPr>
          <w:sz w:val="20"/>
          <w:szCs w:val="20"/>
          <w:color w:val="auto"/>
        </w:rPr>
      </w:pPr>
    </w:p>
    <w:p>
      <w:pPr>
        <w:ind w:firstLine="921"/>
        <w:spacing w:after="0" w:line="259" w:lineRule="auto"/>
        <w:tabs>
          <w:tab w:leader="none" w:pos="115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2.04(d) or (e), 2.06(b), 2.17(c) or 11.03(c) then the Administrative Agent may, in its discretion (notwithstanding any contrary provision hereof), and each other Agent, at the direction of the Administrative Agent, shall, apply any amounts thereafter received by it for the account of such Lender to satisfy such Lender’s obligations under such Sections until all such unsatisfied obligations are fully paid.</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Mitigation by Lenders; Replacement of Lenders; Mitigation by Borrowers.</w:t>
      </w:r>
      <w:r>
        <w:rPr>
          <w:rFonts w:ascii="Arial" w:cs="Arial" w:eastAsia="Arial" w:hAnsi="Arial"/>
          <w:sz w:val="16"/>
          <w:szCs w:val="16"/>
          <w:color w:val="auto"/>
        </w:rPr>
        <w:t xml:space="preserve"> (a) Each Lender shall, to the extent practicable, designate each Tranche A Lending Office, Tranche B Lending Office and Tranche C Lending Office, and select any branch or Affiliate through which it makes any Loan or accepts and purchases any BAs as contemplated by Section 2.02(b), with a view to minimizing, and if possible avoiding, any required payment by the Borrowers of additional amounts pursuant to Section 2.14, 2.16 or 2.20;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be required to designate a Tranche A Lending Office, a Tranche B Lending Office or a Tranche C Lending Office or to select a branch or Affiliate for the making of any Loan or the acceptance and purchase of any BAs if, in the judgment of such Lender, such designation or selection would subject such Lender to any unreimbursed cost or expense or entail any other financial, legal or business disadvantage. If any Borrower is required to pay any additional amount to any Lender or to any Governmental Authority for the account of any Lender pursuant to Section 2.14, 2.16 or 2.20,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 assignment (i) would eliminate or reduce amounts payable pursuant to Section 2.14, 2.16 or 2.20, as the case may be, in the future and (ii) would not subject such Lender to any unreimbursed cost or expense and would not otherwise be disadvantageous to such Lender. The Borrowers hereby agree to pay all reasonable costs and expenses incurred by any Lender in connection with any designation or assignment pursuant to the immediately preceding sentence to eliminate or reduce amounts payable pursuant to Section 2.14, 2.16 or 2.20 as a result of any Change in Law after the Closing Date.</w:t>
      </w:r>
    </w:p>
    <w:p>
      <w:pPr>
        <w:spacing w:after="0" w:line="64" w:lineRule="exact"/>
        <w:rPr>
          <w:sz w:val="20"/>
          <w:szCs w:val="20"/>
          <w:color w:val="auto"/>
        </w:rPr>
      </w:pPr>
    </w:p>
    <w:p>
      <w:pPr>
        <w:ind w:right="100" w:firstLine="921"/>
        <w:spacing w:after="0" w:line="254" w:lineRule="auto"/>
        <w:tabs>
          <w:tab w:leader="none" w:pos="1168"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If (i) any Lender requests compensation under Section 2.14 or 2.20, (ii) any Credit Party is required to pay any additional amount to any Lender or any Governmental Authority for the account of any Lender pursuant to Section 2.16, (iii) any Lender has become a Defaulting Lender or (iv) any Lender has failed to consent to a proposed amendment, waiver, discharge or termination that under Section 11.02 requires the consent of all the Lenders (or all the affected Lenders or all the Lenders with Commitments of the affected Class) and with respect to which the Required Lenders (or, in circumstances where Section 11.02 does not require the consent of the Required Lenders,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11.04), all its interests, rights and obligations under the Credit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3" w:right="259" w:bottom="1440" w:gutter="0" w:footer="0" w:header="0"/>
        </w:sectPr>
      </w:pPr>
    </w:p>
    <w:bookmarkStart w:id="348" w:name="page349"/>
    <w:bookmarkEnd w:id="3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Documents to an assignee that shall assume such obligations (which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sz w:val="20"/>
          <w:szCs w:val="20"/>
          <w:color w:val="auto"/>
        </w:rPr>
      </w:pPr>
    </w:p>
    <w:p>
      <w:pPr>
        <w:ind w:firstLine="8"/>
        <w:spacing w:after="0" w:line="267" w:lineRule="auto"/>
        <w:tabs>
          <w:tab w:leader="none" w:pos="255" w:val="left"/>
        </w:tabs>
        <w:numPr>
          <w:ilvl w:val="0"/>
          <w:numId w:val="388"/>
        </w:numPr>
        <w:rPr>
          <w:rFonts w:ascii="Arial" w:cs="Arial" w:eastAsia="Arial" w:hAnsi="Arial"/>
          <w:sz w:val="17"/>
          <w:szCs w:val="17"/>
          <w:color w:val="auto"/>
        </w:rPr>
      </w:pPr>
      <w:r>
        <w:rPr>
          <w:rFonts w:ascii="Arial" w:cs="Arial" w:eastAsia="Arial" w:hAnsi="Arial"/>
          <w:sz w:val="17"/>
          <w:szCs w:val="17"/>
          <w:color w:val="auto"/>
        </w:rPr>
        <w:t>such Borrower shall have received the prior written consent of the Administrative Agent (and if a Tranche A Commitment is being assigned, each Issuing Bank), which consent, in each case, shall not unreasonably be withheld, (y) such Lender shall have received payment of an amount equal to the outstanding principal of its Loans and BAs and funded participations in LC Disbursements, accrued interest thereon, accrued fees and all other amounts payable to it hereunder, from the assignee (to the extent of such outstanding principal, funded participations and accrued interest and fees) or such Borrower (in the case of all other amounts) and (z) in the case of any such assignment resulting from a claim for compensation under Section 2.14 or 2.20 or payments required to be made pursuant to Section 2.16, such assignment will result in a material reduction in such compensation or payments. A Lender shall not be required to make any such assignment and delegation if, prior thereto, as a result of a waiver by such Lender within five Business Days of the notice from the Company referred to in the preceding sentence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78" w:lineRule="exact"/>
        <w:rPr>
          <w:rFonts w:ascii="Arial" w:cs="Arial" w:eastAsia="Arial" w:hAnsi="Arial"/>
          <w:sz w:val="17"/>
          <w:szCs w:val="17"/>
          <w:color w:val="auto"/>
        </w:rPr>
      </w:pPr>
    </w:p>
    <w:p>
      <w:pPr>
        <w:ind w:right="80" w:firstLine="921"/>
        <w:spacing w:after="0" w:line="257" w:lineRule="auto"/>
        <w:tabs>
          <w:tab w:leader="none" w:pos="1158"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(i) payments by any Borrower from any jurisdiction other than the jurisdiction in which such Borrower is organized are subject to any withholding Tax in the jurisdiction from which payment is made and (ii) any Lender is not legally entitled to a complete exemption from such withholding Tax but would be entitled to such an exemption in the jurisdiction in which such Borrower is organized, such Borrower shall, to the extent practicable, make payments hereunder from the jurisdiction in which it is organized if in the judgment of such Borrower payment from such jurisdiction would not subject it to any cost or expense or entail any other financial, legal or business disadvantage.</w:t>
      </w:r>
    </w:p>
    <w:p>
      <w:pPr>
        <w:spacing w:after="0" w:line="188"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1160" w:hanging="239"/>
        <w:spacing w:after="0"/>
        <w:tabs>
          <w:tab w:leader="none" w:pos="11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facility fees shall cease to accrue on the unused amount of each Commitment of such Defaulting Lender pursuant to Section 2.11(a);</w:t>
      </w:r>
    </w:p>
    <w:p>
      <w:pPr>
        <w:spacing w:after="0" w:line="128" w:lineRule="exact"/>
        <w:rPr>
          <w:rFonts w:ascii="Arial" w:cs="Arial" w:eastAsia="Arial" w:hAnsi="Arial"/>
          <w:sz w:val="17"/>
          <w:szCs w:val="17"/>
          <w:color w:val="auto"/>
        </w:rPr>
      </w:pPr>
    </w:p>
    <w:p>
      <w:pPr>
        <w:ind w:right="60" w:firstLine="921"/>
        <w:spacing w:after="0" w:line="257" w:lineRule="auto"/>
        <w:tabs>
          <w:tab w:leader="none" w:pos="116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the Commitments and Revolving Credit Exposures of such Defaulting Lender shall not be included in determining whether the Required Lenders or any other requisite Lenders have taken or may take any action hereunder or under any other Credit Document (including any consent to any amendment, waiver or other modification pursuant to Section 11.02);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waiver or other modification requiring the consent of all Lenders or all Lenders affected thereby shall, except as otherwise provided in Section 11.02, require the consent of such Defaulting Lender in accordance with the terms hereof;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349" w:name="page350"/>
    <w:bookmarkEnd w:id="349"/>
    <w:p>
      <w:pPr>
        <w:ind w:left="1160" w:hanging="239"/>
        <w:spacing w:after="0"/>
        <w:tabs>
          <w:tab w:leader="none" w:pos="11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LC Exposure exists at the time such Lender becomes a Defaulting Lender then:</w:t>
      </w:r>
    </w:p>
    <w:p>
      <w:pPr>
        <w:spacing w:after="0" w:line="117" w:lineRule="exact"/>
        <w:rPr>
          <w:rFonts w:ascii="Arial" w:cs="Arial" w:eastAsia="Arial" w:hAnsi="Arial"/>
          <w:sz w:val="18"/>
          <w:szCs w:val="18"/>
          <w:color w:val="auto"/>
        </w:rPr>
      </w:pPr>
    </w:p>
    <w:p>
      <w:pPr>
        <w:ind w:right="20" w:firstLine="1492"/>
        <w:spacing w:after="0" w:line="257" w:lineRule="auto"/>
        <w:tabs>
          <w:tab w:leader="none" w:pos="1698" w:val="left"/>
        </w:tabs>
        <w:numPr>
          <w:ilvl w:val="2"/>
          <w:numId w:val="390"/>
        </w:numPr>
        <w:rPr>
          <w:rFonts w:ascii="Arial" w:cs="Arial" w:eastAsia="Arial" w:hAnsi="Arial"/>
          <w:sz w:val="18"/>
          <w:szCs w:val="18"/>
          <w:color w:val="auto"/>
        </w:rPr>
      </w:pPr>
      <w:r>
        <w:rPr>
          <w:rFonts w:ascii="Arial" w:cs="Arial" w:eastAsia="Arial" w:hAnsi="Arial"/>
          <w:sz w:val="18"/>
          <w:szCs w:val="18"/>
          <w:color w:val="auto"/>
        </w:rPr>
        <w:t>any LC Exposure of such Defaulting Lender (other than any portion thereof attributable to unreimbursed LC Disbursements with respect to which such Defaulting Lender shall have funded its participation as contemplated by Sections 2.04(d) and 2.04(e)) shall be reallocated among the Non-Defaulting Lenders of Tranche A ratably in accordance with their respective applicable Tranche A Percentages, but only to the extent that the sum of all Non-Defaulting Lenders’ Tranche A Revolving Credit Exposures, plus such Defaulting Lender’s LC Exposure does not exceed the sum of all Non-Defaulting Lenders’ Tranche A Commitments;</w:t>
      </w:r>
    </w:p>
    <w:p>
      <w:pPr>
        <w:spacing w:after="0" w:line="80" w:lineRule="exact"/>
        <w:rPr>
          <w:rFonts w:ascii="Arial" w:cs="Arial" w:eastAsia="Arial" w:hAnsi="Arial"/>
          <w:sz w:val="18"/>
          <w:szCs w:val="18"/>
          <w:color w:val="auto"/>
        </w:rPr>
      </w:pPr>
    </w:p>
    <w:p>
      <w:pPr>
        <w:jc w:val="both"/>
        <w:ind w:right="20" w:firstLine="1492"/>
        <w:spacing w:after="0" w:line="259" w:lineRule="auto"/>
        <w:tabs>
          <w:tab w:leader="none" w:pos="1748" w:val="left"/>
        </w:tabs>
        <w:numPr>
          <w:ilvl w:val="2"/>
          <w:numId w:val="390"/>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Company shall within two Business Days following notice by the Administrative Agent cash collateralize for the benefit of the Issuing Banks and the Tranche A Lenders the portion of such Defaulting Lender’s LC Exposure that has not been reallocated in accordance with the procedures set forth in Section 2.04(i) for so long as such LC Exposure is outstanding;</w:t>
      </w:r>
    </w:p>
    <w:p>
      <w:pPr>
        <w:spacing w:after="0" w:line="78" w:lineRule="exact"/>
        <w:rPr>
          <w:rFonts w:ascii="Arial" w:cs="Arial" w:eastAsia="Arial" w:hAnsi="Arial"/>
          <w:sz w:val="18"/>
          <w:szCs w:val="18"/>
          <w:color w:val="auto"/>
        </w:rPr>
      </w:pPr>
    </w:p>
    <w:p>
      <w:pPr>
        <w:jc w:val="both"/>
        <w:ind w:right="60" w:firstLine="1492"/>
        <w:spacing w:after="0" w:line="264" w:lineRule="auto"/>
        <w:tabs>
          <w:tab w:leader="none" w:pos="1798" w:val="left"/>
        </w:tabs>
        <w:numPr>
          <w:ilvl w:val="2"/>
          <w:numId w:val="390"/>
        </w:numPr>
        <w:rPr>
          <w:rFonts w:ascii="Arial" w:cs="Arial" w:eastAsia="Arial" w:hAnsi="Arial"/>
          <w:sz w:val="18"/>
          <w:szCs w:val="18"/>
          <w:color w:val="auto"/>
        </w:rPr>
      </w:pPr>
      <w:r>
        <w:rPr>
          <w:rFonts w:ascii="Arial" w:cs="Arial" w:eastAsia="Arial" w:hAnsi="Arial"/>
          <w:sz w:val="18"/>
          <w:szCs w:val="18"/>
          <w:color w:val="auto"/>
        </w:rPr>
        <w:t>if the Company cash collateralizes any portion of such Defaulting Lender’s LC Exposure pursuant to clause (ii) above, the Company shall not be required to pay participation fees to such Defaulting Lender pursuant to Section 2.11(b) with respect to such portion of such Defaulting Lender’s LC Exposure for so long as such Defaulting Lender’s LC Exposure is cash collateralized;</w:t>
      </w:r>
    </w:p>
    <w:p>
      <w:pPr>
        <w:spacing w:after="0" w:line="73" w:lineRule="exact"/>
        <w:rPr>
          <w:rFonts w:ascii="Arial" w:cs="Arial" w:eastAsia="Arial" w:hAnsi="Arial"/>
          <w:sz w:val="18"/>
          <w:szCs w:val="18"/>
          <w:color w:val="auto"/>
        </w:rPr>
      </w:pPr>
    </w:p>
    <w:p>
      <w:pPr>
        <w:ind w:right="160" w:firstLine="1492"/>
        <w:spacing w:after="0" w:line="277" w:lineRule="auto"/>
        <w:tabs>
          <w:tab w:leader="none" w:pos="1788" w:val="left"/>
        </w:tabs>
        <w:numPr>
          <w:ilvl w:val="2"/>
          <w:numId w:val="390"/>
        </w:numPr>
        <w:rPr>
          <w:rFonts w:ascii="Arial" w:cs="Arial" w:eastAsia="Arial" w:hAnsi="Arial"/>
          <w:sz w:val="18"/>
          <w:szCs w:val="18"/>
          <w:color w:val="auto"/>
        </w:rPr>
      </w:pPr>
      <w:r>
        <w:rPr>
          <w:rFonts w:ascii="Arial" w:cs="Arial" w:eastAsia="Arial" w:hAnsi="Arial"/>
          <w:sz w:val="18"/>
          <w:szCs w:val="18"/>
          <w:color w:val="auto"/>
        </w:rPr>
        <w:t>if any portion of the LC Exposure of such Defaulting Lender is reallocated pursuant to clause (i) above, then the fees payable to the Lenders pursuant to Section 2.11(b) shall be adjusted to give effect to such reallocation; and</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2"/>
          <w:numId w:val="390"/>
        </w:numPr>
        <w:rPr>
          <w:rFonts w:ascii="Arial" w:cs="Arial" w:eastAsia="Arial" w:hAnsi="Arial"/>
          <w:sz w:val="16"/>
          <w:szCs w:val="16"/>
          <w:color w:val="auto"/>
        </w:rPr>
      </w:pPr>
      <w:r>
        <w:rPr>
          <w:rFonts w:ascii="Arial" w:cs="Arial" w:eastAsia="Arial" w:hAnsi="Arial"/>
          <w:sz w:val="16"/>
          <w:szCs w:val="16"/>
          <w:color w:val="auto"/>
        </w:rPr>
        <w:t>if all or any portion of such Defaulting Lender’s LC Exposure is neither reallocated nor cash collateralized pursuant to clause (i)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above, then, without prejudice to any rights or remedies of any Issuing Bank or any other Lender hereunder, all participation fees payable under</w:t>
      </w:r>
    </w:p>
    <w:p>
      <w:pPr>
        <w:spacing w:after="0" w:line="2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Section 2.11(b)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w:t>
      </w:r>
    </w:p>
    <w:p>
      <w:pPr>
        <w:spacing w:after="0" w:line="82" w:lineRule="exact"/>
        <w:rPr>
          <w:sz w:val="20"/>
          <w:szCs w:val="20"/>
          <w:color w:val="auto"/>
        </w:rPr>
      </w:pPr>
    </w:p>
    <w:p>
      <w:pPr>
        <w:ind w:right="40" w:firstLine="921"/>
        <w:spacing w:after="0" w:line="257" w:lineRule="auto"/>
        <w:tabs>
          <w:tab w:leader="none" w:pos="1168" w:val="left"/>
        </w:tabs>
        <w:numPr>
          <w:ilvl w:val="0"/>
          <w:numId w:val="392"/>
        </w:numPr>
        <w:rPr>
          <w:rFonts w:ascii="Arial" w:cs="Arial" w:eastAsia="Arial" w:hAnsi="Arial"/>
          <w:sz w:val="18"/>
          <w:szCs w:val="18"/>
          <w:color w:val="auto"/>
        </w:rPr>
      </w:pPr>
      <w:r>
        <w:rPr>
          <w:rFonts w:ascii="Arial" w:cs="Arial" w:eastAsia="Arial" w:hAnsi="Arial"/>
          <w:sz w:val="18"/>
          <w:szCs w:val="18"/>
          <w:color w:val="auto"/>
        </w:rPr>
        <w:t>so long as such Lender is a Defaulting Lender, no Issuing Bank shall be required to issue, amend, renew or extend any Letter of Credit unless it is satisfied that the related exposure and the Defaulting Lender’s then outstanding LC Exposure will be fully covered by the Commitments of the applicable Non Defaulting Lenders and/or cash collateral provided by the Company in accordance with Section 2.19(c), and participating interests in any such issued, amended, renewed or extended Letter of Credit will be allocated among the applicable Non Defaulting Lenders in a manner consistent with Section 2.19(c)(i) (and such Defaulting Lender shall not participate therein).</w:t>
      </w:r>
    </w:p>
    <w:p>
      <w:pPr>
        <w:spacing w:after="0" w:line="18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the event that (x) a Bankruptcy Event with respect to a Lender Parent shall have occurred following the date hereof and for so long as such Bankruptcy Event shall continue or (y) any Issuing Bank has a good faith belief that any Lender has defaulted in fulfilling its obligations under one or more other agreements in which such Lender commits to extend credit, such Issuing Bank shall not be required to issue, amend, renew or extend any Letter of Credit, unless such Issuing Bank shall have entered into arrangements with the Company or the applicable Lender satisfactory to the such Issuing Bank, as the case may be, to defease any risk to it in respect of such Lender hereunder.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350" w:name="page351"/>
    <w:bookmarkEnd w:id="350"/>
    <w:p>
      <w:pPr>
        <w:ind w:right="4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Administrative Agent, the Company, each Issuing Bank each agree that a Defaulting Lender has adequately remedied all matters that caused such Lender to be a Defaulting Lender, then the LC Exposure of the applicable Lenders shall be readjusted to reflect the inclusion of such Lender’s Commitments and on such date such Lender shall purchase at par such of the Loans of the other Lenders as the Administrative Agent shall determine may be necessary in order for such Lender to hold such Loans in accordance with its applicable Tranche A Percentage.</w:t>
      </w:r>
    </w:p>
    <w:p>
      <w:pPr>
        <w:spacing w:after="0" w:line="154"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Foreign Subsidiary Costs.</w:t>
      </w:r>
      <w:r>
        <w:rPr>
          <w:rFonts w:ascii="Arial" w:cs="Arial" w:eastAsia="Arial" w:hAnsi="Arial"/>
          <w:sz w:val="17"/>
          <w:szCs w:val="17"/>
          <w:color w:val="auto"/>
        </w:rPr>
        <w:t xml:space="preserve"> (a) If the cost to any Lender of making or maintaining any Loan to, or accepting and purchasing any BA of, or participating in any Letter of Credit issued for the account of or made to, any Borrower is increased (or the amount of any sum received or receivable by any Lender (or its applicable lending office) is reduced) by an amount deemed in good faith by such Lender to be material, by reason of the fact that such Borrower is incorporated in, or conducts 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70" w:lineRule="exact"/>
        <w:rPr>
          <w:sz w:val="20"/>
          <w:szCs w:val="20"/>
          <w:color w:val="auto"/>
        </w:rPr>
      </w:pPr>
    </w:p>
    <w:p>
      <w:pPr>
        <w:ind w:right="120" w:firstLine="921"/>
        <w:spacing w:after="0" w:line="255" w:lineRule="auto"/>
        <w:tabs>
          <w:tab w:leader="none" w:pos="1168"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any Lender fails to give such notice within 90 days after it obtains actual knowledge of such an event, such Lender shall, with respect to compensation payable pursuant to this Section in respect of any costs resulting from such event, only be entitled to payment under this Section for costs incurred from and after the date 90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w:t>
      </w:r>
    </w:p>
    <w:p>
      <w:pPr>
        <w:spacing w:after="0" w:line="81" w:lineRule="exact"/>
        <w:rPr>
          <w:rFonts w:ascii="Arial" w:cs="Arial" w:eastAsia="Arial" w:hAnsi="Arial"/>
          <w:sz w:val="18"/>
          <w:szCs w:val="18"/>
          <w:color w:val="auto"/>
        </w:rPr>
      </w:pPr>
    </w:p>
    <w:p>
      <w:pPr>
        <w:ind w:firstLine="921"/>
        <w:spacing w:after="0" w:line="259" w:lineRule="auto"/>
        <w:tabs>
          <w:tab w:leader="none" w:pos="1158"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Notwithstanding the foregoing, no Lender shall be entitled to compensation under this Section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w:t>
      </w:r>
    </w:p>
    <w:p>
      <w:pPr>
        <w:spacing w:after="0" w:line="78" w:lineRule="exact"/>
        <w:rPr>
          <w:rFonts w:ascii="Arial" w:cs="Arial" w:eastAsia="Arial" w:hAnsi="Arial"/>
          <w:sz w:val="18"/>
          <w:szCs w:val="18"/>
          <w:color w:val="auto"/>
        </w:rPr>
      </w:pPr>
    </w:p>
    <w:p>
      <w:pPr>
        <w:ind w:right="40" w:firstLine="921"/>
        <w:spacing w:after="0" w:line="286" w:lineRule="auto"/>
        <w:tabs>
          <w:tab w:leader="none" w:pos="1168" w:val="left"/>
        </w:tabs>
        <w:numPr>
          <w:ilvl w:val="0"/>
          <w:numId w:val="393"/>
        </w:numPr>
        <w:rPr>
          <w:rFonts w:ascii="Arial" w:cs="Arial" w:eastAsia="Arial" w:hAnsi="Arial"/>
          <w:sz w:val="17"/>
          <w:szCs w:val="17"/>
          <w:color w:val="auto"/>
        </w:rPr>
      </w:pPr>
      <w:r>
        <w:rPr>
          <w:rFonts w:ascii="Arial" w:cs="Arial" w:eastAsia="Arial" w:hAnsi="Arial"/>
          <w:sz w:val="17"/>
          <w:szCs w:val="17"/>
          <w:color w:val="auto"/>
        </w:rPr>
        <w:t>Payments of any amounts due under this Section shall be without duplication of any payments required to be made under Section 2.14, 2.15 or 2.16. To the extent payment of any amount due under this Section is also required under one or more of Sections 2.14, 2.15 and 2.16, such payment will be due only under Section 2.16 or, if not within the scope of Section 2.16, under any one other Section as the payee may elect.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351" w:name="page352"/>
    <w:bookmarkEnd w:id="351"/>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2.21. </w:t>
      </w:r>
      <w:r>
        <w:rPr>
          <w:rFonts w:ascii="Arial" w:cs="Arial" w:eastAsia="Arial" w:hAnsi="Arial"/>
          <w:sz w:val="16"/>
          <w:szCs w:val="16"/>
          <w:u w:val="single" w:color="auto"/>
          <w:color w:val="auto"/>
        </w:rPr>
        <w:t>Designation of Borrowing Subsidiaries.</w:t>
      </w:r>
      <w:r>
        <w:rPr>
          <w:rFonts w:ascii="Arial" w:cs="Arial" w:eastAsia="Arial" w:hAnsi="Arial"/>
          <w:sz w:val="16"/>
          <w:szCs w:val="16"/>
          <w:color w:val="auto"/>
        </w:rPr>
        <w:t xml:space="preserve"> (a) The Company may at any time and from time to time designate (i) any Tranche A Subsidiary as a Tranche A Borrower, (ii) any Tranche B Subsidiary as a Tranche B Borrower or (iii) any Tranche C Subsidiary as a Tranche C Borrower, in each case by delivery to the Administrative Agent of (A) a notice of such designation setting forth the effective date thereof (which shall be not fewer than 10 Business Days after the delivery of such notice) and (B) a Borrower Joinder Agreement executed by such Subsidiary and by the Company. The Administrative Agent shall promptly make copies of any such notice and Borrower Joinder Agreement available to each Tranche A Lender, Tranche B Lender or Tranche C Lender, as the case may be. On the effective date specified in such notice, such Subsidiary shall for all purposes of this Agreement be a Tranche A Borrower, a Tranche B Borrower or a Tranche C Borrower, as the case may be, and a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Borrower Joinder Agreement shall become effective as to any Subsidiary (x) if it shall be unlawful for such Subsidiary to become a Borrower hereunder or for any Lender participating in a Tranche under which such Subsidiary may borrow to make Loans or otherwise extend credit to such Subsidiary as provided herein or (y) if the Agents and the applicable Lenders shall not have received, at least five Business Days prior to the date of such effectiveness, all documentation and other information relating to such Subsidiary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Any Borrowing Subsidiary shall continue to be a Tranche A Borrower, a Tranche B Borrower or a Tranche C Borrower, as the case may be, until the Company shall have executed and delivered to the Administrative Agent a Borrower Termination Agreement with respect to such Subsidiary, whereupon such Subsidiary shall cease to be a Borrowing Subsidiary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Borrower Termination Agreement will become effective as to any Borrowing Subsidiary until all Loans made to and BAs drawn by such Borrowing Subsidiary shall have been repaid, all Letters of Credit issued for the account of such Borrowing Subsidiary have been drawn in full or have expired and all amounts payable by such Borrowing Subsidiary in respect of LC Disbursements, interest and/or fees (and, to the extent notified by the Administrative Agent or any Lender, any other amounts payable under this Agreement by such Borrowing Subsidiary) shall have been paid in full;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Borrower Termination Agreement shall be effective to terminate the right of such Borrowing Subsidiary to request or receive further extensions of credit under this Agreement.</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Obligations of the Borrowing Subsidiaries hereunder shall be several and not joint.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represents and warrants, and each other Borrower represents and warrants as to itself and its subsidiaries, to the Lenders that:</w:t>
      </w:r>
    </w:p>
    <w:p>
      <w:pPr>
        <w:spacing w:after="0" w:line="24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Each Credit Party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352" w:name="page353"/>
    <w:bookmarkEnd w:id="352"/>
    <w:p>
      <w:pPr>
        <w:ind w:right="4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xml:space="preserve"> The Transactions to be entered into by each Credit Party are within such Credit Party’s corporate, partnership or other applicable powers and have been duly authorized by all necessary corporate, partnership or other applicable action and, if required, by stockholder or other equityholder action. This Agreement has been duly executed and delivered by each Credit Party and constitutes, and each other Credit Document to which any Credit Party is to be a party, when executed and delivered by such Credit Party, will constitute, a legal, valid and binding obligation of such Credit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(a) The Transactions (i) do not require any consent or approval of, registration or filing with, or any other action by, any Governmental Authority, (ii) will not violate any applicable law or regulation or the charter, by-laws or other organizational documents of any Credit Party or any order of any Governmental Authority, (iii) will not violate or result in a default under any indenture, material agreement or other material instrument binding upon any Credit Party or its assets, or give rise to a right thereunder to require any payment to be made by any Credit Party, (iv) will not result in the creation or imposition of any Lien on any asset of any Credit Party (other than Liens created hereunder) and (v) have received all requisite approvals from the Guernsey Financial Services Commission for borrowings by the Company or any Guernsey Borrowing Subsidiary.</w:t>
      </w:r>
    </w:p>
    <w:p>
      <w:pPr>
        <w:spacing w:after="0" w:line="57" w:lineRule="exact"/>
        <w:rPr>
          <w:sz w:val="20"/>
          <w:szCs w:val="20"/>
          <w:color w:val="auto"/>
        </w:rPr>
      </w:pPr>
    </w:p>
    <w:p>
      <w:pPr>
        <w:ind w:right="80" w:firstLine="921"/>
        <w:spacing w:after="0" w:line="276" w:lineRule="auto"/>
        <w:tabs>
          <w:tab w:leader="none" w:pos="1168" w:val="left"/>
        </w:tabs>
        <w:numPr>
          <w:ilvl w:val="0"/>
          <w:numId w:val="394"/>
        </w:numPr>
        <w:rPr>
          <w:rFonts w:ascii="Arial" w:cs="Arial" w:eastAsia="Arial" w:hAnsi="Arial"/>
          <w:sz w:val="17"/>
          <w:szCs w:val="17"/>
          <w:color w:val="auto"/>
        </w:rPr>
      </w:pPr>
      <w:r>
        <w:rPr>
          <w:rFonts w:ascii="Arial" w:cs="Arial" w:eastAsia="Arial" w:hAnsi="Arial"/>
          <w:sz w:val="17"/>
          <w:szCs w:val="17"/>
          <w:color w:val="auto"/>
        </w:rPr>
        <w:t>Neither the Company nor any of the Subsidiaries is engaged principally, or as one of its important activities, in the business of extending credit for the purpose of purchasing or carrying margin stock (as defined in Regulation U of the Board). No part of the proceeds of any Loan or BA Drawing will be used, whether directly or indirectly, for any purpose that would entail a violation of such Regulation U. Not more than 25% of the value of the assets subject to the restrictions on the sale, pledge or other disposition of assets contained in Section 6.02 or Section 6.04 of this Agreement, or in any other agreement to which any Lender or Affiliate of a Lender is party will at any time be represented by margin stock.</w:t>
      </w:r>
    </w:p>
    <w:p>
      <w:pPr>
        <w:spacing w:after="0" w:line="173" w:lineRule="exact"/>
        <w:rPr>
          <w:sz w:val="20"/>
          <w:szCs w:val="20"/>
          <w:color w:val="auto"/>
        </w:rPr>
      </w:pPr>
    </w:p>
    <w:p>
      <w:pPr>
        <w:jc w:val="both"/>
        <w:ind w:right="100" w:firstLine="913"/>
        <w:spacing w:after="0" w:line="302"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xml:space="preserve"> (a) The Company has heretofore furnished to the Lenders its consolidated balance sheet and statements of income, shareholders equity and cash flows as of and for the fiscal year ended September 30, 2016, audited and reported on by Ernst &amp; Young LLP, independent public accountants.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46" w:lineRule="exact"/>
        <w:rPr>
          <w:sz w:val="20"/>
          <w:szCs w:val="20"/>
          <w:color w:val="auto"/>
        </w:rPr>
      </w:pPr>
    </w:p>
    <w:p>
      <w:pPr>
        <w:jc w:val="both"/>
        <w:ind w:right="440" w:firstLine="921"/>
        <w:spacing w:after="0" w:line="342" w:lineRule="auto"/>
        <w:tabs>
          <w:tab w:leader="none" w:pos="1168" w:val="left"/>
        </w:tabs>
        <w:numPr>
          <w:ilvl w:val="0"/>
          <w:numId w:val="395"/>
        </w:numPr>
        <w:rPr>
          <w:rFonts w:ascii="Arial" w:cs="Arial" w:eastAsia="Arial" w:hAnsi="Arial"/>
          <w:sz w:val="16"/>
          <w:szCs w:val="16"/>
          <w:color w:val="auto"/>
        </w:rPr>
      </w:pPr>
      <w:r>
        <w:rPr>
          <w:rFonts w:ascii="Arial" w:cs="Arial" w:eastAsia="Arial" w:hAnsi="Arial"/>
          <w:sz w:val="16"/>
          <w:szCs w:val="16"/>
          <w:color w:val="auto"/>
        </w:rPr>
        <w:t>Since September 30, 2016, there has been no event or condition that has resulted or could reasonably be expected to result in a material adverse change in the business, assets, liabilities, operations or condition (financial or otherwise) of the Company and its subsidiaries, taken as a whole.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3" w:right="279" w:bottom="1440" w:gutter="0" w:footer="0" w:header="0"/>
        </w:sectPr>
      </w:pPr>
    </w:p>
    <w:bookmarkStart w:id="353" w:name="page354"/>
    <w:bookmarkEnd w:id="353"/>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(a) Each of the Company and the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73" w:lineRule="exact"/>
        <w:rPr>
          <w:sz w:val="20"/>
          <w:szCs w:val="20"/>
          <w:color w:val="auto"/>
        </w:rPr>
      </w:pPr>
    </w:p>
    <w:p>
      <w:pPr>
        <w:ind w:right="220" w:firstLine="921"/>
        <w:spacing w:after="0" w:line="312" w:lineRule="auto"/>
        <w:tabs>
          <w:tab w:leader="none" w:pos="1168" w:val="left"/>
        </w:tabs>
        <w:numPr>
          <w:ilvl w:val="0"/>
          <w:numId w:val="396"/>
        </w:numPr>
        <w:rPr>
          <w:rFonts w:ascii="Arial" w:cs="Arial" w:eastAsia="Arial" w:hAnsi="Arial"/>
          <w:sz w:val="16"/>
          <w:szCs w:val="16"/>
          <w:color w:val="auto"/>
        </w:rPr>
      </w:pPr>
      <w:r>
        <w:rPr>
          <w:rFonts w:ascii="Arial" w:cs="Arial" w:eastAsia="Arial" w:hAnsi="Arial"/>
          <w:sz w:val="16"/>
          <w:szCs w:val="16"/>
          <w:color w:val="auto"/>
        </w:rPr>
        <w:t>Each of the Company and the Subsidiaries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could not reasonably be expected to result in a Material Adverse Effect.</w:t>
      </w:r>
    </w:p>
    <w:p>
      <w:pPr>
        <w:spacing w:after="0" w:line="14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Litigation and Environmental Matters.</w:t>
      </w:r>
      <w:r>
        <w:rPr>
          <w:rFonts w:ascii="Arial" w:cs="Arial" w:eastAsia="Arial" w:hAnsi="Arial"/>
          <w:sz w:val="17"/>
          <w:szCs w:val="17"/>
          <w:color w:val="auto"/>
        </w:rPr>
        <w:t xml:space="preserve"> (a) There are no actions, suits or proceedings by or before any arbitrator or Governmental Authority pending against or, to the knowledge of the Company, threatened against or affecting the Company or any of the Subsidiaries (i) as to which there is a reasonable likelihood of an adverse determination and that, if adversely determined, could reasonably be expected, individually or in the aggregate, to result in a Material Adverse Effect or (ii) that involve any of the Credit Documents or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 that the pendency of the Ecuador Litigation (as opposed to any liabilities that may result therefrom) will not in and of itself be deemed to constitute a Material Adverse Effect. Any liabilities that could reasonably be expected to result from the Ecuador Litigation would not result in a Material Adverse Effect.</w:t>
      </w:r>
    </w:p>
    <w:p>
      <w:pPr>
        <w:spacing w:after="0" w:line="70" w:lineRule="exact"/>
        <w:rPr>
          <w:sz w:val="20"/>
          <w:szCs w:val="20"/>
          <w:color w:val="auto"/>
        </w:rPr>
      </w:pPr>
    </w:p>
    <w:p>
      <w:pPr>
        <w:ind w:right="200" w:firstLine="921"/>
        <w:spacing w:after="0" w:line="279" w:lineRule="auto"/>
        <w:tabs>
          <w:tab w:leader="none" w:pos="1168" w:val="left"/>
        </w:tabs>
        <w:numPr>
          <w:ilvl w:val="0"/>
          <w:numId w:val="397"/>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neither the Company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xml:space="preserve"> Each of the Company and the Subsidiaries is in compliance with all laws, regulations and orders of any Governmental Authority applicable to it or its property and all indentures, agreements and other instruments binding upon it or its property, except where the failure to comply, individually or in the aggregate, could not reasonably be expected to result in a Material Adverse Effect.</w:t>
      </w:r>
    </w:p>
    <w:p>
      <w:pPr>
        <w:spacing w:after="0" w:line="14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xml:space="preserve"> Neither the Company nor any of the Subsidiaries is an “investment company” as defined in, or subject to regulation under, the Investment Company Act of 1940.</w:t>
      </w:r>
    </w:p>
    <w:p>
      <w:pPr>
        <w:spacing w:after="0" w:line="170"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Each of the Company and the Subsidiaries has timely filed or caused to be filed all Tax returns and reports required to have been filed and has paid or caused to be paid all Taxes required to have been paid by it, except (a) any Taxes that are being contested in good faith by appropriate proceedings and for which the Company or such Subsidiary, as applicable, has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354" w:name="page355"/>
    <w:bookmarkEnd w:id="354"/>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aside on its books reserves if and as required by GAAP or (b) to the extent that the failure to do so could not reasonably be expected to result in a Material Adverse Effect. Based on the laws in effect as of the date of this representation, the Company is resident in Guernsey for tax purposes and is either subject to a zero percent corporate income tax rate or is otherwise exempt from payment of corporate income tax.</w:t>
      </w:r>
    </w:p>
    <w:p>
      <w:pPr>
        <w:spacing w:after="0" w:line="181" w:lineRule="exact"/>
        <w:rPr>
          <w:sz w:val="20"/>
          <w:szCs w:val="20"/>
          <w:color w:val="auto"/>
        </w:rPr>
      </w:pPr>
    </w:p>
    <w:p>
      <w:pPr>
        <w:jc w:val="both"/>
        <w:ind w:right="20" w:firstLine="913"/>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xml:space="preserve"> (a) No ERISA Event has occurred or is reasonably expected to occur that, when taken together with all other such ERISA Events for which liability is reasonably expected to occur, could reasonably be expected to result in a Material Adverse Effect. No event or condition, including any underfunding condition, has occurred or exists, or is reasonably expected to occur, in connection with any pension or other employee benefit plan of the Company or any Subsidiary that, when taken together with all other such events and conditions, could reasonably be expected to result in a Material Adverse Effect.</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Neither any Borrower nor any member of the Controlled Group is or will be using “plan assets” (within the meaning of 29 CFR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2510.3-101, as modified by Section 3(42) of ERISA) of one or more Benefit Plans in connection with the Loans, the Letters of Credit or the Commitments.</w:t>
      </w:r>
    </w:p>
    <w:p>
      <w:pPr>
        <w:spacing w:after="0" w:line="23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Neither the Information Memorandum nor any of the other reports, financial statements, certificates or other information furnished by or on behalf of any Credit Party to the Administrative Agent or any Lender in connection with the negotiation of this Agreement or delivered hereunder (as modified or supplemented by other information so furnished), taken as a whole,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projected financial information, the Company represents only that such information was prepared in good faith based upon assumptions believed to be reasonable at the time.</w:t>
      </w:r>
    </w:p>
    <w:p>
      <w:pPr>
        <w:spacing w:after="0" w:line="193"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Subsidiaries. Schedule 3.12</w:t>
      </w:r>
      <w:r>
        <w:rPr>
          <w:rFonts w:ascii="Arial" w:cs="Arial" w:eastAsia="Arial" w:hAnsi="Arial"/>
          <w:sz w:val="17"/>
          <w:szCs w:val="17"/>
          <w:color w:val="auto"/>
        </w:rPr>
        <w:t xml:space="preserve"> correctly sets forth the name of, the jurisdiction of organization of, and the ownership interest of the Company in, each of the Subsidiaries listed therein, in each case as of the Effective Date. The Subsidiaries listed in </w:t>
      </w:r>
      <w:r>
        <w:rPr>
          <w:rFonts w:ascii="Arial" w:cs="Arial" w:eastAsia="Arial" w:hAnsi="Arial"/>
          <w:sz w:val="17"/>
          <w:szCs w:val="17"/>
          <w:u w:val="single" w:color="auto"/>
          <w:color w:val="auto"/>
        </w:rPr>
        <w:t>Schedule 3.12</w:t>
      </w:r>
      <w:r>
        <w:rPr>
          <w:rFonts w:ascii="Arial" w:cs="Arial" w:eastAsia="Arial" w:hAnsi="Arial"/>
          <w:sz w:val="17"/>
          <w:szCs w:val="17"/>
          <w:color w:val="auto"/>
        </w:rPr>
        <w:t>, together with their own subsidiaries, account as of the Effective Date for at least 90% of the Consolidated Assets of the Company and the Subsidiaries.</w:t>
      </w:r>
    </w:p>
    <w:p>
      <w:pPr>
        <w:spacing w:after="0" w:line="166"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xml:space="preserve"> The Company maintains and will maintain in effect policies and procedures designed to ensure compliance by the Company, the Subsidiaries and their respective directors, officers, employees and agents with Anti-Corruption Laws and applicable Sanctions, and the Company and the Subsidiaries and, to the knowledge of the Company, their respective officers, employees, directors and agents, are in compliance with Anti-Corruption Laws and applicable Sanctions in all material respects. None of (a) the Company, any Subsidiary or any of their respective directors, officers, in their capacities as such, or, to the knowledge of the Company, employees, or (b) to the knowledge of the Company, any agent of the Company or any Subsidiary that will act in any capacity in connection with or benefit from the credit facility established hereby, is a Sanctioned Person. No Borrowing, direct use of the proceeds thereof or, to the knowledge of the Borrowers, indirect use of proceeds thereof, and no issuance of a Letter of Credit (it being understood that no representation is made as to the use of proceeds of a drawing under any Letter of Credit by a beneficiary thereof), will result in a violation by any party hereto of Anti-Corruption Laws or applicable Sanctions.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355" w:name="page356"/>
    <w:bookmarkEnd w:id="35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3.14. </w:t>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xml:space="preserve"> No Credit Party is an EEA Financial Institution.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This Agreement shall not become effective as an amendment and restatement of the Existing Credit Agreement until the date on which each of the following conditions are satisfied (or waived in accordance with Section 11.02):</w:t>
      </w:r>
    </w:p>
    <w:p>
      <w:pPr>
        <w:spacing w:after="0" w:line="62" w:lineRule="exact"/>
        <w:rPr>
          <w:sz w:val="20"/>
          <w:szCs w:val="20"/>
          <w:color w:val="auto"/>
        </w:rPr>
      </w:pPr>
    </w:p>
    <w:p>
      <w:pPr>
        <w:jc w:val="both"/>
        <w:ind w:left="460" w:right="80" w:firstLine="881"/>
        <w:spacing w:after="0" w:line="302" w:lineRule="auto"/>
        <w:tabs>
          <w:tab w:leader="none" w:pos="158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each party hereto either (i) a counterpart of this Agreement and any other Credit Document signed on behalf of such party or (ii) written evidence reasonably satisfactory to the Administrative Agent (which may include fax or other electronic transmission of a signed signature page of this Agreement) that such party has signed a counterpart of this Agreement and any other Credit Document. The parties hereto shall include Lenders constituting the Required Lenders under the Existing Credit Agreement.</w:t>
      </w:r>
    </w:p>
    <w:p>
      <w:pPr>
        <w:spacing w:after="0" w:line="46" w:lineRule="exact"/>
        <w:rPr>
          <w:rFonts w:ascii="Arial" w:cs="Arial" w:eastAsia="Arial" w:hAnsi="Arial"/>
          <w:sz w:val="16"/>
          <w:szCs w:val="16"/>
          <w:color w:val="auto"/>
        </w:rPr>
      </w:pPr>
    </w:p>
    <w:p>
      <w:pPr>
        <w:ind w:left="460" w:right="80" w:firstLine="881"/>
        <w:spacing w:after="0" w:line="279" w:lineRule="auto"/>
        <w:tabs>
          <w:tab w:leader="none" w:pos="1591"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Administrative Agent shall have received a written opinion (addressed to the Administrative Agent and the Lenders and dated the Effective Date) of (i) Wilmer Cutler Pickering Hale and Dorr LLP, counsel for the Borrowers, and (ii) Mourant Ozannes, Guernsey counsel, in each case covering such matters relating to the Borrowers, the Credit Documents and the Transactions as the Administrative Agent or the Required Lenders shall reasonably request. The Company hereby requests such counsel to deliver such opinions.</w:t>
      </w:r>
    </w:p>
    <w:p>
      <w:pPr>
        <w:spacing w:after="0" w:line="63" w:lineRule="exact"/>
        <w:rPr>
          <w:rFonts w:ascii="Arial" w:cs="Arial" w:eastAsia="Arial" w:hAnsi="Arial"/>
          <w:sz w:val="17"/>
          <w:szCs w:val="17"/>
          <w:color w:val="auto"/>
        </w:rPr>
      </w:pPr>
    </w:p>
    <w:p>
      <w:pPr>
        <w:ind w:left="460" w:right="100" w:firstLine="881"/>
        <w:spacing w:after="0" w:line="259" w:lineRule="auto"/>
        <w:tabs>
          <w:tab w:leader="none" w:pos="158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matters relating to the Borrowers, the Credit Documents or the Transactions, all in form and substance satisfactory to the Administrative Agent and its counsel.</w:t>
      </w:r>
    </w:p>
    <w:p>
      <w:pPr>
        <w:spacing w:after="0" w:line="78" w:lineRule="exact"/>
        <w:rPr>
          <w:rFonts w:ascii="Arial" w:cs="Arial" w:eastAsia="Arial" w:hAnsi="Arial"/>
          <w:sz w:val="18"/>
          <w:szCs w:val="18"/>
          <w:color w:val="auto"/>
        </w:rPr>
      </w:pPr>
    </w:p>
    <w:p>
      <w:pPr>
        <w:jc w:val="both"/>
        <w:ind w:left="460" w:right="160" w:firstLine="881"/>
        <w:spacing w:after="0" w:line="312" w:lineRule="auto"/>
        <w:tabs>
          <w:tab w:leader="none" w:pos="159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dated the Effective Date and signed by the President, a Vice President, the Secretary or a Financial Officer of the Company, confirming that on and as of the Effective Date, the representations and warranties of the Borrowers set forth in this Agreement shall be true and correct in all material respects and no Default shall have occurred and be continuing.</w:t>
      </w:r>
    </w:p>
    <w:p>
      <w:pPr>
        <w:spacing w:after="0" w:line="38" w:lineRule="exact"/>
        <w:rPr>
          <w:rFonts w:ascii="Arial" w:cs="Arial" w:eastAsia="Arial" w:hAnsi="Arial"/>
          <w:sz w:val="16"/>
          <w:szCs w:val="16"/>
          <w:color w:val="auto"/>
        </w:rPr>
      </w:pPr>
    </w:p>
    <w:p>
      <w:pPr>
        <w:ind w:left="460" w:firstLine="881"/>
        <w:spacing w:after="0" w:line="264" w:lineRule="auto"/>
        <w:tabs>
          <w:tab w:leader="none" w:pos="158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on or prior to the Effective Date, including, to the extent invoiced, reimbursement or payment of all out-of-pocket expenses (including fees, charges and disbursements of counsel) required to be reimbursed or paid by any Borrower hereunder.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73" w:right="279" w:bottom="1440" w:gutter="0" w:footer="0" w:header="0"/>
        </w:sectPr>
      </w:pPr>
    </w:p>
    <w:bookmarkStart w:id="356" w:name="page357"/>
    <w:bookmarkEnd w:id="356"/>
    <w:p>
      <w:pPr>
        <w:ind w:left="460" w:firstLine="881"/>
        <w:spacing w:after="0" w:line="259" w:lineRule="auto"/>
        <w:tabs>
          <w:tab w:leader="none" w:pos="1561"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Agents and Lenders shall have received all documentation and other information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not fewer than five Business Days prior to the Closing Date.</w:t>
      </w:r>
    </w:p>
    <w:p>
      <w:pPr>
        <w:spacing w:after="0" w:line="78" w:lineRule="exact"/>
        <w:rPr>
          <w:rFonts w:ascii="Arial" w:cs="Arial" w:eastAsia="Arial" w:hAnsi="Arial"/>
          <w:sz w:val="18"/>
          <w:szCs w:val="18"/>
          <w:color w:val="auto"/>
        </w:rPr>
      </w:pPr>
    </w:p>
    <w:p>
      <w:pPr>
        <w:ind w:left="460" w:firstLine="881"/>
        <w:spacing w:after="0" w:line="264" w:lineRule="auto"/>
        <w:tabs>
          <w:tab w:leader="none" w:pos="159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Loans or BA Drawings shall be outstanding under the Existing Credit Agreement, and interest, fees and other amounts accrued for the accounts of the Lenders or Issuing Banks under the Existing Credit Agreement, whether or not at the time due, shall have been or shall concurrently be paid in full.</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Administrative Agent shall notify the Company and the Lenders of the Effective Date, and such notice shall be conclusive and binding. Notwithstanding the foregoing, the obligations of the Lenders to make Loans and accept and purchase BAs and of the Issuing Banks to issue Letters of Credit hereunder shall not become effective unless each of the foregoing conditions is satisfied (or waived pursuant to Section 11.02) at or prior to 5:00 p.m., New York City time, on December 31, 2017 (and in the event such conditions are not so satisfied or waived, the Commitments shall terminate at such time).</w:t>
      </w:r>
    </w:p>
    <w:p>
      <w:pPr>
        <w:spacing w:after="0" w:line="154"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xml:space="preserve"> The obligation of each Lender to make a Loan on the occasion of any Borrowing or to accept and purchase BAs on the occasion of any BA Drawing, and of each Issuing Bank to issue, amend, renew or extend any Letter of Credit, is subject to receipt of the request therefor in accordance herewith and to the satisfaction of the following conditions:</w:t>
      </w:r>
    </w:p>
    <w:p>
      <w:pPr>
        <w:spacing w:after="0" w:line="73" w:lineRule="exact"/>
        <w:rPr>
          <w:sz w:val="20"/>
          <w:szCs w:val="20"/>
          <w:color w:val="auto"/>
        </w:rPr>
      </w:pPr>
    </w:p>
    <w:p>
      <w:pPr>
        <w:ind w:left="460" w:firstLine="881"/>
        <w:spacing w:after="0" w:line="273" w:lineRule="auto"/>
        <w:tabs>
          <w:tab w:leader="none" w:pos="1581"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Borrowers set forth in this Agreement (other than, with respect to any Borrowing occurring after the Effective Date, the representations set forth in Section 3.04(b)) shall be true and correct in all material respects (or, in the case of representations and warranties qualified by materiality or Material Adverse Effect, in all respects) on and as of the date of such Borrowing or BA Drawing or the date of issuance, amendment, renewal or extension of such Letter of Credit, as applicable (or,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w:t>
      </w:r>
    </w:p>
    <w:p>
      <w:pPr>
        <w:spacing w:after="0" w:line="70" w:lineRule="exact"/>
        <w:rPr>
          <w:rFonts w:ascii="Arial" w:cs="Arial" w:eastAsia="Arial" w:hAnsi="Arial"/>
          <w:sz w:val="17"/>
          <w:szCs w:val="17"/>
          <w:color w:val="auto"/>
        </w:rPr>
      </w:pPr>
    </w:p>
    <w:p>
      <w:pPr>
        <w:ind w:left="460" w:right="20" w:firstLine="881"/>
        <w:spacing w:after="0" w:line="277" w:lineRule="auto"/>
        <w:tabs>
          <w:tab w:leader="none" w:pos="159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BA Drawing or the issuance, amendment, renewal or extension of such Letter of Credit, as applicable, no Default shall have occurred and be continuing.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Each Borrowing or BA Drawing and each issuance, amendment, renewal or extension of a Letter of Credit shall be deemed to constitute a representation and warranty by the Company on the date thereof as to the matters specified in paragraphs (a) and (b) of this Section.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74" w:right="279" w:bottom="1440" w:gutter="0" w:footer="0" w:header="0"/>
        </w:sectPr>
      </w:pPr>
    </w:p>
    <w:bookmarkStart w:id="357" w:name="page358"/>
    <w:bookmarkEnd w:id="357"/>
    <w:p>
      <w:pPr>
        <w:ind w:right="6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4.03. </w:t>
      </w:r>
      <w:r>
        <w:rPr>
          <w:rFonts w:ascii="Arial" w:cs="Arial" w:eastAsia="Arial" w:hAnsi="Arial"/>
          <w:sz w:val="17"/>
          <w:szCs w:val="17"/>
          <w:u w:val="single" w:color="auto"/>
          <w:color w:val="auto"/>
        </w:rPr>
        <w:t>Initial Credit Event for each Additional Borrowing Subsidiary.</w:t>
      </w:r>
      <w:r>
        <w:rPr>
          <w:rFonts w:ascii="Arial" w:cs="Arial" w:eastAsia="Arial" w:hAnsi="Arial"/>
          <w:sz w:val="17"/>
          <w:szCs w:val="17"/>
          <w:color w:val="auto"/>
        </w:rPr>
        <w:t xml:space="preserve"> The obligations of the Lenders to make Loans to and accept and purchase BAs issued by, and the obligations of the Issuing Banks to issue Letters of Credit for the account of, any Borrowing Subsidiary that becomes a Borrowing Subsidiary after the Closing Date in accordance with Section 2.21 are subject to the satisfaction of the following conditions:</w:t>
      </w:r>
    </w:p>
    <w:p>
      <w:pPr>
        <w:spacing w:after="0" w:line="57" w:lineRule="exact"/>
        <w:rPr>
          <w:sz w:val="20"/>
          <w:szCs w:val="20"/>
          <w:color w:val="auto"/>
        </w:rPr>
      </w:pPr>
    </w:p>
    <w:p>
      <w:pPr>
        <w:ind w:left="460" w:firstLine="881"/>
        <w:spacing w:after="0" w:line="277" w:lineRule="auto"/>
        <w:tabs>
          <w:tab w:leader="none" w:pos="1581"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such Borrowing Subsidiary’s Borrower Joinder Agreement duly executed by the parties thereto.</w:t>
      </w:r>
    </w:p>
    <w:p>
      <w:pPr>
        <w:spacing w:after="0" w:line="62" w:lineRule="exact"/>
        <w:rPr>
          <w:rFonts w:ascii="Arial" w:cs="Arial" w:eastAsia="Arial" w:hAnsi="Arial"/>
          <w:sz w:val="18"/>
          <w:szCs w:val="18"/>
          <w:color w:val="auto"/>
        </w:rPr>
      </w:pPr>
    </w:p>
    <w:p>
      <w:pPr>
        <w:ind w:left="460" w:right="400" w:firstLine="881"/>
        <w:spacing w:after="0" w:line="279" w:lineRule="auto"/>
        <w:tabs>
          <w:tab w:leader="none" w:pos="1591"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The Administrative Agent shall have received such documents (including such legal opinions) as the Administrative Agent or its counsel may reasonably request relating to the formation, existence and good standing of such Borrower, the authorization and legality of the Transactions insofar as they relate to such Borrower and any other legal matters relating to such Borrower, its Borrower Joinder Agreement or the Transactions, all in form and substance reasonably satisfactory to the Administrative Agent and its counsel.</w:t>
      </w:r>
    </w:p>
    <w:p>
      <w:pPr>
        <w:spacing w:after="0" w:line="63" w:lineRule="exact"/>
        <w:rPr>
          <w:rFonts w:ascii="Arial" w:cs="Arial" w:eastAsia="Arial" w:hAnsi="Arial"/>
          <w:sz w:val="17"/>
          <w:szCs w:val="17"/>
          <w:color w:val="auto"/>
        </w:rPr>
      </w:pPr>
    </w:p>
    <w:p>
      <w:pPr>
        <w:ind w:left="460" w:firstLine="881"/>
        <w:spacing w:after="0" w:line="290" w:lineRule="auto"/>
        <w:tabs>
          <w:tab w:leader="none" w:pos="1581" w:val="left"/>
        </w:tabs>
        <w:numPr>
          <w:ilvl w:val="0"/>
          <w:numId w:val="401"/>
        </w:numPr>
        <w:rPr>
          <w:rFonts w:ascii="Arial" w:cs="Arial" w:eastAsia="Arial" w:hAnsi="Arial"/>
          <w:sz w:val="16"/>
          <w:szCs w:val="16"/>
          <w:color w:val="auto"/>
        </w:rPr>
      </w:pPr>
      <w:r>
        <w:rPr>
          <w:rFonts w:ascii="Arial" w:cs="Arial" w:eastAsia="Arial" w:hAnsi="Arial"/>
          <w:sz w:val="16"/>
          <w:szCs w:val="16"/>
          <w:color w:val="auto"/>
        </w:rPr>
        <w:t>Any Lender that so requests for purposes of ensuring compliance with applicable “know your customer” rules and regulations shall have received one of the following: (i) the audited consolidated balance sheet and related statements of income, changes in shareholders’ equity and cash flows as of the end of and for the prior year of such Borrower, or (ii) if financial statements referred to in subclause (i) are not required to be prepared under the laws of the Borrower’s jurisdiction of organization, a written confirmation (the form of which shall be in the Company’s discretion) by an attorney or accountant confirming the form of financial statements the Borrower is required to prepare under the laws of the Borrower’s jurisdiction of organization together with the financial statements in such form for the prior year of such Borrower, or (iii) if no financial statements are required to be prepared by the Borrower, under the laws of the Borrower’s jurisdiction of organization, a written confirmation (the form of which shall be in the Company’s discretion) by an attorney or accountant that no financial statements at all are required to be prepared.</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Until the Commitments have expired or been terminated, the principal of and interest on each Loan and each BA and all fees payable hereunder have been paid in full, all Letters of Credit have expired or terminated and all LC Disbursements have been reimbursed, the Company covenants and agrees, and each Borrower covenants and agrees, as to itself and its subsidiaries, with the Lenders that: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xml:space="preserve"> The Company will furnish to the Administrative Agent and each Lender:</w:t>
      </w:r>
    </w:p>
    <w:p>
      <w:pPr>
        <w:spacing w:after="0" w:line="129" w:lineRule="exact"/>
        <w:rPr>
          <w:sz w:val="20"/>
          <w:szCs w:val="20"/>
          <w:color w:val="auto"/>
        </w:rPr>
      </w:pPr>
    </w:p>
    <w:p>
      <w:pPr>
        <w:ind w:right="260" w:firstLine="921"/>
        <w:spacing w:after="0" w:line="308" w:lineRule="auto"/>
        <w:tabs>
          <w:tab w:leader="none" w:pos="1158" w:val="left"/>
        </w:tabs>
        <w:numPr>
          <w:ilvl w:val="0"/>
          <w:numId w:val="402"/>
        </w:numPr>
        <w:rPr>
          <w:rFonts w:ascii="Arial" w:cs="Arial" w:eastAsia="Arial" w:hAnsi="Arial"/>
          <w:sz w:val="17"/>
          <w:szCs w:val="17"/>
          <w:color w:val="auto"/>
        </w:rPr>
      </w:pPr>
      <w:r>
        <w:rPr>
          <w:rFonts w:ascii="Arial" w:cs="Arial" w:eastAsia="Arial" w:hAnsi="Arial"/>
          <w:sz w:val="17"/>
          <w:szCs w:val="17"/>
          <w:color w:val="auto"/>
        </w:rPr>
        <w:t>within 120 days after the end of each fiscal year of the Company (or, if earlier, the date on which the Company is required to file the same with the SEC or any other Governmental Authority), its audited consolidated balance sheet and related statements of income, changes in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274" w:right="299" w:bottom="1440" w:gutter="0" w:footer="0" w:header="0"/>
        </w:sectPr>
      </w:pPr>
    </w:p>
    <w:bookmarkStart w:id="358" w:name="page359"/>
    <w:bookmarkEnd w:id="35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shareholders’ equity and cash flows as of the end of and for such year, setting forth in each case in comparative form the figures for the previous fiscal year, all reported on by Ernst &amp; Young LLP or other independent registered public accounting firm of recognized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80" w:lineRule="exact"/>
        <w:rPr>
          <w:sz w:val="20"/>
          <w:szCs w:val="20"/>
          <w:color w:val="auto"/>
        </w:rPr>
      </w:pPr>
    </w:p>
    <w:p>
      <w:pPr>
        <w:ind w:right="20" w:firstLine="921"/>
        <w:spacing w:after="0" w:line="293" w:lineRule="auto"/>
        <w:tabs>
          <w:tab w:leader="none" w:pos="1168" w:val="left"/>
        </w:tabs>
        <w:numPr>
          <w:ilvl w:val="1"/>
          <w:numId w:val="403"/>
        </w:numPr>
        <w:rPr>
          <w:rFonts w:ascii="Arial" w:cs="Arial" w:eastAsia="Arial" w:hAnsi="Arial"/>
          <w:sz w:val="16"/>
          <w:szCs w:val="16"/>
          <w:color w:val="auto"/>
        </w:rPr>
      </w:pPr>
      <w:r>
        <w:rPr>
          <w:rFonts w:ascii="Arial" w:cs="Arial" w:eastAsia="Arial" w:hAnsi="Arial"/>
          <w:sz w:val="16"/>
          <w:szCs w:val="16"/>
          <w:color w:val="auto"/>
        </w:rPr>
        <w:t>within 60 days after the end of each of the first three fiscal quarters of each fiscal year of the Company (or, if earlier, the date on which the Company is required to file the same with the SEC or any other Governmental Authority), its consolidated balance sheet and related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56" w:lineRule="exact"/>
        <w:rPr>
          <w:rFonts w:ascii="Arial" w:cs="Arial" w:eastAsia="Arial" w:hAnsi="Arial"/>
          <w:sz w:val="16"/>
          <w:szCs w:val="16"/>
          <w:color w:val="auto"/>
        </w:rPr>
      </w:pPr>
    </w:p>
    <w:p>
      <w:pPr>
        <w:ind w:left="1160" w:hanging="239"/>
        <w:spacing w:after="0"/>
        <w:tabs>
          <w:tab w:leader="none" w:pos="116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(a) or (b) above, a certificate of a Financial Officer of the Company</w:t>
      </w:r>
    </w:p>
    <w:p>
      <w:pPr>
        <w:spacing w:after="0" w:line="34" w:lineRule="exact"/>
        <w:rPr>
          <w:rFonts w:ascii="Arial" w:cs="Arial" w:eastAsia="Arial" w:hAnsi="Arial"/>
          <w:sz w:val="17"/>
          <w:szCs w:val="17"/>
          <w:color w:val="auto"/>
        </w:rPr>
      </w:pPr>
    </w:p>
    <w:p>
      <w:pPr>
        <w:ind w:right="220" w:firstLine="8"/>
        <w:spacing w:after="0" w:line="271" w:lineRule="auto"/>
        <w:tabs>
          <w:tab w:leader="none" w:pos="215" w:val="left"/>
        </w:tabs>
        <w:numPr>
          <w:ilvl w:val="0"/>
          <w:numId w:val="404"/>
        </w:numPr>
        <w:rPr>
          <w:rFonts w:ascii="Arial" w:cs="Arial" w:eastAsia="Arial" w:hAnsi="Arial"/>
          <w:sz w:val="17"/>
          <w:szCs w:val="17"/>
          <w:color w:val="auto"/>
        </w:rPr>
      </w:pPr>
      <w:r>
        <w:rPr>
          <w:rFonts w:ascii="Arial" w:cs="Arial" w:eastAsia="Arial" w:hAnsi="Arial"/>
          <w:sz w:val="17"/>
          <w:szCs w:val="17"/>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Sections 6.06 and 6.07 and (iii) stating whether any material change in GAAP or in the application thereof (including any change in GAAP or in the application thereof that would affect either of the ratios referred to in Sections 6.06 and 6.07) has occurred since the date of the audited financial statements referred to in Section 3.04 and, if any such change has occurred, specifying any material effect of such change on the financial statements accompanying such certificate;</w:t>
      </w:r>
    </w:p>
    <w:p>
      <w:pPr>
        <w:spacing w:after="0" w:line="70" w:lineRule="exact"/>
        <w:rPr>
          <w:rFonts w:ascii="Arial" w:cs="Arial" w:eastAsia="Arial" w:hAnsi="Arial"/>
          <w:sz w:val="17"/>
          <w:szCs w:val="17"/>
          <w:color w:val="auto"/>
        </w:rPr>
      </w:pPr>
    </w:p>
    <w:p>
      <w:pPr>
        <w:ind w:right="40" w:firstLine="921"/>
        <w:spacing w:after="0" w:line="264" w:lineRule="auto"/>
        <w:tabs>
          <w:tab w:leader="none" w:pos="1168" w:val="left"/>
        </w:tabs>
        <w:numPr>
          <w:ilvl w:val="1"/>
          <w:numId w:val="404"/>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and proxy statements filed by the Company or any Subsidiary with the SEC, or any other securities regulatory authority, or with any securities exchange, or distributed by the Company to its shareholders generally, as the case may be;</w:t>
      </w:r>
    </w:p>
    <w:p>
      <w:pPr>
        <w:spacing w:after="0" w:line="73" w:lineRule="exact"/>
        <w:rPr>
          <w:rFonts w:ascii="Arial" w:cs="Arial" w:eastAsia="Arial" w:hAnsi="Arial"/>
          <w:sz w:val="18"/>
          <w:szCs w:val="18"/>
          <w:color w:val="auto"/>
        </w:rPr>
      </w:pPr>
    </w:p>
    <w:p>
      <w:pPr>
        <w:ind w:right="400" w:firstLine="921"/>
        <w:spacing w:after="0" w:line="277" w:lineRule="auto"/>
        <w:tabs>
          <w:tab w:leader="none" w:pos="1158" w:val="left"/>
        </w:tabs>
        <w:numPr>
          <w:ilvl w:val="1"/>
          <w:numId w:val="404"/>
        </w:numPr>
        <w:rPr>
          <w:rFonts w:ascii="Arial" w:cs="Arial" w:eastAsia="Arial" w:hAnsi="Arial"/>
          <w:sz w:val="18"/>
          <w:szCs w:val="18"/>
          <w:color w:val="auto"/>
        </w:rPr>
      </w:pPr>
      <w:r>
        <w:rPr>
          <w:rFonts w:ascii="Arial" w:cs="Arial" w:eastAsia="Arial" w:hAnsi="Arial"/>
          <w:sz w:val="18"/>
          <w:szCs w:val="18"/>
          <w:color w:val="auto"/>
        </w:rPr>
        <w:t>promptly after either Moody’s or S&amp;P shall have announced a change in the Rating established or deemed to have been established by it, written notice of such Rating change;</w:t>
      </w:r>
    </w:p>
    <w:p>
      <w:pPr>
        <w:spacing w:after="0" w:line="62" w:lineRule="exact"/>
        <w:rPr>
          <w:rFonts w:ascii="Arial" w:cs="Arial" w:eastAsia="Arial" w:hAnsi="Arial"/>
          <w:sz w:val="18"/>
          <w:szCs w:val="18"/>
          <w:color w:val="auto"/>
        </w:rPr>
      </w:pPr>
    </w:p>
    <w:p>
      <w:pPr>
        <w:ind w:right="160" w:firstLine="921"/>
        <w:spacing w:after="0" w:line="264" w:lineRule="auto"/>
        <w:tabs>
          <w:tab w:leader="none" w:pos="1138" w:val="left"/>
        </w:tabs>
        <w:numPr>
          <w:ilvl w:val="1"/>
          <w:numId w:val="404"/>
        </w:numPr>
        <w:rPr>
          <w:rFonts w:ascii="Arial" w:cs="Arial" w:eastAsia="Arial" w:hAnsi="Arial"/>
          <w:sz w:val="18"/>
          <w:szCs w:val="18"/>
          <w:color w:val="auto"/>
        </w:rPr>
      </w:pPr>
      <w:r>
        <w:rPr>
          <w:rFonts w:ascii="Arial" w:cs="Arial" w:eastAsia="Arial" w:hAnsi="Arial"/>
          <w:sz w:val="18"/>
          <w:szCs w:val="18"/>
          <w:color w:val="auto"/>
        </w:rPr>
        <w:t>promptly following a request through the Administrative Agent therefor, any documentation or other information that a Lender reasonably requests in order to comply with its ongoing obligations under applicable “know your customer” and anti-money laundering rules and regulations, including the USA PATRIOT Act; and</w:t>
      </w:r>
    </w:p>
    <w:p>
      <w:pPr>
        <w:spacing w:after="0" w:line="73" w:lineRule="exact"/>
        <w:rPr>
          <w:rFonts w:ascii="Arial" w:cs="Arial" w:eastAsia="Arial" w:hAnsi="Arial"/>
          <w:sz w:val="18"/>
          <w:szCs w:val="18"/>
          <w:color w:val="auto"/>
        </w:rPr>
      </w:pPr>
    </w:p>
    <w:p>
      <w:pPr>
        <w:ind w:right="480" w:firstLine="921"/>
        <w:spacing w:after="0" w:line="264" w:lineRule="auto"/>
        <w:tabs>
          <w:tab w:leader="none" w:pos="1168" w:val="left"/>
        </w:tabs>
        <w:numPr>
          <w:ilvl w:val="1"/>
          <w:numId w:val="404"/>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Company or any Subsidiary, or compliance with the terms of this Agreement, as the Administrative Agent, for itself or on behalf of any Lender, may reasonably request.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359" w:name="page360"/>
    <w:bookmarkEnd w:id="359"/>
    <w:p>
      <w:pPr>
        <w:ind w:right="16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required to be delivered pursuant to this Section shall be deemed to have been delivered if such information, or one or more annual or quarterly reports containing such information, shall have been posted by the Administrative Agent on an Intralinks or similar site to which the Lenders have been granted access or shall be publicly available on the website of the SEC at http://www.sec.gov (and a confirming notice of such availability shall have been delivered to the Administrative Agent). Information required to be delivered pursuant to this Section may also be delivered by electronic communications pursuant to procedures approved by the Administrative Agent.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xml:space="preserve"> The Company will furnish to the Administrative Agent and each Lender prompt written notice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03" w:lineRule="exact"/>
        <w:rPr>
          <w:sz w:val="20"/>
          <w:szCs w:val="20"/>
          <w:color w:val="auto"/>
        </w:rPr>
      </w:pPr>
    </w:p>
    <w:p>
      <w:pPr>
        <w:ind w:left="1160" w:hanging="239"/>
        <w:spacing w:after="0"/>
        <w:tabs>
          <w:tab w:leader="none" w:pos="11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Company or any Subsidiary that could reasonably be expected to result in a Material Adverse Effect;</w:t>
      </w:r>
    </w:p>
    <w:p>
      <w:pPr>
        <w:spacing w:after="0" w:line="62"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Company and its Subsidiaries in an aggregate amount exceeding US$50,000,000;</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change in the date of its fiscal year end; and</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other development that has resulted in or could reasonably be expected to result in a Material Adverse Effect.</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47"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Company and each Borrowing Subsidiary will keep in full force and effect its legal existence. The Company will, and will cause each of the Subsidiaries to, do or cause to be done all things necessary to preserve, renew and keep in full force and effect its rights, licenses, permits, privileges and franchises except to the extent that the failure to do so could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6.04.</w:t>
      </w:r>
    </w:p>
    <w:p>
      <w:pPr>
        <w:spacing w:after="0" w:line="15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xml:space="preserve"> The Company will, and will cause each of the Subsidiaries to, pay its material obligations, including material Tax liabilities, before the same shall result in Liens on any material assets of the Company or any Subsidiary,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360" w:name="page361"/>
    <w:bookmarkEnd w:id="360"/>
    <w:p>
      <w:pPr>
        <w:ind w:right="1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xml:space="preserve"> The Company will, and will cause each of the Subsidiaries to, (a) keep and maintain all property material to the conduct of its business in good working order and condition, ordinary wear and tear excepted, except where the failure to do so, individually or in the aggregate, could not reasonably be expected to result in a Material Adverse Effect, (b) maintain, with financially sound and reputable insurance companies, insurance in such amounts and against such risks as are customary among companies engaged in the same or similar businesses (other than risks that, if actualized, could not reasonably be expected to result in a Material Adverse Effect) and (c) maintain in effect and enforce policies and procedures designed to ensure compliance by the Company, its Subsidiaries and their respective directors, officers, employees and agents with Anti-Corruption Laws and applicable Sanctions.</w:t>
      </w:r>
    </w:p>
    <w:p>
      <w:pPr>
        <w:spacing w:after="0" w:line="18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xml:space="preserve"> The Company will, and will cause each of the Subsidiaries to, keep proper books of record and account in which full, true and correct entries are made of all material dealings and transactions in relation to its business and activities. The Company will, and will cause each of the Subsidiaries to, permit any representatives designated by the Administrative Agent, or by any Lender acting through the Administrative Agent, upon reasonable prior notice from the Administrative Agent,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193"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Company will, and will cause each of the Subsidiaries to, comply with all laws, rules, regulations and orders of Governmental Authorities applicable to it or its property, except where the failure to do so, individually or in the aggregate, could not reasonably be expected to result in a Material Adverse Effect.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p>
    <w:p>
      <w:pPr>
        <w:spacing w:after="0" w:line="117" w:lineRule="exact"/>
        <w:rPr>
          <w:sz w:val="20"/>
          <w:szCs w:val="20"/>
          <w:color w:val="auto"/>
        </w:rPr>
      </w:pPr>
    </w:p>
    <w:p>
      <w:pPr>
        <w:jc w:val="both"/>
        <w:ind w:right="40" w:firstLine="921"/>
        <w:spacing w:after="0" w:line="257" w:lineRule="auto"/>
        <w:tabs>
          <w:tab w:leader="none" w:pos="1158"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proceeds of the Loans made under this Agreement will be used, and any Letters of Credit under this Agreement will be issued, only for general corporate purposes of the Company and/or the Subsidiaries, which may include acquisitions (but only if approved by the board of directors or other governing body of the target entity before the acquiror commences a tender offer, proxy solicitation or similar action with respect to the target’s voting capital stock), investments and share repurchases (it being understood that no covenant or agreement is made as to the use of proceeds of a drawing under any Letter of Credit by a beneficiary thereof).</w:t>
      </w:r>
    </w:p>
    <w:p>
      <w:pPr>
        <w:spacing w:after="0" w:line="80" w:lineRule="exact"/>
        <w:rPr>
          <w:rFonts w:ascii="Arial" w:cs="Arial" w:eastAsia="Arial" w:hAnsi="Arial"/>
          <w:sz w:val="18"/>
          <w:szCs w:val="18"/>
          <w:color w:val="auto"/>
        </w:rPr>
      </w:pPr>
    </w:p>
    <w:p>
      <w:pPr>
        <w:ind w:right="60" w:firstLine="921"/>
        <w:spacing w:after="0" w:line="257" w:lineRule="auto"/>
        <w:tabs>
          <w:tab w:leader="none" w:pos="1168"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Borrowers will not request any Borrowing or Letter of Credit, and the Borrowers will not directly or, to the knowledge of the Borrowers, indirectly, use, and will procure that the other Subsidiaries and their and such other Subsidiaries’ respective directors, officers, employees and agents will not directly or, to the knowledge of the Borrowers, indirectly, use, the proceeds of any Borrowing or BA Drawing or any Letter of Credit (i) in furtherance of an offer, payment, promise to pay, or authorization of the payment or giving of money, or anything else of value, to any Person in violation of any Anti-Corruption Laws, (ii) for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3" w:right="239" w:bottom="1440" w:gutter="0" w:footer="0" w:header="0"/>
        </w:sectPr>
      </w:pPr>
    </w:p>
    <w:bookmarkStart w:id="361" w:name="page362"/>
    <w:bookmarkEnd w:id="361"/>
    <w:p>
      <w:pPr>
        <w:jc w:val="both"/>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purpose of funding, financing or facilitating any activities, business or transaction of or with any Sanctioned Person or in any Sanctioned Country (except as permitted for a Person required to comply with Sanctions, including by virtue of licenses granted by applicable Governmental Authorities;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Lender consents to the use of such license) or (iii) in any manner that would result in the violation of any Sanctions by any party hereto.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Until the Commitments have expired or been terminated, the principal of and interest on each Loan and each BA and all fees payable hereunder have been paid in full, all Letters of Credit have expired or terminated and all LC Disbursements have been reimbursed, the Company covenants and agrees, and each Borrower covenants and agrees, as to itself and its subsidiaries, with the Lenders that: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Subsidiary Indebtedness.</w:t>
      </w:r>
      <w:r>
        <w:rPr>
          <w:rFonts w:ascii="Arial" w:cs="Arial" w:eastAsia="Arial" w:hAnsi="Arial"/>
          <w:sz w:val="17"/>
          <w:szCs w:val="17"/>
          <w:color w:val="auto"/>
        </w:rPr>
        <w:t xml:space="preserve"> The Company will not permit any Subsidiary to create, incur, assume or permit to exist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Indebtedness or any preferred stock or other preferred equity interests other than:</w:t>
      </w:r>
    </w:p>
    <w:p>
      <w:pPr>
        <w:spacing w:after="0" w:line="103" w:lineRule="exact"/>
        <w:rPr>
          <w:sz w:val="20"/>
          <w:szCs w:val="20"/>
          <w:color w:val="auto"/>
        </w:rPr>
      </w:pPr>
    </w:p>
    <w:p>
      <w:pPr>
        <w:ind w:left="1160" w:hanging="239"/>
        <w:spacing w:after="0"/>
        <w:tabs>
          <w:tab w:leader="none" w:pos="11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Indebtedness under the Credit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and Refinancing Indebtedness in respect thereof;</w:t>
      </w:r>
    </w:p>
    <w:p>
      <w:pPr>
        <w:spacing w:after="0" w:line="117" w:lineRule="exact"/>
        <w:rPr>
          <w:rFonts w:ascii="Arial" w:cs="Arial" w:eastAsia="Arial" w:hAnsi="Arial"/>
          <w:sz w:val="18"/>
          <w:szCs w:val="18"/>
          <w:color w:val="auto"/>
        </w:rPr>
      </w:pPr>
    </w:p>
    <w:p>
      <w:pPr>
        <w:ind w:right="220" w:firstLine="921"/>
        <w:spacing w:after="0" w:line="264" w:lineRule="auto"/>
        <w:tabs>
          <w:tab w:leader="none" w:pos="115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(i) Indebtedness of any Subsidiary to the Company or any other Subsidiary and (ii) preferred stock or other preferred equity interests in any Subsidiary held by the Company or any other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Indebtedness shall be assigned to, or subjected to any Lien in favor of, a Person other than the Company or a Subsidiary;</w:t>
      </w:r>
    </w:p>
    <w:p>
      <w:pPr>
        <w:spacing w:after="0" w:line="73" w:lineRule="exact"/>
        <w:rPr>
          <w:rFonts w:ascii="Arial" w:cs="Arial" w:eastAsia="Arial" w:hAnsi="Arial"/>
          <w:sz w:val="18"/>
          <w:szCs w:val="18"/>
          <w:color w:val="auto"/>
        </w:rPr>
      </w:pPr>
    </w:p>
    <w:p>
      <w:pPr>
        <w:ind w:firstLine="921"/>
        <w:spacing w:after="0" w:line="259" w:lineRule="auto"/>
        <w:tabs>
          <w:tab w:leader="none" w:pos="116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Indebtedness incurred to finance the acquisition, construction or improvement of any fixed or capital assets acquired, constructed or improved by the Company or any Subsidiary, and Refinancing Indebtedness in respect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incurred prior to or within 180 days after such acquisition or the completion of such construction or improvement and does not exceed the cost of acquiring, constructing or improving such fixed or capital assets;</w:t>
      </w:r>
    </w:p>
    <w:p>
      <w:pPr>
        <w:spacing w:after="0" w:line="78" w:lineRule="exact"/>
        <w:rPr>
          <w:rFonts w:ascii="Arial" w:cs="Arial" w:eastAsia="Arial" w:hAnsi="Arial"/>
          <w:sz w:val="18"/>
          <w:szCs w:val="18"/>
          <w:color w:val="auto"/>
        </w:rPr>
      </w:pPr>
    </w:p>
    <w:p>
      <w:pPr>
        <w:ind w:right="40" w:firstLine="921"/>
        <w:spacing w:after="0" w:line="259" w:lineRule="auto"/>
        <w:tabs>
          <w:tab w:leader="none" w:pos="115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Indebtedness, preferred stock or preferred equity interests of any Person that becomes a Subsidiary after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preferred stock or preferred equity interests shall exist at the time such Person becomes a Subsidiary, shall not be created in contemplation of or in connection with such Person becoming a Subsidiary and shall not be secured by any Liens other than Liens permitted under Section 6.02(e), and Refinancing Indebtedness in respect of such Indebtedness;</w:t>
      </w:r>
    </w:p>
    <w:p>
      <w:pPr>
        <w:spacing w:after="0" w:line="78" w:lineRule="exact"/>
        <w:rPr>
          <w:rFonts w:ascii="Arial" w:cs="Arial" w:eastAsia="Arial" w:hAnsi="Arial"/>
          <w:sz w:val="18"/>
          <w:szCs w:val="18"/>
          <w:color w:val="auto"/>
        </w:rPr>
      </w:pPr>
    </w:p>
    <w:p>
      <w:pPr>
        <w:ind w:left="1140" w:hanging="219"/>
        <w:spacing w:after="0"/>
        <w:tabs>
          <w:tab w:leader="none" w:pos="114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Indebtedness of any Subsidiary as an account party in respect of letters of credit backing obligations that do not constitute Indebtedness;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362" w:name="page363"/>
    <w:bookmarkEnd w:id="362"/>
    <w:p>
      <w:pPr>
        <w:ind w:left="1180" w:hanging="259"/>
        <w:spacing w:after="0"/>
        <w:tabs>
          <w:tab w:leader="none" w:pos="11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deemed to exist in connection with any sale and lease-back transaction permitted under Section 6.03;</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Guarantees by any Subsidiary of Indebtedness of any other Subsidiary permitted by this Section 6.01; and</w:t>
      </w:r>
    </w:p>
    <w:p>
      <w:pPr>
        <w:spacing w:after="0" w:line="117" w:lineRule="exact"/>
        <w:rPr>
          <w:rFonts w:ascii="Arial" w:cs="Arial" w:eastAsia="Arial" w:hAnsi="Arial"/>
          <w:sz w:val="18"/>
          <w:szCs w:val="18"/>
          <w:color w:val="auto"/>
        </w:rPr>
      </w:pPr>
    </w:p>
    <w:p>
      <w:pPr>
        <w:ind w:right="40" w:firstLine="921"/>
        <w:spacing w:after="0" w:line="259" w:lineRule="auto"/>
        <w:tabs>
          <w:tab w:leader="none" w:pos="112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other Indebtedness not expressly permitted by clauses (a) through (g)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sum, without duplication, of (i) the outstanding Indebtedness permitted solely by this clause (h), (ii) the aggregate principal amount of the outstanding Indebtedness secured by Liens and the outstanding Securitization Transactions permitted solely by Section 6.02(h) and (iii) the Attributable Debt in respect of Sale-Leaseback Transactions permitted by Section 6.03 does not at any time exceed the Basket Amount.</w:t>
      </w:r>
    </w:p>
    <w:p>
      <w:pPr>
        <w:spacing w:after="0" w:line="187"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3" w:lineRule="exact"/>
        <w:rPr>
          <w:sz w:val="20"/>
          <w:szCs w:val="20"/>
          <w:color w:val="auto"/>
        </w:rPr>
      </w:pPr>
    </w:p>
    <w:p>
      <w:pPr>
        <w:ind w:left="1580" w:hanging="239"/>
        <w:spacing w:after="0"/>
        <w:tabs>
          <w:tab w:leader="none" w:pos="15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any Liens securing the Obligations;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 6.01(c);</w:t>
      </w:r>
    </w:p>
    <w:p>
      <w:pPr>
        <w:spacing w:after="0" w:line="117" w:lineRule="exact"/>
        <w:rPr>
          <w:rFonts w:ascii="Arial" w:cs="Arial" w:eastAsia="Arial" w:hAnsi="Arial"/>
          <w:sz w:val="18"/>
          <w:szCs w:val="18"/>
          <w:color w:val="auto"/>
        </w:rPr>
      </w:pPr>
    </w:p>
    <w:p>
      <w:pPr>
        <w:ind w:left="460" w:right="60" w:firstLine="881"/>
        <w:spacing w:after="0" w:line="297" w:lineRule="auto"/>
        <w:tabs>
          <w:tab w:leader="none" w:pos="1591"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Company or any Subsidiary or proceeds thereof existing on the date hereof (and any replacement Lien securing permitted extensions, renewals and replacements of the obligations secured by any such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Lien on any property or asset of the Company or any Subsidiary the value of which exceeds $15,000,000 is set forth on Schedule 6.02(d);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50" w:lineRule="exact"/>
        <w:rPr>
          <w:rFonts w:ascii="Arial" w:cs="Arial" w:eastAsia="Arial" w:hAnsi="Arial"/>
          <w:sz w:val="16"/>
          <w:szCs w:val="16"/>
          <w:color w:val="auto"/>
        </w:rPr>
      </w:pPr>
    </w:p>
    <w:p>
      <w:pPr>
        <w:jc w:val="both"/>
        <w:ind w:left="460" w:firstLine="881"/>
        <w:spacing w:after="0" w:line="273" w:lineRule="auto"/>
        <w:tabs>
          <w:tab w:leader="none" w:pos="1581" w:val="left"/>
        </w:tabs>
        <w:numPr>
          <w:ilvl w:val="0"/>
          <w:numId w:val="409"/>
        </w:numPr>
        <w:rPr>
          <w:rFonts w:ascii="Arial" w:cs="Arial" w:eastAsia="Arial" w:hAnsi="Arial"/>
          <w:sz w:val="17"/>
          <w:szCs w:val="17"/>
          <w:color w:val="auto"/>
        </w:rPr>
      </w:pPr>
      <w:r>
        <w:rPr>
          <w:rFonts w:ascii="Arial" w:cs="Arial" w:eastAsia="Arial" w:hAnsi="Arial"/>
          <w:sz w:val="17"/>
          <w:szCs w:val="17"/>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363" w:name="page364"/>
    <w:bookmarkEnd w:id="363"/>
    <w:p>
      <w:pPr>
        <w:ind w:left="460" w:firstLine="881"/>
        <w:spacing w:after="0" w:line="257" w:lineRule="auto"/>
        <w:tabs>
          <w:tab w:leader="none" w:pos="1561" w:val="left"/>
        </w:tabs>
        <w:numPr>
          <w:ilvl w:val="0"/>
          <w:numId w:val="4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on fixed or capital assets acquired, constructed or improved by the Company or any Subsidiary securing Indebtedness incurred to finance such acquisition, construction or improvement;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Liens and the Indebtedness secured thereby are incurred prior to or within 180 days after such acquisition or the completion of such construction or improvement, as the case may be, (ii) the Indebtedness secured thereby does not exceed the cost of acquiring, constructing or improving such fixed or capital assets and (iii) such Liens shall not apply to any other property or assets of the Company or any Subsidiary;</w:t>
      </w:r>
    </w:p>
    <w:p>
      <w:pPr>
        <w:spacing w:after="0" w:line="80" w:lineRule="exact"/>
        <w:rPr>
          <w:rFonts w:ascii="Arial" w:cs="Arial" w:eastAsia="Arial" w:hAnsi="Arial"/>
          <w:sz w:val="18"/>
          <w:szCs w:val="18"/>
          <w:color w:val="auto"/>
        </w:rPr>
      </w:pPr>
    </w:p>
    <w:p>
      <w:pPr>
        <w:ind w:left="1600" w:hanging="259"/>
        <w:spacing w:after="0"/>
        <w:tabs>
          <w:tab w:leader="none" w:pos="16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Liens deemed to exist in connection with Sale-Leaseback Transactions permitted under Section 6.03; and</w:t>
      </w:r>
    </w:p>
    <w:p>
      <w:pPr>
        <w:spacing w:after="0" w:line="117" w:lineRule="exact"/>
        <w:rPr>
          <w:rFonts w:ascii="Arial" w:cs="Arial" w:eastAsia="Arial" w:hAnsi="Arial"/>
          <w:sz w:val="18"/>
          <w:szCs w:val="18"/>
          <w:color w:val="auto"/>
        </w:rPr>
      </w:pPr>
    </w:p>
    <w:p>
      <w:pPr>
        <w:ind w:left="460" w:right="80" w:firstLine="881"/>
        <w:spacing w:after="0" w:line="276" w:lineRule="auto"/>
        <w:tabs>
          <w:tab w:leader="none" w:pos="1591" w:val="left"/>
        </w:tabs>
        <w:numPr>
          <w:ilvl w:val="0"/>
          <w:numId w:val="410"/>
        </w:numPr>
        <w:rPr>
          <w:rFonts w:ascii="Arial" w:cs="Arial" w:eastAsia="Arial" w:hAnsi="Arial"/>
          <w:sz w:val="17"/>
          <w:szCs w:val="17"/>
          <w:color w:val="auto"/>
        </w:rPr>
      </w:pPr>
      <w:r>
        <w:rPr>
          <w:rFonts w:ascii="Arial" w:cs="Arial" w:eastAsia="Arial" w:hAnsi="Arial"/>
          <w:sz w:val="17"/>
          <w:szCs w:val="17"/>
          <w:color w:val="auto"/>
        </w:rPr>
        <w:t xml:space="preserve">other Liens on assets other than Equity Interests in Subsidiaries securing or deemed to exist in connection with Indebtedness, and sales of accounts receivable and rights in respect thereof pursuant to Securitization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sum, without duplication, of (i) the aggregate principal amount of the outstanding Indebtedness secured by Liens and the outstanding Securitization Transactions permitted solely by this clause (h), (ii) the outstanding Indebtedness permitted solely by Section 6.01(i) and (iii) the Attributable Debt in respect of Sale-Leaseback Transactions permitted by Section 6.03 does not at any time exceed the Basket Amount.</w:t>
      </w:r>
    </w:p>
    <w:p>
      <w:pPr>
        <w:spacing w:after="0" w:line="173"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Sale and Lease Back Transactions.</w:t>
      </w:r>
      <w:r>
        <w:rPr>
          <w:rFonts w:ascii="Arial" w:cs="Arial" w:eastAsia="Arial" w:hAnsi="Arial"/>
          <w:sz w:val="17"/>
          <w:szCs w:val="17"/>
          <w:color w:val="auto"/>
        </w:rPr>
        <w:t xml:space="preserve"> The Company will not, and will not permit any Subsidiary to, enter into any Sale-Leaseback Transaction except (a) a Sale-Leaseback Transaction between the Company and a Subsidiary or between Subsidiaries, and (b) to the extent the sum, without duplication, of (i) the Attributable Debt with respect to all such Sale-Leaseback Transactions in effect at any time, (ii) the outstanding Indebtedness permitted solely by Section 6.01(i) and (iii) the aggregate principal amount of the outstanding Indebtedness secured by Liens and the outstanding Securitization Transactions permitted solely by Section 6.02(h) does not at any time exceed the Basket Amount.</w:t>
      </w:r>
    </w:p>
    <w:p>
      <w:pPr>
        <w:spacing w:after="0" w:line="173" w:lineRule="exact"/>
        <w:rPr>
          <w:sz w:val="20"/>
          <w:szCs w:val="20"/>
          <w:color w:val="auto"/>
        </w:rPr>
      </w:pPr>
    </w:p>
    <w:p>
      <w:pPr>
        <w:ind w:right="180" w:firstLine="913"/>
        <w:spacing w:after="0" w:line="285"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xml:space="preserve"> (a) The Company will not, and will not permit any Subsidiary to, merge or consolidate with any other Person, or permit any other Person to merge or consolidate with it, or sell, transfer, lease or otherwise dispose of (in one transaction or in a series of transactions) any substantial portion of its assets, or acquire all or substantially all the equity interests or assets of any other Person or assets constituting a division or other business unit, or liquidate or dissolve, except that (i) any Subsidiary may merge into the Company or any other Subsidiary; (ii) any Subsidiary may sell, lease or otherwise transfer all or any part of its assets to the Company or to another Subsidiary, including by liquidation or dissolution;</w:t>
      </w:r>
    </w:p>
    <w:p>
      <w:pPr>
        <w:spacing w:after="0" w:line="2" w:lineRule="exact"/>
        <w:rPr>
          <w:sz w:val="20"/>
          <w:szCs w:val="20"/>
          <w:color w:val="auto"/>
        </w:rPr>
      </w:pPr>
    </w:p>
    <w:p>
      <w:pPr>
        <w:ind w:firstLine="8"/>
        <w:spacing w:after="0" w:line="269" w:lineRule="auto"/>
        <w:tabs>
          <w:tab w:leader="none" w:pos="315"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the Company and the Subsidiaries may (A) sell, transfer, lease or otherwise dispose of inventory and worn out or obsolete equipment in the ordinary course of business and (B) sell other assets (including through one or more mergers of Subsidiaries) so long as (1) the greater of the aggregate book value and the aggregate fair market value of the assets sold pursuant to this clause (B) during any fiscal year of the Company does not exceed 10% of the Consolidated Assets of the Company and the Subsidiaries as of the end of the immediately preceding fiscal year, and (2) if the greater of the aggregate book value and the aggregate fair market value of all assets so sold during such fiscal year exceeds 5% of Consolidated Assets as of the end of the immediately preceding fiscal year, the tangible assets so sold during such fiscal year do not account for more than 5% of Consolidated Tangible Assets as of the end of such immediately preceding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Material Disposition, (1) no</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4" w:right="279" w:bottom="1440" w:gutter="0" w:footer="0" w:header="0"/>
        </w:sectPr>
      </w:pPr>
    </w:p>
    <w:bookmarkStart w:id="364" w:name="page365"/>
    <w:bookmarkEnd w:id="36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Default shall exist after giving effect to such disposition and (2) the Company shall be in compliance on a pro forma basis with the covenants set forth in Sections 6.06 and 6.07 as of the end of and for the most recent period of four fiscal quarters for which financial statements shall have been delivered pursuant to Section 5.01, giving effect to such disposition and any related repayment of Indebtedness as if it had occurred at the beginning of such period (and the Company shall have delivered to the Administrative Agent a certificate of a Financial Officer setting forth computations demonstrating such pro forma compliance); and (iv) the Company or any Subsidiary may acquire all or substantially all the equity interests or assets of any other Person or assets constituting a division or other business unit, including through a merger of any Person with the Company or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in the case of any such acquisition involving a merger to which the Company is a party, the Company shall be the surviving or resulting corporation and (B) in the case of any Material Acquisition, (1) no Default shall exist after giving effect to such acquisition, and (2) the Company shall be in compliance on a pro forma basis with the covenants set forth in Sections 6.06 and 6.07 as of the end of and for the most recent period of four fiscal quarters for which financial statements shall have been delivered pursuant to Section 5.01, giving effect to such acquisition and any related incurrence or repayment of Indebtedness as if it had occurred at the beginning of such period (and the Company shall have delivered to the Administrative Agent a certificate of a Financial Officer setting forth computations demonstrating such pro forma compliance).</w:t>
      </w:r>
    </w:p>
    <w:p>
      <w:pPr>
        <w:spacing w:after="0" w:line="72" w:lineRule="exact"/>
        <w:rPr>
          <w:sz w:val="20"/>
          <w:szCs w:val="20"/>
          <w:color w:val="auto"/>
        </w:rPr>
      </w:pPr>
    </w:p>
    <w:p>
      <w:pPr>
        <w:ind w:right="40" w:firstLine="921"/>
        <w:spacing w:after="0" w:line="308" w:lineRule="auto"/>
        <w:tabs>
          <w:tab w:leader="none" w:pos="1168"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Company will not, and will not permit any Subsidiary to, engage to any material extent in any business other than businesses of the type conducted by the Company and the Subsidiaries on the date of this Agreement and businesses reasonably related thereto.</w:t>
      </w:r>
    </w:p>
    <w:p>
      <w:pPr>
        <w:spacing w:after="0" w:line="147"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xml:space="preserve"> The Company will not, nor will it permit any Subsidiary to, directly or indirectly, enter into, incur or permit to exist any agreement or other arrangement that prohibits, restricts or imposes any condition upon the ability of any Subsidiary to pay dividends or other distributions with respect to its shares of capital stock or other equity interests or to make or repay loans or advances to the Company or any other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foregoing shall not apply to restrictions and conditions imposed by law or by any Credit Document, (b) the foregoing shall not apply to restrictions and conditions existing on the date hereof and identified on </w:t>
      </w:r>
      <w:r>
        <w:rPr>
          <w:rFonts w:ascii="Arial" w:cs="Arial" w:eastAsia="Arial" w:hAnsi="Arial"/>
          <w:sz w:val="18"/>
          <w:szCs w:val="18"/>
          <w:u w:val="single" w:color="auto"/>
          <w:color w:val="auto"/>
        </w:rPr>
        <w:t>Schedule 6.05</w:t>
      </w:r>
      <w:r>
        <w:rPr>
          <w:rFonts w:ascii="Arial" w:cs="Arial" w:eastAsia="Arial" w:hAnsi="Arial"/>
          <w:sz w:val="18"/>
          <w:szCs w:val="18"/>
          <w:color w:val="auto"/>
        </w:rPr>
        <w:t xml:space="preserve"> (but shall apply to any extension or renewal, or any amendment or modification expanding the scope, of any such restriction or condition) and (c) the foregoing shall not apply to customary restrictions and conditions that are contained in any agreement for the sale of any asset or Subsidiary in a transaction permitted by this Agreement and applicable only to the asset or Subsidiary that is to be sold.</w:t>
      </w:r>
    </w:p>
    <w:p>
      <w:pPr>
        <w:spacing w:after="0" w:line="192"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The Company will not permit the ratio of (a) Consolidated EBITDA to (b) Consolidated Interest Expense, in each case for any period of four consecutive fiscal quarters, to be less than 3.50 to 1.00.</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Consolidated Total Debt to Consolidated EBITDA Ratio.</w:t>
      </w:r>
      <w:r>
        <w:rPr>
          <w:rFonts w:ascii="Arial" w:cs="Arial" w:eastAsia="Arial" w:hAnsi="Arial"/>
          <w:sz w:val="18"/>
          <w:szCs w:val="18"/>
          <w:color w:val="auto"/>
        </w:rPr>
        <w:t xml:space="preserve"> The Company will not at any time permit the ratio of (a) Consolidated Total Indebtedness at such time to (b) Consolidated EBITDA for the most recently ended period of four consecutive fiscal quarters to be greater than 3.25 to 1.00.</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274" w:right="299" w:bottom="1440" w:gutter="0" w:footer="0" w:header="0"/>
        </w:sectPr>
      </w:pPr>
    </w:p>
    <w:bookmarkStart w:id="365" w:name="page366"/>
    <w:bookmarkEnd w:id="365"/>
    <w:p>
      <w:pPr>
        <w:jc w:val="center"/>
        <w:ind w:righ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i w:val="1"/>
          <w:iCs w:val="1"/>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firstLine="881"/>
        <w:spacing w:after="0" w:line="342" w:lineRule="auto"/>
        <w:tabs>
          <w:tab w:leader="none" w:pos="1121"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any Borrower shall fail to pay any principal of any Loan or any BA or any reimbursement obligation in respect of any LC Disbursement when and as the same shall become due and payable, whether at the due date thereof or at a date fixed for prepayment thereof or otherwise;</w:t>
      </w:r>
    </w:p>
    <w:p>
      <w:pPr>
        <w:spacing w:after="0" w:line="15" w:lineRule="exact"/>
        <w:rPr>
          <w:rFonts w:ascii="Arial" w:cs="Arial" w:eastAsia="Arial" w:hAnsi="Arial"/>
          <w:sz w:val="16"/>
          <w:szCs w:val="16"/>
          <w:color w:val="auto"/>
        </w:rPr>
      </w:pPr>
    </w:p>
    <w:p>
      <w:pPr>
        <w:ind w:right="20" w:firstLine="881"/>
        <w:spacing w:after="0" w:line="264" w:lineRule="auto"/>
        <w:tabs>
          <w:tab w:leader="none" w:pos="113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Business Days;</w:t>
      </w:r>
    </w:p>
    <w:p>
      <w:pPr>
        <w:spacing w:after="0" w:line="73" w:lineRule="exact"/>
        <w:rPr>
          <w:rFonts w:ascii="Arial" w:cs="Arial" w:eastAsia="Arial" w:hAnsi="Arial"/>
          <w:sz w:val="18"/>
          <w:szCs w:val="18"/>
          <w:color w:val="auto"/>
        </w:rPr>
      </w:pPr>
    </w:p>
    <w:p>
      <w:pPr>
        <w:ind w:firstLine="881"/>
        <w:spacing w:after="0" w:line="259" w:lineRule="auto"/>
        <w:tabs>
          <w:tab w:leader="none" w:pos="112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representation or warranty or statement made or deemed made by or on behalf of the Company or any Subsidiary in or in connection with any Credit Document or any amendment or modification thereof or waiver thereunder, or any report, certificate, financial statement or other document furnished pursuant to or in connection with any Credit Document or any amendment or modification thereof or waiver thereunder, shall prove to have been incorrect in any material respect when made or deemed made;</w:t>
      </w:r>
    </w:p>
    <w:p>
      <w:pPr>
        <w:spacing w:after="0" w:line="78" w:lineRule="exact"/>
        <w:rPr>
          <w:rFonts w:ascii="Arial" w:cs="Arial" w:eastAsia="Arial" w:hAnsi="Arial"/>
          <w:sz w:val="18"/>
          <w:szCs w:val="18"/>
          <w:color w:val="auto"/>
        </w:rPr>
      </w:pPr>
    </w:p>
    <w:p>
      <w:pPr>
        <w:ind w:right="280" w:firstLine="881"/>
        <w:spacing w:after="0" w:line="277" w:lineRule="auto"/>
        <w:tabs>
          <w:tab w:leader="none" w:pos="113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Company or any Borrower shall fail to observe or perform any covenant, condition or agreement contained in Section 5.02, 5.03 (with respect to the existence of any Borrower) or 5.08 or in Article VI;</w:t>
      </w:r>
    </w:p>
    <w:p>
      <w:pPr>
        <w:spacing w:after="0" w:line="62" w:lineRule="exact"/>
        <w:rPr>
          <w:rFonts w:ascii="Arial" w:cs="Arial" w:eastAsia="Arial" w:hAnsi="Arial"/>
          <w:sz w:val="18"/>
          <w:szCs w:val="18"/>
          <w:color w:val="auto"/>
        </w:rPr>
      </w:pPr>
    </w:p>
    <w:p>
      <w:pPr>
        <w:ind w:right="260" w:firstLine="881"/>
        <w:spacing w:after="0" w:line="264" w:lineRule="auto"/>
        <w:tabs>
          <w:tab w:leader="none" w:pos="112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Credit Party shall fail to observe or perform any covenant, condition or agreement contained in this Agreement (other than those specified in clause (a), (b) or (d) of this Article), and such failure shall continue unremedied for a period of 30 days after notice thereof from the Administrative Agent to the Company (which notice will be given at the request of any Lender);</w:t>
      </w:r>
    </w:p>
    <w:p>
      <w:pPr>
        <w:spacing w:after="0" w:line="73" w:lineRule="exact"/>
        <w:rPr>
          <w:rFonts w:ascii="Arial" w:cs="Arial" w:eastAsia="Arial" w:hAnsi="Arial"/>
          <w:sz w:val="18"/>
          <w:szCs w:val="18"/>
          <w:color w:val="auto"/>
        </w:rPr>
      </w:pPr>
    </w:p>
    <w:p>
      <w:pPr>
        <w:ind w:right="100" w:firstLine="881"/>
        <w:spacing w:after="0" w:line="277" w:lineRule="auto"/>
        <w:tabs>
          <w:tab w:leader="none" w:pos="110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Company or any Subsidiary shall fail to make any payment (whether of principal or interest and regardless of amount) in respect of any Material Indebtedness at the maturity date thereof;</w:t>
      </w:r>
    </w:p>
    <w:p>
      <w:pPr>
        <w:spacing w:after="0" w:line="62" w:lineRule="exact"/>
        <w:rPr>
          <w:rFonts w:ascii="Arial" w:cs="Arial" w:eastAsia="Arial" w:hAnsi="Arial"/>
          <w:sz w:val="18"/>
          <w:szCs w:val="18"/>
          <w:color w:val="auto"/>
        </w:rPr>
      </w:pPr>
    </w:p>
    <w:p>
      <w:pPr>
        <w:ind w:right="100" w:firstLine="881"/>
        <w:spacing w:after="0" w:line="291" w:lineRule="auto"/>
        <w:tabs>
          <w:tab w:leader="none" w:pos="1131"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or without the giving of notice, lapse of time or both) the holder or holders of any Material Indebtedness or any trustee or agent on its or their behalf to cause any Material Indebtedness to become due, or to require the prepayment, repurchase, redemption or defeasance thereof, prior to its scheduled maturity, or that results in the termination or unwinding of, or permits any purchaser or other counterparty to terminate or unwind (with or without the giving of notice, the lapse of time or both), prior to its scheduled termination, any Securitization Transaction constituting, or any Hedging Agreement the obligations of which constitute, Material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(g) shall not apply to secured Indebtedness that becomes due as a result of the voluntary sale or transfer of the property or assets securing such Indebtedness;</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40"/>
          </w:cols>
          <w:pgMar w:left="700" w:top="273" w:right="259" w:bottom="1440" w:gutter="0" w:footer="0" w:header="0"/>
        </w:sectPr>
      </w:pPr>
    </w:p>
    <w:bookmarkStart w:id="366" w:name="page367"/>
    <w:bookmarkEnd w:id="366"/>
    <w:p>
      <w:pPr>
        <w:ind w:right="40" w:firstLine="881"/>
        <w:spacing w:after="0" w:line="272" w:lineRule="auto"/>
        <w:tabs>
          <w:tab w:leader="none" w:pos="1131" w:val="left"/>
        </w:tabs>
        <w:numPr>
          <w:ilvl w:val="1"/>
          <w:numId w:val="4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(ii) the appointment of a receiver, trustee, custodian, sequestrator, conservator or similar official for any Borrower or any Material Subsidiary or for a substantial part of its assets or (iii) a declaration that the Company or any Material Subsidiary is </w:t>
      </w:r>
      <w:r>
        <w:rPr>
          <w:rFonts w:ascii="Arial" w:cs="Arial" w:eastAsia="Arial" w:hAnsi="Arial"/>
          <w:sz w:val="17"/>
          <w:szCs w:val="17"/>
          <w:i w:val="1"/>
          <w:iCs w:val="1"/>
          <w:color w:val="auto"/>
        </w:rPr>
        <w:t>en desastre,</w:t>
      </w:r>
      <w:r>
        <w:rPr>
          <w:rFonts w:ascii="Arial" w:cs="Arial" w:eastAsia="Arial" w:hAnsi="Arial"/>
          <w:sz w:val="17"/>
          <w:szCs w:val="17"/>
          <w:color w:val="auto"/>
        </w:rPr>
        <w:t xml:space="preserve"> or proceedings are commenced </w:t>
      </w:r>
      <w:r>
        <w:rPr>
          <w:rFonts w:ascii="Arial" w:cs="Arial" w:eastAsia="Arial" w:hAnsi="Arial"/>
          <w:sz w:val="17"/>
          <w:szCs w:val="17"/>
          <w:i w:val="1"/>
          <w:iCs w:val="1"/>
          <w:color w:val="auto"/>
        </w:rPr>
        <w:t>in saisie</w:t>
      </w:r>
      <w:r>
        <w:rPr>
          <w:rFonts w:ascii="Arial" w:cs="Arial" w:eastAsia="Arial" w:hAnsi="Arial"/>
          <w:sz w:val="17"/>
          <w:szCs w:val="17"/>
          <w:color w:val="auto"/>
        </w:rPr>
        <w:t xml:space="preserve"> or an initial vesting is declared over the Borrower or any Material Subsidiary or over the assets of the Borrower or any Material Subsidiary, and, in any such case, such proceeding or petition shall continue undismissed for 60 days or an order or decree approving, ordering or declaring any of the foregoing shall be entered;</w:t>
      </w:r>
    </w:p>
    <w:p>
      <w:pPr>
        <w:spacing w:after="0" w:line="69" w:lineRule="exact"/>
        <w:rPr>
          <w:rFonts w:ascii="Arial" w:cs="Arial" w:eastAsia="Arial" w:hAnsi="Arial"/>
          <w:sz w:val="17"/>
          <w:szCs w:val="17"/>
          <w:color w:val="auto"/>
        </w:rPr>
      </w:pPr>
    </w:p>
    <w:p>
      <w:pPr>
        <w:ind w:right="20" w:firstLine="881"/>
        <w:spacing w:after="0" w:line="272" w:lineRule="auto"/>
        <w:tabs>
          <w:tab w:leader="none" w:pos="1091" w:val="left"/>
        </w:tabs>
        <w:numPr>
          <w:ilvl w:val="1"/>
          <w:numId w:val="414"/>
        </w:numPr>
        <w:rPr>
          <w:rFonts w:ascii="Arial" w:cs="Arial" w:eastAsia="Arial" w:hAnsi="Arial"/>
          <w:sz w:val="17"/>
          <w:szCs w:val="17"/>
          <w:color w:val="auto"/>
        </w:rPr>
      </w:pPr>
      <w:r>
        <w:rPr>
          <w:rFonts w:ascii="Arial" w:cs="Arial" w:eastAsia="Arial" w:hAnsi="Arial"/>
          <w:sz w:val="17"/>
          <w:szCs w:val="17"/>
          <w:color w:val="auto"/>
        </w:rPr>
        <w:t xml:space="preserve">any Borrower or any Material Subsidiary shall (i) voluntarily commence any proceeding or file any petition seeking liquidation, reorganization or other relief under any Federal, state or foreign bankruptcy, insolvency, receivership or similar law now or hereafter in effect or seeking a declaration that the Company or any Material Subsidiary is </w:t>
      </w:r>
      <w:r>
        <w:rPr>
          <w:rFonts w:ascii="Arial" w:cs="Arial" w:eastAsia="Arial" w:hAnsi="Arial"/>
          <w:sz w:val="17"/>
          <w:szCs w:val="17"/>
          <w:i w:val="1"/>
          <w:iCs w:val="1"/>
          <w:color w:val="auto"/>
        </w:rPr>
        <w:t>en desastre</w:t>
      </w:r>
      <w:r>
        <w:rPr>
          <w:rFonts w:ascii="Arial" w:cs="Arial" w:eastAsia="Arial" w:hAnsi="Arial"/>
          <w:sz w:val="17"/>
          <w:szCs w:val="17"/>
          <w:color w:val="auto"/>
        </w:rPr>
        <w: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Borrower or any other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69" w:lineRule="exact"/>
        <w:rPr>
          <w:rFonts w:ascii="Arial" w:cs="Arial" w:eastAsia="Arial" w:hAnsi="Arial"/>
          <w:sz w:val="17"/>
          <w:szCs w:val="17"/>
          <w:color w:val="auto"/>
        </w:rPr>
      </w:pPr>
    </w:p>
    <w:p>
      <w:pPr>
        <w:ind w:left="1100" w:hanging="219"/>
        <w:spacing w:after="0"/>
        <w:tabs>
          <w:tab w:leader="none" w:pos="11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any Borrower or any Material Subsidiary shall admit in writing its inability, or fail generally, to pay its debts as they become due;</w:t>
      </w:r>
    </w:p>
    <w:p>
      <w:pPr>
        <w:spacing w:after="0" w:line="128" w:lineRule="exact"/>
        <w:rPr>
          <w:rFonts w:ascii="Arial" w:cs="Arial" w:eastAsia="Arial" w:hAnsi="Arial"/>
          <w:sz w:val="17"/>
          <w:szCs w:val="17"/>
          <w:color w:val="auto"/>
        </w:rPr>
      </w:pPr>
    </w:p>
    <w:p>
      <w:pPr>
        <w:ind w:firstLine="881"/>
        <w:spacing w:after="0" w:line="285" w:lineRule="auto"/>
        <w:tabs>
          <w:tab w:leader="none" w:pos="1131" w:val="left"/>
        </w:tabs>
        <w:numPr>
          <w:ilvl w:val="1"/>
          <w:numId w:val="414"/>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US$100,000,000 shall be rendered against the Borrowers, any other Subsidiary or any combination thereof and the same shall remain undischarged, unsettled or unpaid for a period of 30 consecutive days during which execution shall not be effectively stayed, or any action shall be legally taken by a judgment creditor to attach or levy upon any material assets of the Borrower or any other Subsidiary to enforce any one or more judgments in such aggregate amount and such action shall not have been promptly stayed; provided, that no judgment of a court in Ecuador arising out of the Ecuador Litigation shall be included in this clause (k) unless</w:t>
      </w:r>
    </w:p>
    <w:p>
      <w:pPr>
        <w:spacing w:after="0" w:line="2" w:lineRule="exact"/>
        <w:rPr>
          <w:rFonts w:ascii="Arial" w:cs="Arial" w:eastAsia="Arial" w:hAnsi="Arial"/>
          <w:sz w:val="16"/>
          <w:szCs w:val="16"/>
          <w:color w:val="auto"/>
        </w:rPr>
      </w:pPr>
    </w:p>
    <w:p>
      <w:pPr>
        <w:ind w:right="100" w:firstLine="4"/>
        <w:spacing w:after="0" w:line="253" w:lineRule="auto"/>
        <w:tabs>
          <w:tab w:leader="none" w:pos="25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one or more courts in jurisdictions outside Ecuador in which the aggregate assets or revenues of the Company and the Subsidiaries are material (in the judgment of the Required Lenders) have entered an order enforcing such judgment in such jurisdictions or against the Company or Subsidiaries other than Amdocs Development Limited and Amdocs Ecuador S.A. and (y) the Company and any applicable Subsidiaries have not, within 30 consecutive days following entry of any such order during which period execution of such order shall not be effectively stayed, discharged, settled, or paid such order;</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20"/>
          </w:cols>
          <w:pgMar w:left="700" w:top="273" w:right="279" w:bottom="1440" w:gutter="0" w:footer="0" w:header="0"/>
        </w:sectPr>
      </w:pPr>
    </w:p>
    <w:bookmarkStart w:id="367" w:name="page368"/>
    <w:bookmarkEnd w:id="367"/>
    <w:p>
      <w:pPr>
        <w:ind w:left="460" w:right="480" w:firstLine="881"/>
        <w:spacing w:after="0" w:line="308" w:lineRule="auto"/>
        <w:tabs>
          <w:tab w:leader="none" w:pos="1551" w:val="left"/>
        </w:tabs>
        <w:numPr>
          <w:ilvl w:val="0"/>
          <w:numId w:val="4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ERISA Event shall have occurred or shall exist that, in the opinion of the Required Lenders, when taken together with all other ERISA Events and other such events and conditions, could reasonably be expected to result in a Material Adverse Effect;</w:t>
      </w:r>
    </w:p>
    <w:p>
      <w:pPr>
        <w:spacing w:after="0" w:line="38" w:lineRule="exact"/>
        <w:rPr>
          <w:rFonts w:ascii="Arial" w:cs="Arial" w:eastAsia="Arial" w:hAnsi="Arial"/>
          <w:sz w:val="17"/>
          <w:szCs w:val="17"/>
          <w:color w:val="auto"/>
        </w:rPr>
      </w:pPr>
    </w:p>
    <w:p>
      <w:pPr>
        <w:ind w:left="460" w:right="20" w:firstLine="881"/>
        <w:spacing w:after="0" w:line="277" w:lineRule="auto"/>
        <w:tabs>
          <w:tab w:leader="none" w:pos="1641"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guarantee of the Company under Article X shall cease to be, or shall be asserted by the Company not to be, a legal, valid or binding obligation of the Company;</w:t>
      </w:r>
    </w:p>
    <w:p>
      <w:pPr>
        <w:spacing w:after="0" w:line="62" w:lineRule="exact"/>
        <w:rPr>
          <w:rFonts w:ascii="Arial" w:cs="Arial" w:eastAsia="Arial" w:hAnsi="Arial"/>
          <w:sz w:val="18"/>
          <w:szCs w:val="18"/>
          <w:color w:val="auto"/>
        </w:rPr>
      </w:pPr>
    </w:p>
    <w:p>
      <w:pPr>
        <w:ind w:left="460" w:right="280" w:firstLine="881"/>
        <w:spacing w:after="0" w:line="264" w:lineRule="auto"/>
        <w:tabs>
          <w:tab w:leader="none" w:pos="1591"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assets of any Borrower or any Material Subsidiary that in the aggregate are material to the Company and the Subsidiaries, taken as a whole, shall be expropriated, nationalized or otherwise taken by any Governmental Authority if such expropriation, nationalization or taking could reasonably be expected to result in a Material Adverse Effect; or</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then, and in every such event (other than an event with respect to the Company or any Borrower described in clause (h) or (i) of this Article), and at any time thereafter during the continuance of such event, the Administrative Agent may, and at the request of the Required Lenders shall, by notice to the Company, take either or both of the following actions, at the same or different times: (i) terminate the Commitments, and thereupon the Commitments shall terminate immediately and (ii) declare the Loans and all payment obligations of the Borrowers in respect of BAs then outstanding to be due and payable in whole (or in part, in which case any principal not so declared to be due and payable may thereafter be declared to be due and payable), and thereupon the principal of the Loans and all payment obligations of the Borrowers in respect of BAs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or any Subsidiary described in clause (h) or (i) of this Article, the Commitments shall automatically terminate and the principal of the Loans and all payment obligations of the Borrowers in respect of BAs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Agents</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Each of the Lenders and Issuing Banks hereby irrevocably appoints the Agents as its agents and authorizes the Agents to take such actions on its behalf and to exercise such powers as are delegated to the Agents by the terms of the Credit Documents, together with such actions and powers as are reasonably incidental thereto. It is understood and agreed that the use of the term “agent” herein or in any other Credit Documents (or any other similar term) with reference to the Agents 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368" w:name="page369"/>
    <w:bookmarkEnd w:id="368"/>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intended to connote any fiduciary duty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7"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Any Person serving as an Agent hereunder shall have the same rights and powers in its capacity as a Lender or an Issuing Bank as any other Lender or Issuing Bank and may exercise the same as though it were not an Agent, and such Person and its Affiliates may accept deposits from, lend money to, own securities of, act as the financial advisor or in any advisory capacity for and generally engage in any kind of business with the Company or any Subsidiary or other Affiliate thereof as if it were not an Agent hereunder and without any duty to account therefor to the Lenders or Issuing Banks.</w:t>
      </w:r>
    </w:p>
    <w:p>
      <w:pPr>
        <w:spacing w:after="0" w:line="154"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The Agents shall not have any duties or obligations except those expressly set forth in the Credit Documents. Without limiting the generality of the foregoing, (a) the Agents shall not be subject to any fiduciary or other implied duties, regardless of whether a Default has occurred and is continuing,</w:t>
      </w:r>
    </w:p>
    <w:p>
      <w:pPr>
        <w:ind w:firstLine="8"/>
        <w:spacing w:after="0" w:line="266" w:lineRule="auto"/>
        <w:tabs>
          <w:tab w:leader="none" w:pos="255"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the Agents shall not have any duty to take any discretionary action or exercise any discretionary powers, except discretionary rights and powers expressly contemplated by the Credit Documents that the Agents are required to exercise in writing as directed by the Required Lenders (or such other number or percentage of the Lenders as shall be necessary, or as the relevant Agent shall believe in good faith to be necessary, under the circumstances as provided in the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Agent shall not be required to take any action that, in its opinion, could expose it to liability or be contrary to any Credit Document or applicable law, and (c) except as expressly set forth in the Credit Documents, the Agents shall not have any duty to disclose, and shall not be liable for the failure to disclose, any information relating to the Company, any of the Subsidiaries or any other Affiliates of the foregoing that is communicated to or obtained by the Agents or any of their Affiliates in any capacity. The Agents shall not be liable to any Lender or Issuing Bank for any action taken or not taken by them with the consent or at the request of the Required Lenders (or such other number or percentage of the Lenders as shall be necessary, or as the relevant Agent shall believe in good faith to be necessary, under the circumstances as provided in the Credit Documents) or in the absence of their own gross negligence or wilful misconduct (such absence to be presumed unless otherwise determined by a court of competent jurisdiction by a final and nonappealable judgment). Each Agent shall be deemed not to have knowledge of any Default unless and until written notice thereof (stating that it is a “notice of default”) is given to such Agent by the Company or a Lender, and the Agents shall not be responsible for or have any duty to ascertain or inquire into (i) any statement, warranty or representation made in or in connection with any Credit Document, (ii) the contents of any certificate, report or other document delivered thereunder or in connection therewith, (iii) the performance or observance of any of the covenants, agreements or other terms or conditions set forth in any Credit Document or the occurrence of any Default, (iv) the validity, enforceability, effectiveness or genuineness of any Credit Document or any other agreement, instrument or document or (v) the satisfaction of any condition set forth in Article IV or elsewhere in any Credit Document, other than to confirm receipt of items expressly required to be delivered to such Agent or satisfaction of any condition that expressly refers to the matters described therein being acceptable or satisfactory to such Agent.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369" w:name="page370"/>
    <w:bookmarkEnd w:id="369"/>
    <w:p>
      <w:pPr>
        <w:ind w:right="20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Agent shall be entitled to rely upon, and shall not incur any liability to any Lender or Issuing Bank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Credit Documents for being the signatory, sender or authenticator thereof). Each Agent also may rely, and shall not incur any liability for relying, upon any statement made to it orally or by telephone and believed by it to be made by the proper Person (whether or not such Person in fact meets the requirements set forth in the Credit Documents for being the signatory, sender or authenticator thereof), and may act upon any such statement prior to receipt of written confirmation thereof. Each Agent may consult with legal counsel (who may be counsel for any Borrower), independent accountants and other experts selected by it, and shall not be liable to any Lender or Issuing Bank for any action taken or not taken by it in accordance with the advice of any such counsel, accountants or experts.</w:t>
      </w:r>
    </w:p>
    <w:p>
      <w:pPr>
        <w:spacing w:after="0" w:line="18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Each Agent may perform any and all its duties and exercise its rights and powers hereunder or under any other Credit Document by or through any one or more sub-agents appointed by it. Each Agent and any such sub-agent may perform any and all its duties and exercise its rights and powers through its respective Related Parties. The exculpatory provisions of the preceding paragraphs and the provisions of Section 11.03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8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Subject to the appointment and acceptance of a successor Agent as provided in this paragraph, each Agent may resign at any time by notifying the other Agents, the Lenders, the Issuing Banks and the Company. Upon any such resignation, the Required Lenders (in the case of a resignation by the Administrative Agent) or the Administrative Agent (in the case of a resignation by any other Agent) shall have the right, in consultation with the Company and, so long as no Event of Default shall have occurred and be continuing, with the Company’s prior consent (which shall not be unreasonably withheld), to appoint a successor. If no successor Agent shall have been so appointed and shall have accepted such appointment within 30 days after the retiring Agent gives notice of its resignation, then the retiring Agent may, on behalf of the Lenders and the Issuing Banks, appoint a successor Agent which shall be a bank with an office in New York, New York, or an Affiliate of any such bank, that is reasonably acceptable to the Company.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and under the other Credit Documents. The fees payable by the Company to a successor Agent shall be the same as those payable to its predecessor unless otherwise agreed between the Company and such successor. Notwithstanding the foregoing, in the event no successor Agent shall have been so appointed and shall have accepted such appointment within 30 days after the retiring Agent gives notice of its intent to resign, the retiring Agent may give notice of the effectiveness of its resignation to the Lenders, the Issuing Banks and the Company, whereupon, on the date of effectiveness of such resignation stated in such notice, (a) the retiring Agent shall be discharged from its duties and obligations hereunder and under the other Credit Documents and (b) the Required Lenders (in the case of a resignation by the Administrative Agent) or the Administrative Agent (in the case of a resignation by any other Agent) shall succeed to and become vested with all the rights, powers, privileges and duties of the retiring Agent, provided that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370" w:name="page371"/>
    <w:bookmarkEnd w:id="370"/>
    <w:p>
      <w:pPr>
        <w:ind w:right="40" w:firstLine="8"/>
        <w:spacing w:after="0" w:line="255" w:lineRule="auto"/>
        <w:tabs>
          <w:tab w:leader="none" w:pos="215" w:val="left"/>
        </w:tabs>
        <w:numPr>
          <w:ilvl w:val="0"/>
          <w:numId w:val="4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payments required to be made hereunder or under any other Credit Document to the retiring Agent for the account of any Person other than such Agent shall be made directly to such Person and (ii) all notices and other communications required or contemplated to be given or made to the retiring Agent shall also directly be given or made to each Lender and each Issuing Bank. Following the effectiveness of the Agent’s resignation from its capacity as such, the provisions of this Article and Section 11.03, as well as any exculpatory, reimbursement and indemnification provisions set forth in any other Credit Document, shall continue in effect for the benefit of such retiring Agent, its sub agents and their respective Related Parties in respect of any actions taken or omitted to be taken by any of them while it was acting as Agent</w:t>
      </w:r>
    </w:p>
    <w:p>
      <w:pPr>
        <w:spacing w:after="0" w:line="193"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Each Lender and Issuing Bank acknowledges that it has, independently and without reliance upon any Agent, the Arrangers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any Agent, the Arrangers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65"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Each Lender, by delivering its signature page to this Agreement or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any Agent or the Lenders on or prior to the Effective Date.</w:t>
      </w:r>
    </w:p>
    <w:p>
      <w:pPr>
        <w:spacing w:after="0" w:line="147"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In case of the pendency of any proceeding with respect to any Credit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46" w:lineRule="exact"/>
        <w:rPr>
          <w:sz w:val="20"/>
          <w:szCs w:val="20"/>
          <w:color w:val="auto"/>
        </w:rPr>
      </w:pPr>
    </w:p>
    <w:p>
      <w:pPr>
        <w:ind w:left="460" w:right="100" w:firstLine="881"/>
        <w:spacing w:after="0" w:line="312" w:lineRule="auto"/>
        <w:tabs>
          <w:tab w:leader="none" w:pos="1581"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and LC Exposure that are owing and unpaid and to file such other documents as may be necessary or advisable in order to have the claims of the Lenders, the Issuing Banks and the Agents (including any claim under Sections 2.11, 2.12, 2.14, 2.15, 2.16 and 11.03) allowed in such judicial proceeding; and</w:t>
      </w:r>
    </w:p>
    <w:p>
      <w:pPr>
        <w:spacing w:after="0" w:line="38" w:lineRule="exact"/>
        <w:rPr>
          <w:rFonts w:ascii="Arial" w:cs="Arial" w:eastAsia="Arial" w:hAnsi="Arial"/>
          <w:sz w:val="16"/>
          <w:szCs w:val="16"/>
          <w:color w:val="auto"/>
        </w:rPr>
      </w:pPr>
    </w:p>
    <w:p>
      <w:pPr>
        <w:ind w:left="1600" w:hanging="259"/>
        <w:spacing w:after="0"/>
        <w:tabs>
          <w:tab w:leader="none" w:pos="16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73" w:right="279" w:bottom="1440" w:gutter="0" w:footer="0" w:header="0"/>
        </w:sectPr>
      </w:pPr>
    </w:p>
    <w:bookmarkStart w:id="371" w:name="page372"/>
    <w:bookmarkEnd w:id="371"/>
    <w:p>
      <w:pPr>
        <w:jc w:val="both"/>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making of such payments directly to the Lenders or the Issuing Banks, to pay to each Agent any amount due to it, in its capacity as Agent, under the Credit Documents (including under Section 11.03). In the case of such a proceeding, the Administrative Agent shall not have the authority to vote on behalf of any Lender on any plan of reorganization.</w:t>
      </w:r>
    </w:p>
    <w:p>
      <w:pPr>
        <w:spacing w:after="0" w:line="18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The parties agree that none of the Arrangers, the Joint Bookrunners, the Syndication Agents and the Documentation Agent named on the cover page of this Agreement shall, in such capacities, have any powers, duties or responsibilities under this Agreement or any other Credit Document (except in its capacity, as applicable, as a Lender or an Issuing Bank), but all such Persons shall have the benefit of the indemnities provided for hereunder.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Collection Allocation Mechanism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the CAM Exchange Date, (a) the Commitments shall automatically and without further act be terminated as provided in Article VII and</w:t>
      </w:r>
    </w:p>
    <w:p>
      <w:pPr>
        <w:spacing w:after="0" w:line="35" w:lineRule="exact"/>
        <w:rPr>
          <w:sz w:val="20"/>
          <w:szCs w:val="20"/>
          <w:color w:val="auto"/>
        </w:rPr>
      </w:pPr>
    </w:p>
    <w:p>
      <w:pPr>
        <w:ind w:firstLine="8"/>
        <w:spacing w:after="0" w:line="267" w:lineRule="auto"/>
        <w:tabs>
          <w:tab w:leader="none" w:pos="255" w:val="left"/>
        </w:tabs>
        <w:numPr>
          <w:ilvl w:val="0"/>
          <w:numId w:val="420"/>
        </w:numPr>
        <w:rPr>
          <w:rFonts w:ascii="Arial" w:cs="Arial" w:eastAsia="Arial" w:hAnsi="Arial"/>
          <w:sz w:val="17"/>
          <w:szCs w:val="17"/>
          <w:color w:val="auto"/>
        </w:rPr>
      </w:pPr>
      <w:r>
        <w:rPr>
          <w:rFonts w:ascii="Arial" w:cs="Arial" w:eastAsia="Arial" w:hAnsi="Arial"/>
          <w:sz w:val="17"/>
          <w:szCs w:val="17"/>
          <w:color w:val="auto"/>
        </w:rPr>
        <w:t xml:space="preserve">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It is understood and agreed that Lenders holding interests in BAs immediately prior to the CAM Exchange shall discharge their obligations with respect to the payment of such BAs at the maturity thereof in exchange for the interests acquired by such Lenders in funded Loans in the CAM Exchange. Each Lender, each person acquiring a participation from any Lender as contemplated by Section 11.04 and each Credit Party hereby consents and agrees to the CAM Exchange. Each Credit Party and each Lender agrees from time to time to execute and deliver to the Agents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any Borrower to execute or deliver or of any Lender to accept any such promissory note, instrument or document shall not affect the validity or effectiveness of the CAM Exchange.</w:t>
      </w:r>
    </w:p>
    <w:p>
      <w:pPr>
        <w:spacing w:after="0" w:line="187" w:lineRule="exact"/>
        <w:rPr>
          <w:sz w:val="20"/>
          <w:szCs w:val="20"/>
          <w:color w:val="auto"/>
        </w:rPr>
      </w:pPr>
    </w:p>
    <w:p>
      <w:pPr>
        <w:jc w:val="both"/>
        <w:ind w:right="60" w:firstLine="913"/>
        <w:spacing w:after="0" w:line="257" w:lineRule="auto"/>
        <w:rPr>
          <w:sz w:val="20"/>
          <w:szCs w:val="20"/>
          <w:color w:val="auto"/>
        </w:rPr>
      </w:pPr>
      <w:r>
        <w:rPr>
          <w:rFonts w:ascii="Arial" w:cs="Arial" w:eastAsia="Arial" w:hAnsi="Arial"/>
          <w:sz w:val="18"/>
          <w:szCs w:val="18"/>
          <w:color w:val="auto"/>
        </w:rPr>
        <w:t xml:space="preserve">As a result of the CAM Exchange, on and after the CAM Exchange Date, each payment received by an Agent pursuant to any Credit Document in respect of the Designated Obligations shall be distributed to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their respective CAM Percentages (to be redetermined as of each such date of payment or distribution to the extent required by the next paragraph), but giving effect to assignments after the CAM Exchange Date, it being understood that nothing in this paragraph shall be construed to prohibit the assignment of a proportionate part of all an assigning Lender’s rights and obligations in respect of a single Class of Commitments or Loans.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3" w:right="239" w:bottom="1440" w:gutter="0" w:footer="0" w:header="0"/>
        </w:sectPr>
      </w:pPr>
    </w:p>
    <w:bookmarkStart w:id="372" w:name="page373"/>
    <w:bookmarkEnd w:id="372"/>
    <w:p>
      <w:pPr>
        <w:ind w:right="60" w:firstLine="913"/>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after the CAM Exchange, the aggregate amount of the Designated Obligations shall change as a result of the making of an LC Disbursement by an Issuing Bank that is not reimbursed by the applicable Borrower, then (a) each Tranche A Lender shall, in accordance with</w:t>
      </w:r>
    </w:p>
    <w:p>
      <w:pPr>
        <w:ind w:right="20"/>
        <w:spacing w:after="0" w:line="287" w:lineRule="auto"/>
        <w:rPr>
          <w:sz w:val="20"/>
          <w:szCs w:val="20"/>
          <w:color w:val="auto"/>
        </w:rPr>
      </w:pPr>
      <w:r>
        <w:rPr>
          <w:rFonts w:ascii="Arial" w:cs="Arial" w:eastAsia="Arial" w:hAnsi="Arial"/>
          <w:sz w:val="16"/>
          <w:szCs w:val="16"/>
          <w:color w:val="auto"/>
        </w:rPr>
        <w:t>Section 2.04(d), promptly purchase from the applicable Issuing Bank a participation in such LC Disbursement in the amount of such Lender’s Tranche A Percentage of such LC Disbursement (without giving effect to the CAM Exchange), (b)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and shall be conclusive absent manifest error.</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In order to induce the Lenders to extend credit to the Borrowing Subsidiaries hereunder, the Company hereby irrevocably and unconditionally guarantees, as a primary obligor and not merely as a surety, the payment when and as due of the Obligations of the Borrowing Subsidiaries.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54"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The Company waives presentment to, demand of payment from and protest to any Borrowing Subsidiary of any of the Obligations, and also waives notice of acceptance of its obligations and notice of protest for nonpayment. The Company further waives any rights it may have at law, including the </w:t>
      </w:r>
      <w:r>
        <w:rPr>
          <w:rFonts w:ascii="Arial" w:cs="Arial" w:eastAsia="Arial" w:hAnsi="Arial"/>
          <w:sz w:val="17"/>
          <w:szCs w:val="17"/>
          <w:i w:val="1"/>
          <w:iCs w:val="1"/>
          <w:color w:val="auto"/>
        </w:rPr>
        <w:t xml:space="preserve">droit de discussion </w:t>
      </w:r>
      <w:r>
        <w:rPr>
          <w:rFonts w:ascii="Arial" w:cs="Arial" w:eastAsia="Arial" w:hAnsi="Arial"/>
          <w:sz w:val="17"/>
          <w:szCs w:val="17"/>
          <w:color w:val="auto"/>
        </w:rPr>
        <w:t>or any other right it may otherwise have had of requiring the Lenders and the Agents to pursue the Borrowing Subsidiaries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person prior to enforcing the Guarantee or before any action is taken hereunder against it, or any other right whether known as the </w:t>
      </w:r>
      <w:r>
        <w:rPr>
          <w:rFonts w:ascii="Arial" w:cs="Arial" w:eastAsia="Arial" w:hAnsi="Arial"/>
          <w:sz w:val="17"/>
          <w:szCs w:val="17"/>
          <w:i w:val="1"/>
          <w:iCs w:val="1"/>
          <w:color w:val="auto"/>
        </w:rPr>
        <w:t>droit de division</w:t>
      </w:r>
      <w:r>
        <w:rPr>
          <w:rFonts w:ascii="Arial" w:cs="Arial" w:eastAsia="Arial" w:hAnsi="Arial"/>
          <w:sz w:val="17"/>
          <w:szCs w:val="17"/>
          <w:color w:val="auto"/>
        </w:rPr>
        <w:t xml:space="preserve"> or otherwise whereby the liability of the Company might otherwise have been reduced in any matter whatsoever or apportioned with any other guarantor or any other person. The obligations of the Company hereunder shall not be affected by (a) the failure of any Agent or Lender to assert any claim or demand or to enforce any right or remedy against any Borrowing Subsidiary under the provisions of this Agreement, any other Credit Document or otherwise, (b) any extension or renewal of any of the Obligations, (c) any rescission, waiver, amendment or modification of, or release from, any of the terms or provisions of this Agreement or any other Credit Document or agreement, (d) any default, failure or delay, wilful or otherwise, in the performance of any of the Obligations, (e) any decree or order, or any law or regulation of any jurisdiction or event affecting any term of an Obligation or (f)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 or any other circumstance that might constitute a defense of the Company or any other Borrower.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274" w:right="339" w:bottom="1440" w:gutter="0" w:footer="0" w:header="0"/>
        </w:sectPr>
      </w:pPr>
    </w:p>
    <w:bookmarkStart w:id="373" w:name="page374"/>
    <w:bookmarkEnd w:id="373"/>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any Agent or Lender to any balance of any deposit account or credit on the books of any Agent or Lender in favor of any Borrower or any other Person.</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w:t>
      </w:r>
    </w:p>
    <w:p>
      <w:pPr>
        <w:spacing w:after="0" w:line="18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Company further agrees that its obligations hereunder shall continue to be effective or be reinstated, as the case may be, if at any time payment, or any part thereof, of any Obligation is rescinded or must otherwise be restored by any Agent or Lender upon the bankruptcy or reorganization of any Borrowing Subsidiary or otherwise.</w:t>
      </w:r>
    </w:p>
    <w:p>
      <w:pPr>
        <w:spacing w:after="0" w:line="181"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In furtherance of the foregoing and not in limitation of any other right any Agent or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any Agent or Lender, forthwith pay, or cause to be paid, to the Applicable Agent or Lender in cash an amount equal to the unpaid principal amount of such Obligation then due, together with accrued and unpaid interest thereon. The Company further agrees that if payment in respect of any Obligation shall be due in a currency other than US Dollars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any Agent or Lender, not consistent with the protection of its rights or interests, then, at the election of the Administrative Agent, the Company shall make payment of such Obligation in US Dollars (based upon the applicable Exchange Rate in effect on the date of payment) and/or in</w:t>
      </w:r>
    </w:p>
    <w:p>
      <w:pPr>
        <w:spacing w:after="0" w:line="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New York, and shall indemnify each Agent, Issuing Bank and Lender against any losses or reasonable out-of-pocket expenses that it shall sustain as a result of such alternative payment.</w:t>
      </w:r>
    </w:p>
    <w:p>
      <w:pPr>
        <w:spacing w:after="0" w:line="18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Upon payment by the Company of any sums as provided above, all rights of the Company against any Borrowing Subsidiary arising as a result thereof by way of right of subrogation or otherwise shall in all respects be subordinate and junior in right of payment to the prior indefeasible payment in full of all the Obligations owed by such Borrowing Subsidiary to the Agents, the Issuing Bank and the Lenders.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374" w:name="page375"/>
    <w:bookmarkEnd w:id="37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as follows:</w:t>
      </w:r>
    </w:p>
    <w:p>
      <w:pPr>
        <w:spacing w:after="0" w:line="73" w:lineRule="exact"/>
        <w:rPr>
          <w:sz w:val="20"/>
          <w:szCs w:val="20"/>
          <w:color w:val="auto"/>
        </w:rPr>
      </w:pPr>
    </w:p>
    <w:p>
      <w:pPr>
        <w:ind w:right="120" w:firstLine="1492"/>
        <w:spacing w:after="0" w:line="277" w:lineRule="auto"/>
        <w:tabs>
          <w:tab w:leader="none" w:pos="1698"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if to the Company, to it in care of Amdocs Limited, PO Box 263, Hirzel House, Smith Street, St. Peter Port, Island of Guernsey, GY1 2NG, with a copy to Amdocs, Inc., 1390 Timberlake Manor Parkway, Chesterfield, Missouri 63017;</w:t>
      </w:r>
    </w:p>
    <w:p>
      <w:pPr>
        <w:spacing w:after="0" w:line="62" w:lineRule="exact"/>
        <w:rPr>
          <w:rFonts w:ascii="Arial" w:cs="Arial" w:eastAsia="Arial" w:hAnsi="Arial"/>
          <w:sz w:val="18"/>
          <w:szCs w:val="18"/>
          <w:color w:val="auto"/>
        </w:rPr>
      </w:pPr>
    </w:p>
    <w:p>
      <w:pPr>
        <w:ind w:left="1760" w:hanging="268"/>
        <w:spacing w:after="0"/>
        <w:tabs>
          <w:tab w:leader="none" w:pos="176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if to any Borrower (other than the Company), to it in care of the Company as provided in clause (i) above;</w:t>
      </w:r>
    </w:p>
    <w:p>
      <w:pPr>
        <w:spacing w:after="0" w:line="117" w:lineRule="exact"/>
        <w:rPr>
          <w:rFonts w:ascii="Arial" w:cs="Arial" w:eastAsia="Arial" w:hAnsi="Arial"/>
          <w:sz w:val="18"/>
          <w:szCs w:val="18"/>
          <w:color w:val="auto"/>
        </w:rPr>
      </w:pPr>
    </w:p>
    <w:p>
      <w:pPr>
        <w:ind w:right="180" w:firstLine="1492"/>
        <w:spacing w:after="0" w:line="291" w:lineRule="auto"/>
        <w:tabs>
          <w:tab w:leader="none" w:pos="1798" w:val="left"/>
        </w:tabs>
        <w:numPr>
          <w:ilvl w:val="1"/>
          <w:numId w:val="421"/>
        </w:numPr>
        <w:rPr>
          <w:rFonts w:ascii="Arial" w:cs="Arial" w:eastAsia="Arial" w:hAnsi="Arial"/>
          <w:sz w:val="16"/>
          <w:szCs w:val="16"/>
          <w:color w:val="auto"/>
        </w:rPr>
      </w:pPr>
      <w:r>
        <w:rPr>
          <w:rFonts w:ascii="Arial" w:cs="Arial" w:eastAsia="Arial" w:hAnsi="Arial"/>
          <w:sz w:val="16"/>
          <w:szCs w:val="16"/>
          <w:color w:val="auto"/>
        </w:rPr>
        <w:t>if to the Administrative Agent, JPMorgan Chase Bank, N.A., in its capacity as Issuing Bank, to JPMorgan Chase Bank, N.A., Loan and Agency Services Group, Floor 03, Ops 2, 500 Stanton Christiana Road, Newark, Delaware 19713, United States, Attention of Dan Lougheed (Fax No.</w:t>
      </w:r>
    </w:p>
    <w:p>
      <w:pPr>
        <w:ind w:right="140" w:firstLine="8"/>
        <w:spacing w:after="0" w:line="255" w:lineRule="auto"/>
        <w:tabs>
          <w:tab w:leader="none" w:pos="43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639-5215), with a copy to JPMorgan Chase Bank, N.A., 383 Madison Avenue, New York, New York 10179, Attention of Inderjeet Aneja and Leonard Ho (Fax No. (212) 270-3279). All compliance certificates sent to the Administrative Agent are to be sent to the Covenant Compliance Team at </w:t>
      </w:r>
      <w:r>
        <w:rPr>
          <w:rFonts w:ascii="Arial" w:cs="Arial" w:eastAsia="Arial" w:hAnsi="Arial"/>
          <w:sz w:val="18"/>
          <w:szCs w:val="18"/>
          <w:u w:val="single" w:color="auto"/>
          <w:color w:val="auto"/>
        </w:rPr>
        <w:t>covenant.compliance@jpmchase.com</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firstLine="1492"/>
        <w:spacing w:after="0" w:line="308" w:lineRule="auto"/>
        <w:tabs>
          <w:tab w:leader="none" w:pos="1788" w:val="left"/>
        </w:tabs>
        <w:numPr>
          <w:ilvl w:val="1"/>
          <w:numId w:val="422"/>
        </w:numPr>
        <w:rPr>
          <w:rFonts w:ascii="Arial" w:cs="Arial" w:eastAsia="Arial" w:hAnsi="Arial"/>
          <w:sz w:val="17"/>
          <w:szCs w:val="17"/>
          <w:color w:val="auto"/>
        </w:rPr>
      </w:pPr>
      <w:r>
        <w:rPr>
          <w:rFonts w:ascii="Arial" w:cs="Arial" w:eastAsia="Arial" w:hAnsi="Arial"/>
          <w:sz w:val="17"/>
          <w:szCs w:val="17"/>
          <w:color w:val="auto"/>
        </w:rPr>
        <w:t>if to the London Agent, to J. P. Morgan Europe Limited, 25 Bank Street, Canary Wharf, London E14 5JP, United Kingdom, Attention of Christos Daskagiannis (Fax No. 44-(0)207-777-2360), with a copy to the Administrative Agent as provided under clause (iii) above;</w:t>
      </w:r>
    </w:p>
    <w:p>
      <w:pPr>
        <w:spacing w:after="0" w:line="38" w:lineRule="exact"/>
        <w:rPr>
          <w:rFonts w:ascii="Arial" w:cs="Arial" w:eastAsia="Arial" w:hAnsi="Arial"/>
          <w:sz w:val="17"/>
          <w:szCs w:val="17"/>
          <w:color w:val="auto"/>
        </w:rPr>
      </w:pPr>
    </w:p>
    <w:p>
      <w:pPr>
        <w:ind w:right="180" w:firstLine="1492"/>
        <w:spacing w:after="0" w:line="342" w:lineRule="auto"/>
        <w:tabs>
          <w:tab w:leader="none" w:pos="1738" w:val="left"/>
        </w:tabs>
        <w:numPr>
          <w:ilvl w:val="1"/>
          <w:numId w:val="422"/>
        </w:numPr>
        <w:rPr>
          <w:rFonts w:ascii="Arial" w:cs="Arial" w:eastAsia="Arial" w:hAnsi="Arial"/>
          <w:sz w:val="16"/>
          <w:szCs w:val="16"/>
          <w:color w:val="auto"/>
        </w:rPr>
      </w:pPr>
      <w:r>
        <w:rPr>
          <w:rFonts w:ascii="Arial" w:cs="Arial" w:eastAsia="Arial" w:hAnsi="Arial"/>
          <w:sz w:val="16"/>
          <w:szCs w:val="16"/>
          <w:color w:val="auto"/>
        </w:rPr>
        <w:t>if to the Canadian Agent, to JPMorgan Chase Bank, N.A., Toronto Branch, 500 Stanton Christiana Road, Newark, Delaware 19713, United States, Attention of Dan Lougheed (Fax No. (201) 639-5215), with a copy to the Administrative Agent as provided under clause (iii) above; and</w:t>
      </w:r>
    </w:p>
    <w:p>
      <w:pPr>
        <w:spacing w:after="0" w:line="15" w:lineRule="exact"/>
        <w:rPr>
          <w:rFonts w:ascii="Arial" w:cs="Arial" w:eastAsia="Arial" w:hAnsi="Arial"/>
          <w:sz w:val="16"/>
          <w:szCs w:val="16"/>
          <w:color w:val="auto"/>
        </w:rPr>
      </w:pPr>
    </w:p>
    <w:p>
      <w:pPr>
        <w:ind w:left="1800" w:hanging="308"/>
        <w:spacing w:after="0"/>
        <w:tabs>
          <w:tab w:leader="none" w:pos="180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if to any other Issuing Bank or Lender, to it at its address (or fax number) set forth in its Administrative Questionnaire.</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and notices delivered through electronic communications to the extent provided in paragraph (b) of this Section shall be effective as provided in such paragraph.</w:t>
      </w:r>
    </w:p>
    <w:p>
      <w:pPr>
        <w:spacing w:after="0" w:line="79" w:lineRule="exact"/>
        <w:rPr>
          <w:sz w:val="20"/>
          <w:szCs w:val="20"/>
          <w:color w:val="auto"/>
        </w:rPr>
      </w:pPr>
    </w:p>
    <w:p>
      <w:pPr>
        <w:ind w:right="120" w:firstLine="921"/>
        <w:spacing w:after="0" w:line="264" w:lineRule="auto"/>
        <w:tabs>
          <w:tab w:leader="none" w:pos="1168"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Issuing Banks hereunder may be delivered or furnished by electronic communications (including email and Internet and intranet websites) pursuant to procedures approved by the Agents;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pursuant to Article II unless otherwise agreed by the Applicable Agent and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375" w:name="page376"/>
    <w:bookmarkEnd w:id="375"/>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Lender. Any Agent or Borrower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 or rescinded by any such Person by notice to each other such Person.</w:t>
      </w:r>
    </w:p>
    <w:p>
      <w:pPr>
        <w:spacing w:after="0" w:line="73" w:lineRule="exact"/>
        <w:rPr>
          <w:sz w:val="20"/>
          <w:szCs w:val="20"/>
          <w:color w:val="auto"/>
        </w:rPr>
      </w:pPr>
    </w:p>
    <w:p>
      <w:pPr>
        <w:ind w:left="1160" w:hanging="239"/>
        <w:spacing w:after="0"/>
        <w:tabs>
          <w:tab w:leader="none" w:pos="116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Any party hereto may change its address or fax number for notices and other communications hereunder by notice to the other parties hereto.</w:t>
      </w:r>
    </w:p>
    <w:p>
      <w:pPr>
        <w:spacing w:after="0" w:line="140" w:lineRule="exact"/>
        <w:rPr>
          <w:rFonts w:ascii="Arial" w:cs="Arial" w:eastAsia="Arial" w:hAnsi="Arial"/>
          <w:sz w:val="16"/>
          <w:szCs w:val="16"/>
          <w:color w:val="auto"/>
        </w:rPr>
      </w:pPr>
    </w:p>
    <w:p>
      <w:pPr>
        <w:ind w:right="120" w:firstLine="921"/>
        <w:spacing w:after="0" w:line="273" w:lineRule="auto"/>
        <w:tabs>
          <w:tab w:leader="none" w:pos="1168"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The Company agrees that the Agents may, but shall not be obligated to, make any Communication by posting such Communication on Debt Domain, Intralinks, Syndtrak or a similar electronic transmission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The Platform is provided “as is” and “as available”. Neither any Agent nor any of its Related Parties warrants, or shall be deemed to warrant, the adequacy of the Platform and each expressly disclaims liability for errors or omissions in the Communications. No warranty of any kind, express, implied or statutory, including any warranty of merchantability, fitness for a particular purpose, non-infringement of third-party rights or freedom from viruses or other code defects, is made, or shall be deemed to be made, by the Agents or any of their Related Parties in connection with the Communications or the Platform.</w:t>
      </w:r>
    </w:p>
    <w:p>
      <w:pPr>
        <w:spacing w:after="0" w:line="17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xml:space="preserve"> (a) No failure or delay by any Agent, any Issuing Bank or any Lender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Credit Documents are cumulative and are not exclusive of any rights or remedies that they would otherwise have. No waiver of any provision of any Credit Document or consent to any departure by any Credit Party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the making of a Loan, acceptance and purchase of a BA or issuance of a Letter of Credit shall not be construed as a waiver of any Default, regardless of whether any Agent, any Lender or any Issuing Bank may have had notice or knowledge of such Default at the time.</w:t>
      </w:r>
    </w:p>
    <w:p>
      <w:pPr>
        <w:spacing w:after="0" w:line="59" w:lineRule="exact"/>
        <w:rPr>
          <w:sz w:val="20"/>
          <w:szCs w:val="20"/>
          <w:color w:val="auto"/>
        </w:rPr>
      </w:pPr>
    </w:p>
    <w:p>
      <w:pPr>
        <w:ind w:firstLine="921"/>
        <w:spacing w:after="0" w:line="271" w:lineRule="auto"/>
        <w:tabs>
          <w:tab w:leader="none" w:pos="1168" w:val="left"/>
        </w:tabs>
        <w:numPr>
          <w:ilvl w:val="0"/>
          <w:numId w:val="425"/>
        </w:numPr>
        <w:rPr>
          <w:rFonts w:ascii="Arial" w:cs="Arial" w:eastAsia="Arial" w:hAnsi="Arial"/>
          <w:sz w:val="17"/>
          <w:szCs w:val="17"/>
          <w:color w:val="auto"/>
        </w:rPr>
      </w:pPr>
      <w:r>
        <w:rPr>
          <w:rFonts w:ascii="Arial" w:cs="Arial" w:eastAsia="Arial" w:hAnsi="Arial"/>
          <w:sz w:val="17"/>
          <w:szCs w:val="17"/>
          <w:color w:val="auto"/>
        </w:rPr>
        <w:t xml:space="preserve">Subject to Section 2.13, none of this Agreement, any Credit Document or any provision hereof or thereof may be waived, amended or modified except, in the case of this Agreement, pursuant to an agreement or agreements in writing entered into by the Company and the Required Lenders or, in the case of any other Credit Document, pursuant to an agreement or agreements in writing entered into by the Administrative Agent and the Credit Party or Credit Parties that are parties thereto, in each case with the consent of the Required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provision of this Agreement or any other Credit Document may be amended by an agreement in writing entered into by the Company and the Administrative Agent to cure any ambiguity, omission, defect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3" w:right="259" w:bottom="1440" w:gutter="0" w:footer="0" w:header="0"/>
        </w:sectPr>
      </w:pPr>
    </w:p>
    <w:bookmarkStart w:id="376" w:name="page377"/>
    <w:bookmarkEnd w:id="37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Lenders object to such amendment and (ii) no such agreement shall (A) increase any Commitment of any Lender without the written consent of such Lender, (B) reduce the principal amount of any Loan, payment obligation in respect of a BA or LC Disbursement or reduce the rate of interest thereon, or reduce any fees payable hereunder, without the written consent of each Lender affected thereby, (C) postpone the maturity of any Loan or BA, or the required date of reimbursement of any LC Disbursement, or any date for the payment of any principal, interest or fees payable hereunder, or reduce the amount of, waive or excuse any such payment, or postpone the scheduled date of expiration of any Commitment, without the written consent of each Lender affected thereby, (D) change the currencies in which such Lender is required to lend, without the written consent of each Lender affected thereby, (E) change Section 2.17(b) or (c) in a manner that would alter the pro rata sharing of payments required thereby, without the written consent of each Lender, (F) change any of the provisions of this Section or the percentage set forth in the definition of “Required Lenders” or any other provision of any Credit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(G) release the Company from its Guarantee under Article X or limit the liability of the Company in respect of such Guarantee, without the written consent of each Lender or</w:t>
      </w:r>
    </w:p>
    <w:p>
      <w:pPr>
        <w:spacing w:after="0" w:line="5" w:lineRule="exact"/>
        <w:rPr>
          <w:sz w:val="20"/>
          <w:szCs w:val="20"/>
          <w:color w:val="auto"/>
        </w:rPr>
      </w:pPr>
    </w:p>
    <w:p>
      <w:pPr>
        <w:ind w:right="180" w:firstLine="8"/>
        <w:spacing w:after="0" w:line="281" w:lineRule="auto"/>
        <w:tabs>
          <w:tab w:leader="none" w:pos="295" w:val="left"/>
        </w:tabs>
        <w:numPr>
          <w:ilvl w:val="0"/>
          <w:numId w:val="426"/>
        </w:numPr>
        <w:rPr>
          <w:rFonts w:ascii="Arial" w:cs="Arial" w:eastAsia="Arial" w:hAnsi="Arial"/>
          <w:sz w:val="16"/>
          <w:szCs w:val="16"/>
          <w:color w:val="auto"/>
        </w:rPr>
      </w:pPr>
      <w:r>
        <w:rPr>
          <w:rFonts w:ascii="Arial" w:cs="Arial" w:eastAsia="Arial" w:hAnsi="Arial"/>
          <w:sz w:val="16"/>
          <w:szCs w:val="16"/>
          <w:color w:val="auto"/>
        </w:rPr>
        <w:t xml:space="preserve">change any provision of any Credit Document in a manner that by its terms adversely affects the rights in respect of payments or prepayments due to Lenders with Commitments or Obligations of any Class differently than those with Commitments or Obligations of any other Class, without the written consent of Lenders holding a majority in interest of the Commitments and outstanding Loans and BAs of the adversely affected Class;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(i) no such agreement shall amend, modify or otherwise affect the rights or duties of any Agent or Issuing Bank without the prior written consent of such Agent or Issuing Bank, as the case may be, and (ii) any waiver, amendment or modification of this Agreement that by its terms affects the rights or duties under this Agreement of one Tranche (but not of all Tranches) may be effected by an agreement or agreements in writing entered into by the Company and requisite percentage in interest of the affected Lenders under the applicable Tranche. Notwithstanding the foregoing, any provision of this Agreement may be amended by an agreement in writing entered into by the Company, the Required Lenders and the Administrative Agent (and, if their rights or obligations are affected thereby, the other Agents and the Issuing Banks) if (i) by the terms of such agreement the Commitments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and BA accepted by it and all other amounts owing to it or accrued for its account under this Agreement. For the avoidance of doubt, increases in the Commitments pursuant to Section 2.08(d), extensions of the Maturity Date pursuant to Section 2.08(e) and terminations of the status of Subsidiaries as Borrowing Subsidiaries pursuant to Section 2.21 may be effected in accordance with the requirements of, and subject to the conditions set forth in, such respective Sections and shall not be deemed to constitute amendments subject to the provisions of this paragraph. Notwithstanding the foregoing, no consent with respect to any amendment, waiver or other modification of this Agreement or any other Credit Document shall be required of any Defaulting Lender, except with respect to any amendment, waiver or other modification referred to in clauses (A), (B) or (C) of clause (ii) of the first proviso of this paragraph and then only in the event such Defaulting Lender shall be affected by such amendment, waiver or other modification.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74" w:right="259" w:bottom="1440" w:gutter="0" w:footer="0" w:header="0"/>
        </w:sectPr>
      </w:pPr>
    </w:p>
    <w:bookmarkStart w:id="377" w:name="page378"/>
    <w:bookmarkEnd w:id="377"/>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11.03. </w:t>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 xml:space="preserve"> (a) The Company shall pay (i) all reasonable out-of-pocket expenses incurred by the Agents, the Arrangers and their Affiliates, including the reasonable fees, charges and disbursements of counsel for the Agents, the Arrangers and their Affiliates, in connection with the structuring, arrangement and syndication of the credit facilities provided for herein, the preparation and administration of the Credit Documents or any amendments, modifications or waivers of the provisions thereof (whether or not the transactions contemplated hereby or thereby shall be consummated), (ii) all reasonable out-of-pocket expenses incurred by the Issuing Banks in connection with the issuance, amendment, renewal or extension of any Letter of Credit or any demand for payment thereunder and (iii) all out-of-pocket expenses incurred by any Agent, Arranger, Issuing Bank or Lender, including the fees, charges and disbursements of counsel for such Agent, Arranger, Issuing Bank or Lender, in connection with the enforcement or protection of its rights in connection with the Credit Documents, including its rights under this Section, or in connection with the Loans made, the BAs accepted and purchased or the Letters of Credit issued hereunder, including all such out-of-pocket expenses incurred during any workout, restructuring or negotiations in respect of such Loans, BAs or Letters of Credit.</w:t>
      </w:r>
    </w:p>
    <w:p>
      <w:pPr>
        <w:spacing w:after="0" w:line="70" w:lineRule="exact"/>
        <w:rPr>
          <w:sz w:val="20"/>
          <w:szCs w:val="20"/>
          <w:color w:val="auto"/>
        </w:rPr>
      </w:pPr>
    </w:p>
    <w:p>
      <w:pPr>
        <w:ind w:firstLine="921"/>
        <w:spacing w:after="0" w:line="285" w:lineRule="auto"/>
        <w:tabs>
          <w:tab w:leader="none" w:pos="1168"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Company and the other Borrowers shall indemnify each Agent, Arranger, Issuing Bank and Lender, and each Related Party of any of the foregoing Persons (each such Person being called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against, and hold each Indemnitee harmless from, any and all losses, claims, damages, penalties, liabilities and related expenses, including the reasonable fees, charges and disbursements of any outside counsel for any Indemnitee, incurred by or asserted against any Indemnitee arising out of, in connection with, or as a result of (i) the structuring, arrangement and syndication of the credit facilities provided for herein, (ii) the preparation, execution or delivery of any Credit Document or any other agreement or instrument contemplated hereby, the performance by the parties to the Credit Documents of their respective obligations thereunder or the consummation of the Transactions or any other transactions contemplated hereby, (iii) any Loan, BA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Environmental Liability related in any way to the Company or any of the Subsidiaries or (v) any actual or prospective claim, litigation, investigation or proceeding relating to any of the foregoing, whether based on contract, tort or any other theory and regardless of whether initiated by any Indemnitee or a third party or whether any Indemnitee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wilful misconduct of such Indemnitee or from the breach by such Indemnitee of its agreements under the Credit Documents (other than unintentional breaches that are immaterial or that are corrected promptly after they come to the attention of such Indemnitee). Notwithstanding the foregoing, the indemnification obligations of each Borrowing Subsidiary (but not of the Company) under this paragraph (b) will be limited to losses, claims, damages, penalties, liabilities and related expenses directly related to such Borrowing Subsidiary (including the execution, delivery and performance of this Agreement by such Borrowing Subsidiary, the Loans made and Letters of Credit issued for the account of such Borrowing Subsidiary, the use by such Borrowing Subsidiary of the proceeds of such Loans and such Letters of Credit and the other Transactions insofar as they relate to such Borrowing Subsidiary).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3" w:right="239" w:bottom="1440" w:gutter="0" w:footer="0" w:header="0"/>
        </w:sectPr>
      </w:pPr>
    </w:p>
    <w:bookmarkStart w:id="378" w:name="page379"/>
    <w:bookmarkEnd w:id="378"/>
    <w:p>
      <w:pPr>
        <w:ind w:firstLine="921"/>
        <w:spacing w:after="0" w:line="271" w:lineRule="auto"/>
        <w:tabs>
          <w:tab w:leader="none" w:pos="1158" w:val="left"/>
        </w:tabs>
        <w:numPr>
          <w:ilvl w:val="0"/>
          <w:numId w:val="4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that the Company or any other Borrower fails to pay any amount required to be paid by it to any Agent (or any sub-agent thereof), Issuing Bank or any Related Party of any of the foregoing (without limiting their obligation to do so), under paragraph (a) or (b) of this Section, each Lender severally agrees to pay to such Agent (or any such sub-agent), such Issuing Bank or such Related Party, as the case may be, such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such Agent (or any such sub-agent) or any Issuing Bank in its capacity as such, or against any Related Party of any of the foregoing acting for any Agent (or any such sub-agent) or any Issuing Bank in connection with such capacity. For purposes hereof, a Lender’s “</w:t>
      </w:r>
      <w:r>
        <w:rPr>
          <w:rFonts w:ascii="Arial" w:cs="Arial" w:eastAsia="Arial" w:hAnsi="Arial"/>
          <w:sz w:val="17"/>
          <w:szCs w:val="17"/>
          <w:i w:val="1"/>
          <w:iCs w:val="1"/>
          <w:color w:val="auto"/>
        </w:rPr>
        <w:t>pro rata share</w:t>
      </w:r>
      <w:r>
        <w:rPr>
          <w:rFonts w:ascii="Arial" w:cs="Arial" w:eastAsia="Arial" w:hAnsi="Arial"/>
          <w:sz w:val="17"/>
          <w:szCs w:val="17"/>
          <w:color w:val="auto"/>
        </w:rPr>
        <w:t>” shall be determined based upon its share of the sum of the aggregate Revolving Credit Exposures and unused Commitments at the time.</w:t>
      </w:r>
    </w:p>
    <w:p>
      <w:pPr>
        <w:spacing w:after="0" w:line="70" w:lineRule="exact"/>
        <w:rPr>
          <w:rFonts w:ascii="Arial" w:cs="Arial" w:eastAsia="Arial" w:hAnsi="Arial"/>
          <w:sz w:val="17"/>
          <w:szCs w:val="17"/>
          <w:color w:val="auto"/>
        </w:rPr>
      </w:pPr>
    </w:p>
    <w:p>
      <w:pPr>
        <w:ind w:right="100" w:firstLine="921"/>
        <w:spacing w:after="0" w:line="312" w:lineRule="auto"/>
        <w:tabs>
          <w:tab w:leader="none" w:pos="1168"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Borrowers shall not assert, and hereby waive, any claim against any Indemnitee,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any Loan, BA or Letter of Credit or the use of the proceeds thereof.</w:t>
      </w:r>
    </w:p>
    <w:p>
      <w:pPr>
        <w:spacing w:after="0" w:line="38" w:lineRule="exact"/>
        <w:rPr>
          <w:rFonts w:ascii="Arial" w:cs="Arial" w:eastAsia="Arial" w:hAnsi="Arial"/>
          <w:sz w:val="16"/>
          <w:szCs w:val="16"/>
          <w:color w:val="auto"/>
        </w:rPr>
      </w:pPr>
    </w:p>
    <w:p>
      <w:pPr>
        <w:ind w:left="1160" w:hanging="239"/>
        <w:spacing w:after="0"/>
        <w:tabs>
          <w:tab w:leader="none" w:pos="11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5"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the Borrowers may not assign or otherwise transfer any of their rights or obligations hereunder without the prior written consent of each Lender and Issuing Bank (and any attempted assignment or transfer by any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and, to the extent expressly contemplated hereby, the Related Parties of each of the Agents, the Issuing Banks and the Lenders) any legal or equitable right, remedy or claim under or by reason of this Agreement.</w:t>
      </w:r>
    </w:p>
    <w:p>
      <w:pPr>
        <w:spacing w:after="0" w:line="59" w:lineRule="exact"/>
        <w:rPr>
          <w:sz w:val="20"/>
          <w:szCs w:val="20"/>
          <w:color w:val="auto"/>
        </w:rPr>
      </w:pPr>
    </w:p>
    <w:p>
      <w:pPr>
        <w:jc w:val="both"/>
        <w:ind w:right="120" w:firstLine="921"/>
        <w:spacing w:after="0" w:line="264" w:lineRule="auto"/>
        <w:tabs>
          <w:tab w:leader="none" w:pos="116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Eligible Assignees all or a portion of its rights and obligations under this Agreement (including all or a portion of its Commitment under any Tranche and the Loans and other amounts at the time owing to it under such Tranche) with the prior written consent (such consent not to be unreasonably withheld) of:</w:t>
      </w:r>
    </w:p>
    <w:p>
      <w:pPr>
        <w:spacing w:after="0" w:line="73" w:lineRule="exact"/>
        <w:rPr>
          <w:sz w:val="20"/>
          <w:szCs w:val="20"/>
          <w:color w:val="auto"/>
        </w:rPr>
      </w:pPr>
    </w:p>
    <w:p>
      <w:pPr>
        <w:ind w:left="460" w:right="180" w:firstLine="443"/>
        <w:spacing w:after="0" w:line="257" w:lineRule="auto"/>
        <w:tabs>
          <w:tab w:leader="none" w:pos="119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Company shall be required for an assignment to a Lender, an Affiliate of a Lender or an Approved Fund (except to the extent such assignment to an Affiliate or Approved Fund will result in an increase in the payments required to be made by any Borrower under Section 2.12(h), 2.14, 2.16 or 2.20) or, if an Event of Default has occurred and is continuing, any other assignee;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the Company shall be deemed to have consented to any such assignment unless it shall object thereto by written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within five Business Days after having received notice thereof;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379" w:name="page380"/>
    <w:bookmarkEnd w:id="379"/>
    <w:p>
      <w:pPr>
        <w:ind w:right="140" w:firstLine="443"/>
        <w:spacing w:after="0" w:line="277" w:lineRule="auto"/>
        <w:tabs>
          <w:tab w:leader="none" w:pos="723" w:val="left"/>
        </w:tabs>
        <w:numPr>
          <w:ilvl w:val="0"/>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Administrative Agent shall be required for an assignment to a Lender, an Affiliate of a Lender or an Approved Fund; and</w:t>
      </w:r>
    </w:p>
    <w:p>
      <w:pPr>
        <w:spacing w:after="0" w:line="62" w:lineRule="exact"/>
        <w:rPr>
          <w:rFonts w:ascii="Arial" w:cs="Arial" w:eastAsia="Arial" w:hAnsi="Arial"/>
          <w:sz w:val="18"/>
          <w:szCs w:val="18"/>
          <w:color w:val="auto"/>
        </w:rPr>
      </w:pPr>
    </w:p>
    <w:p>
      <w:pPr>
        <w:ind w:right="80" w:firstLine="443"/>
        <w:spacing w:after="0" w:line="277" w:lineRule="auto"/>
        <w:tabs>
          <w:tab w:leader="none" w:pos="72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each Issuing Bank, in the case of an assignment of a Tranche A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any Issuing Bank shall be required for an assignment to a Lender, an Affiliate of a Lender or an Approved Fund.</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sz w:val="20"/>
          <w:szCs w:val="20"/>
          <w:color w:val="auto"/>
        </w:rPr>
      </w:pPr>
    </w:p>
    <w:p>
      <w:pPr>
        <w:ind w:right="160" w:firstLine="443"/>
        <w:spacing w:after="0" w:line="257" w:lineRule="auto"/>
        <w:tabs>
          <w:tab w:leader="none" w:pos="73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assignment of the entire remaining amount of any Commitment of the assigning Lender, the amount of each Commitment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of the Company shall be required if an Event of Default has occurred and is continuing;</w:t>
      </w:r>
    </w:p>
    <w:p>
      <w:pPr>
        <w:spacing w:after="0" w:line="80" w:lineRule="exact"/>
        <w:rPr>
          <w:rFonts w:ascii="Arial" w:cs="Arial" w:eastAsia="Arial" w:hAnsi="Arial"/>
          <w:sz w:val="18"/>
          <w:szCs w:val="18"/>
          <w:color w:val="auto"/>
        </w:rPr>
      </w:pPr>
    </w:p>
    <w:p>
      <w:pPr>
        <w:ind w:right="100" w:firstLine="443"/>
        <w:spacing w:after="0" w:line="277" w:lineRule="auto"/>
        <w:tabs>
          <w:tab w:leader="none" w:pos="72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each partial assignment of a Commitment and extensions of credit under a Tranche shall be made as an assignment of a proportionate part of all the assigning Lender’s rights and obligations under such Tranche;</w:t>
      </w:r>
    </w:p>
    <w:p>
      <w:pPr>
        <w:spacing w:after="0" w:line="62" w:lineRule="exact"/>
        <w:rPr>
          <w:rFonts w:ascii="Arial" w:cs="Arial" w:eastAsia="Arial" w:hAnsi="Arial"/>
          <w:sz w:val="18"/>
          <w:szCs w:val="18"/>
          <w:color w:val="auto"/>
        </w:rPr>
      </w:pPr>
    </w:p>
    <w:p>
      <w:pPr>
        <w:ind w:right="680" w:firstLine="443"/>
        <w:spacing w:after="0" w:line="277" w:lineRule="auto"/>
        <w:tabs>
          <w:tab w:leader="none" w:pos="72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62" w:lineRule="exact"/>
        <w:rPr>
          <w:rFonts w:ascii="Arial" w:cs="Arial" w:eastAsia="Arial" w:hAnsi="Arial"/>
          <w:sz w:val="18"/>
          <w:szCs w:val="18"/>
          <w:color w:val="auto"/>
        </w:rPr>
      </w:pPr>
    </w:p>
    <w:p>
      <w:pPr>
        <w:ind w:right="300" w:firstLine="443"/>
        <w:spacing w:after="0" w:line="279" w:lineRule="auto"/>
        <w:tabs>
          <w:tab w:leader="none" w:pos="733" w:val="left"/>
        </w:tabs>
        <w:numPr>
          <w:ilvl w:val="0"/>
          <w:numId w:val="432"/>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their securities) will be made available and who may receive such information in accordance with the assignee’s compliance procedures and applicable laws, including Federal, State and foreign securities laws;</w:t>
      </w:r>
    </w:p>
    <w:p>
      <w:pPr>
        <w:spacing w:after="0" w:line="63" w:lineRule="exact"/>
        <w:rPr>
          <w:rFonts w:ascii="Arial" w:cs="Arial" w:eastAsia="Arial" w:hAnsi="Arial"/>
          <w:sz w:val="17"/>
          <w:szCs w:val="17"/>
          <w:color w:val="auto"/>
        </w:rPr>
      </w:pPr>
    </w:p>
    <w:p>
      <w:pPr>
        <w:ind w:firstLine="443"/>
        <w:spacing w:after="0" w:line="257" w:lineRule="auto"/>
        <w:tabs>
          <w:tab w:leader="none" w:pos="71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assignee shall be able to receive payments of interest from the Borrowers under the Tranche or Tranches in which it will participate free of withholding taxes referred to in clause (b) or (c), as applicable, of the definition of “Excluded Taxes” (other than any such withholding taxes resulting from a Change in Law after the Closing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2.16(e);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60"/>
          </w:cols>
          <w:pgMar w:left="700" w:top="274" w:right="239" w:bottom="1440" w:gutter="0" w:footer="0" w:header="0"/>
        </w:sectPr>
      </w:pPr>
    </w:p>
    <w:bookmarkStart w:id="380" w:name="page381"/>
    <w:bookmarkEnd w:id="380"/>
    <w:p>
      <w:pPr>
        <w:ind w:left="460" w:right="20" w:firstLine="443"/>
        <w:spacing w:after="0" w:line="284" w:lineRule="auto"/>
        <w:tabs>
          <w:tab w:leader="none" w:pos="1163" w:val="left"/>
        </w:tabs>
        <w:numPr>
          <w:ilvl w:val="1"/>
          <w:numId w:val="4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this Section 11.04, and provided that no Event of Default under clauses (a), (b), (h), (i) or (j) of Article VII has occurred and is continuing, any assignment (or other transfer of rights or obligations) to a person that has not represented that it is a Qualifying Bank of any Tranche A Commitment or Tranche B Commitment or of any Loan to any Swiss Subsidiary Borrower shall be subject to the prior written consent of the Company (such consent not to be unreasonably withheld, but it being understood that such consent will be deemed reasonably withheld if such assignment would, in the Company’s judgment, (x) result in a breach of the Swiss Ten Non-Bank Rule, or (y) result in there being more than five Lenders that are Non-Qualifying Banks for purposes of the Swiss Twenty Non-Bank Rule, and such consent, in the case of the foregoing clause</w:t>
      </w:r>
    </w:p>
    <w:p>
      <w:pPr>
        <w:spacing w:after="0" w:line="4" w:lineRule="exact"/>
        <w:rPr>
          <w:rFonts w:ascii="Arial" w:cs="Arial" w:eastAsia="Arial" w:hAnsi="Arial"/>
          <w:sz w:val="16"/>
          <w:szCs w:val="16"/>
          <w:color w:val="auto"/>
        </w:rPr>
      </w:pPr>
    </w:p>
    <w:p>
      <w:pPr>
        <w:ind w:left="460" w:right="60" w:firstLine="4"/>
        <w:spacing w:after="0" w:line="261" w:lineRule="auto"/>
        <w:tabs>
          <w:tab w:leader="none" w:pos="71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or (y), if permitted to be withheld pursuant to the foregoing provisions, shall not to be deemed given by the passage of time and the failure to object under Section 11.04(b)(i)(A));</w:t>
      </w:r>
    </w:p>
    <w:p>
      <w:pPr>
        <w:spacing w:after="0" w:line="75" w:lineRule="exact"/>
        <w:rPr>
          <w:rFonts w:ascii="Arial" w:cs="Arial" w:eastAsia="Arial" w:hAnsi="Arial"/>
          <w:sz w:val="18"/>
          <w:szCs w:val="18"/>
          <w:color w:val="auto"/>
        </w:rPr>
      </w:pPr>
    </w:p>
    <w:p>
      <w:pPr>
        <w:ind w:left="460" w:right="100" w:firstLine="443"/>
        <w:spacing w:after="0" w:line="277" w:lineRule="auto"/>
        <w:tabs>
          <w:tab w:leader="none" w:pos="119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assignee shall be capable of lending in the applicable currencies and to the applicable Borrowers under the Tranche or Tranches in which it will participate;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no Credit Party or Affiliate of a Credit Party may be an assignee.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Section, the term “Approved Fund” has the following meaning:</w:t>
      </w:r>
    </w:p>
    <w:p>
      <w:pPr>
        <w:spacing w:after="0" w:line="117"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73" w:lineRule="exact"/>
        <w:rPr>
          <w:sz w:val="20"/>
          <w:szCs w:val="20"/>
          <w:color w:val="auto"/>
        </w:rPr>
      </w:pPr>
    </w:p>
    <w:p>
      <w:pPr>
        <w:ind w:right="40" w:firstLine="921"/>
        <w:spacing w:after="0" w:line="254" w:lineRule="auto"/>
        <w:tabs>
          <w:tab w:leader="none" w:pos="115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2.20 and 11.03).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(f) of this Section.</w:t>
      </w:r>
    </w:p>
    <w:p>
      <w:pPr>
        <w:spacing w:after="0" w:line="84" w:lineRule="exact"/>
        <w:rPr>
          <w:rFonts w:ascii="Arial" w:cs="Arial" w:eastAsia="Arial" w:hAnsi="Arial"/>
          <w:sz w:val="18"/>
          <w:szCs w:val="18"/>
          <w:color w:val="auto"/>
        </w:rPr>
      </w:pPr>
    </w:p>
    <w:p>
      <w:pPr>
        <w:ind w:firstLine="921"/>
        <w:spacing w:after="0" w:line="272" w:lineRule="auto"/>
        <w:tabs>
          <w:tab w:leader="none" w:pos="1168"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 non-fiduciary agent of the Borrowers, shall maintain at one of its offices in The City of New York a copy of each Assignment and Assumption delivered to it and a register for the recordation of the names and addresses of the Lenders, and the Commitments of, and principal amounts owing to, each Lender pursuant to the terms hereof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and, as to entries pertaining to it, any Issuing Bank or Lender at any reasonable time and from time to time upon reasonable prior notice.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3" w:right="239" w:bottom="1440" w:gutter="0" w:footer="0" w:header="0"/>
        </w:sectPr>
      </w:pPr>
    </w:p>
    <w:bookmarkStart w:id="381" w:name="page382"/>
    <w:bookmarkEnd w:id="381"/>
    <w:p>
      <w:pPr>
        <w:ind w:left="-8" w:right="20" w:firstLine="921"/>
        <w:spacing w:after="0" w:line="290" w:lineRule="auto"/>
        <w:tabs>
          <w:tab w:leader="none" w:pos="1150" w:val="left"/>
        </w:tabs>
        <w:numPr>
          <w:ilvl w:val="1"/>
          <w:numId w:val="4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Following the effectiveness of any assignment, the Administrative Agent shall, if so requested, cause promissory notes reflecting such assignment to be issued to the assignee and, if applicable, to the assignor, upon cancellation of any existing promissory notes originally issued to the assignor. Each assignee, by its execution and delivery of an Assignment and Assumption, shall be deemed to have represented to the assigning Lender and Administrative Agent that such assignee is an Eligible Assignee.</w:t>
      </w:r>
    </w:p>
    <w:p>
      <w:pPr>
        <w:spacing w:after="0" w:line="58" w:lineRule="exact"/>
        <w:rPr>
          <w:rFonts w:ascii="Arial" w:cs="Arial" w:eastAsia="Arial" w:hAnsi="Arial"/>
          <w:sz w:val="16"/>
          <w:szCs w:val="16"/>
          <w:color w:val="auto"/>
        </w:rPr>
      </w:pPr>
    </w:p>
    <w:p>
      <w:pPr>
        <w:ind w:left="-8" w:right="60" w:firstLine="921"/>
        <w:spacing w:after="0" w:line="286" w:lineRule="auto"/>
        <w:tabs>
          <w:tab w:leader="none" w:pos="1130" w:val="left"/>
        </w:tabs>
        <w:numPr>
          <w:ilvl w:val="1"/>
          <w:numId w:val="436"/>
        </w:numPr>
        <w:rPr>
          <w:rFonts w:ascii="Arial" w:cs="Arial" w:eastAsia="Arial" w:hAnsi="Arial"/>
          <w:sz w:val="16"/>
          <w:szCs w:val="16"/>
          <w:color w:val="auto"/>
        </w:rPr>
      </w:pPr>
      <w:r>
        <w:rPr>
          <w:rFonts w:ascii="Arial" w:cs="Arial" w:eastAsia="Arial" w:hAnsi="Arial"/>
          <w:sz w:val="16"/>
          <w:szCs w:val="16"/>
          <w:color w:val="auto"/>
        </w:rPr>
        <w:t>Any Lender may, without the consent of the Company, the Administrative Agent, the Issuing Banks or any other Lender, sell participations to one or more banks or other entities (each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Commitments and its Loans and other extensions of credit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w:t>
      </w:r>
    </w:p>
    <w:p>
      <w:pPr>
        <w:spacing w:after="0" w:line="1" w:lineRule="exact"/>
        <w:rPr>
          <w:rFonts w:ascii="Arial" w:cs="Arial" w:eastAsia="Arial" w:hAnsi="Arial"/>
          <w:sz w:val="16"/>
          <w:szCs w:val="16"/>
          <w:color w:val="auto"/>
        </w:rPr>
      </w:pPr>
    </w:p>
    <w:p>
      <w:pPr>
        <w:ind w:left="-8" w:firstLine="8"/>
        <w:spacing w:after="0" w:line="251" w:lineRule="auto"/>
        <w:tabs>
          <w:tab w:leader="none" w:pos="30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Borrowers, the Agents,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Credit Documents and to approve any amendment, modification or waiver of any provision of the Credit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clause (ii) of the first proviso to Section 11.02(b) that affects such Participant. Subject to the other provisions of this Section, each Borrower agrees that each Participant shall be entitled to the benefits of Sections 2.14, 2.15, 2.16 and 2.20 to the same extent as if it were a Lender and had acquired its interest by assignment pursuant to paragraph (b) of this Section. To the extent permitted by law, each Participant also shall be entitled to the benefits of Section 11.08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Participant agrees to be subject to Section 2.17(c) as though it were a Lender.</w:t>
      </w:r>
    </w:p>
    <w:p>
      <w:pPr>
        <w:spacing w:after="0" w:line="90" w:lineRule="exact"/>
        <w:rPr>
          <w:rFonts w:ascii="Arial" w:cs="Arial" w:eastAsia="Arial" w:hAnsi="Arial"/>
          <w:sz w:val="18"/>
          <w:szCs w:val="18"/>
          <w:color w:val="auto"/>
        </w:rPr>
      </w:pPr>
    </w:p>
    <w:p>
      <w:pPr>
        <w:ind w:left="-8" w:right="60" w:firstLine="921"/>
        <w:spacing w:after="0" w:line="259" w:lineRule="auto"/>
        <w:tabs>
          <w:tab w:leader="none" w:pos="116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2.14, 2.16 or 2.20 than the applicable Lender would have been entitled to receive with respect to the participation sold to such Participant. A Participant shall not be entitled to the benefits of Section 2.16 unless the Company is notified of the participation sold to such Participant and such Participant agrees, for the benefit of the Borrowers, to comply with Section 2.16(e) as though it were a Lender.</w:t>
      </w:r>
    </w:p>
    <w:p>
      <w:pPr>
        <w:spacing w:after="0" w:line="78" w:lineRule="exact"/>
        <w:rPr>
          <w:rFonts w:ascii="Arial" w:cs="Arial" w:eastAsia="Arial" w:hAnsi="Arial"/>
          <w:sz w:val="18"/>
          <w:szCs w:val="18"/>
          <w:color w:val="auto"/>
        </w:rPr>
      </w:pPr>
    </w:p>
    <w:p>
      <w:pPr>
        <w:ind w:left="-8" w:right="20" w:firstLine="921"/>
        <w:spacing w:after="0" w:line="259" w:lineRule="auto"/>
        <w:tabs>
          <w:tab w:leader="none" w:pos="116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92"/>
          </w:cols>
          <w:pgMar w:left="248" w:top="274" w:right="259" w:bottom="1440" w:gutter="0" w:footer="0" w:header="0"/>
        </w:sectPr>
      </w:pPr>
    </w:p>
    <w:bookmarkStart w:id="382" w:name="page383"/>
    <w:bookmarkEnd w:id="382"/>
    <w:p>
      <w:pPr>
        <w:ind w:left="-20" w:firstLine="921"/>
        <w:spacing w:after="0" w:line="285" w:lineRule="auto"/>
        <w:tabs>
          <w:tab w:leader="none" w:pos="1108" w:val="left"/>
        </w:tabs>
        <w:numPr>
          <w:ilvl w:val="0"/>
          <w:numId w:val="4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herein, but subject to satisfaction of the conditions set forth in Section 11.04(b)(ii)(E) and (F), any Lender (a “</w:t>
      </w:r>
      <w:r>
        <w:rPr>
          <w:rFonts w:ascii="Arial" w:cs="Arial" w:eastAsia="Arial" w:hAnsi="Arial"/>
          <w:sz w:val="16"/>
          <w:szCs w:val="16"/>
          <w:i w:val="1"/>
          <w:iCs w:val="1"/>
          <w:color w:val="auto"/>
        </w:rPr>
        <w:t>Granting Bank</w:t>
      </w:r>
      <w:r>
        <w:rPr>
          <w:rFonts w:ascii="Arial" w:cs="Arial" w:eastAsia="Arial" w:hAnsi="Arial"/>
          <w:sz w:val="16"/>
          <w:szCs w:val="16"/>
          <w:color w:val="auto"/>
        </w:rPr>
        <w:t>”) may grant to a special purpose funding vehicle (an “</w:t>
      </w:r>
      <w:r>
        <w:rPr>
          <w:rFonts w:ascii="Arial" w:cs="Arial" w:eastAsia="Arial" w:hAnsi="Arial"/>
          <w:sz w:val="16"/>
          <w:szCs w:val="16"/>
          <w:i w:val="1"/>
          <w:iCs w:val="1"/>
          <w:color w:val="auto"/>
        </w:rPr>
        <w:t>SPC</w:t>
      </w:r>
      <w:r>
        <w:rPr>
          <w:rFonts w:ascii="Arial" w:cs="Arial" w:eastAsia="Arial" w:hAnsi="Arial"/>
          <w:sz w:val="16"/>
          <w:szCs w:val="16"/>
          <w:color w:val="auto"/>
        </w:rPr>
        <w:t xml:space="preserve">”) of such Granting Bank, identified as such in writing from time to time by the Granting Bank to the Administrative Agent and the Company, the option to provide to any Borrower all or any part of any Loan that such Granting Bank would otherwise be obligated to make to such Borrower pursuant to Section 2.01,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to make any Loan by any SPC, (ii) if an SPC elects not to exercise such option or otherwise fails to provide all or any part of such Loan, the Granting Bank shall be obligated to make such Loan pursuant to the terms hereof, (iii) all amounts payable by any Borrower to any SPC hereunder in respect of any Loan and the applicability of the cost protection provisions contained in Section 2.14, 2.15, 2.16 and 2.20 shall be determined as if the Granting Bank had made such Loan and (iv) any notices given by the Agents, the Borrowers and the other Lenders with respect to any Loan provided by a SPC may be given to the Granting Bank and the Granting Bank shall have the authority to act on behalf of the SPC with respect to such Loans and/or notices. The making of Loans and other extensions of credit by a SPC hereunder shall be deemed to utilize the Commitments of the Granting Bank to the same extent, and as if, such Loans and other extensions of credit were made by the Granting Bank. Each party hereto hereby agrees that no SPC shall be liable for any payment under this Agreement for which a Lender would otherwise be liable, for so long as, and to the extent, the related Granting Bank makes such payment. In furtherance of the foregoing, each party hereto hereby agrees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addition, notwithstanding anything to the contrary contained in this Section, any SPC may assign all or a portion of its interests in any Loans and other extensions of credit to its Granting Bank or to any financial institutions providing liquidity and/or credit facilities to or for the account of such SPC to fund the Loans and other extensions of credit made by such SPC or to support the securities (if any) issued by such SPC to fund such Loans and other extensions of credit.</w:t>
      </w:r>
    </w:p>
    <w:p>
      <w:pPr>
        <w:spacing w:after="0" w:line="64" w:lineRule="exact"/>
        <w:rPr>
          <w:rFonts w:ascii="Arial" w:cs="Arial" w:eastAsia="Arial" w:hAnsi="Arial"/>
          <w:sz w:val="16"/>
          <w:szCs w:val="16"/>
          <w:color w:val="auto"/>
        </w:rPr>
      </w:pPr>
    </w:p>
    <w:p>
      <w:pPr>
        <w:ind w:left="-20" w:right="140" w:firstLine="921"/>
        <w:spacing w:after="0" w:line="257" w:lineRule="auto"/>
        <w:tabs>
          <w:tab w:leader="none" w:pos="110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For the avoidance of doubt, and with respect to any Swiss Borrowing Subsidiary, no Lender, participant or subparticipant shall enter into any agreement with another person under which payments are made by reference to this Agreement or to any hereto related transfer, assignment, participation, subparticipation or similar agreement if such agreement would be treated as a debt instrument that can be subject to Swiss Withholding Tax according to the Swiss Withholding Tax Rules, but nothing in this Section 11.04(j) restricts any Lender, participant or subparticipant from entering into any agreement that would not be so treated.</w:t>
      </w:r>
    </w:p>
    <w:p>
      <w:pPr>
        <w:spacing w:after="0" w:line="80" w:lineRule="exact"/>
        <w:rPr>
          <w:rFonts w:ascii="Arial" w:cs="Arial" w:eastAsia="Arial" w:hAnsi="Arial"/>
          <w:sz w:val="18"/>
          <w:szCs w:val="18"/>
          <w:color w:val="auto"/>
        </w:rPr>
      </w:pPr>
    </w:p>
    <w:p>
      <w:pPr>
        <w:jc w:val="both"/>
        <w:ind w:left="-20" w:right="360" w:firstLine="921"/>
        <w:spacing w:after="0" w:line="264" w:lineRule="auto"/>
        <w:tabs>
          <w:tab w:leader="none" w:pos="114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hereunder or under any other Credit Document (the “</w:t>
      </w:r>
      <w:r>
        <w:rPr>
          <w:rFonts w:ascii="Arial" w:cs="Arial" w:eastAsia="Arial" w:hAnsi="Arial"/>
          <w:sz w:val="18"/>
          <w:szCs w:val="18"/>
          <w:i w:val="1"/>
          <w:iCs w:val="1"/>
          <w:color w:val="auto"/>
        </w:rPr>
        <w:t>Participant Register</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60" w:top="273" w:right="239" w:bottom="1440" w:gutter="0" w:footer="0" w:header="0"/>
        </w:sectPr>
      </w:pPr>
    </w:p>
    <w:bookmarkStart w:id="383" w:name="page384"/>
    <w:bookmarkEnd w:id="383"/>
    <w:p>
      <w:pPr>
        <w:ind w:right="60"/>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w:t>
      </w:r>
      <w:r>
        <w:rPr>
          <w:rFonts w:ascii="Arial" w:cs="Arial" w:eastAsia="Arial" w:hAnsi="Arial"/>
          <w:sz w:val="17"/>
          <w:szCs w:val="17"/>
          <w:color w:val="auto"/>
        </w:rPr>
        <w:t>that no Lender shall have any obligation to disclose all or any portion of the Participant Register (including the identity of any Participant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relating to a Participant’s interest in any Commitments, Loans, Letters of Credit or its other obligations hereunder or under any other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none of the Agents (in any Agent’s capacity as Agent) shall have any responsibility for maintaining a Participant Register.</w:t>
      </w:r>
    </w:p>
    <w:p>
      <w:pPr>
        <w:spacing w:after="0" w:line="17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Credit Parties in the Credit Documents and in the 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Loans, the acceptance and purchase of any BAs and the issuance of any Letters of Credit, regardless of any investigation made by any such other party or on its behalf and notwithstanding that any Agent, any Arranger, any Syndication Agent, any Documentation Agent, any Issuing Bank, any Lender or any Affiliate of any of the foregoing may have had notice or knowledge of any Default or incorrect representation or warranty at the time any Credit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Notwithstanding the foregoing or anything else to the contrary set forth in this Agreement or any other Credit Document, in the event that, in connection with the refinancing or termination and repayment in full of the credit facilities established hereby, an Issuing Bank shall have provided to the Applicable Agent a written consent to the release of the Tranche A Lenders from their obligations hereunder with respect to any Letter of Credit issued by such Issuing Bank (whether as a result of the obligations of the Company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Credit Documents, and the Lenders shall be deemed to have no participations in such Letter of Credit, and no obligations with respect thereto, under Section 2.04(d) or 2.04(e). The provisions of Sections 2.14, 2.15, 2.16, 2.17(e), 2.20 and 11.03 and Article VIII shall survive and remain in full force and effect regardless of the consummation of the transactions contemplated hereby, the repayment of the Loans and BAs, the expiration or termination of the Letters of Credit and the Commitments or the termination of this Agreement or any provision hereof.</w:t>
      </w:r>
    </w:p>
    <w:p>
      <w:pPr>
        <w:spacing w:after="0" w:line="173"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274" w:right="299" w:bottom="1440" w:gutter="0" w:footer="0" w:header="0"/>
        </w:sectPr>
      </w:pPr>
    </w:p>
    <w:bookmarkStart w:id="384" w:name="page385"/>
    <w:bookmarkEnd w:id="38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payable to the Agents and the Arrangers constitute the entire contract among the parties relating to the credit facilities established hereby and supersede any and all previous agreements and understandings, oral or written, relating to such credit facilities, including the commitments of the Lenders and, if applicable, their Affiliates under any commitment letter and any commitment advices submitted by them (but do not supersede any provisions of any commitment letter that by the terms of such document survive the termination thereof or the execution and delivery of this Agreement, all of which provisions shall remain in full force and effect). Except as provided in Section 4.01, this Agreement shall become effective when it shall have been executed by the Agents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fax or other electronic imaging means shall be effective as delivery of a manually executed counterpart of this Agreement.</w:t>
      </w:r>
    </w:p>
    <w:p>
      <w:pPr>
        <w:spacing w:after="0" w:line="19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4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Credit Party against any of and all the obligations of such Credit Party now or hereafter existing under this Agreement or any other Credit Document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6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xml:space="preserve"> (a) This Agreement shall be construed in accordance with and governed by the law of the State of New York.</w:t>
      </w:r>
    </w:p>
    <w:p>
      <w:pPr>
        <w:spacing w:after="0" w:line="62" w:lineRule="exact"/>
        <w:rPr>
          <w:sz w:val="20"/>
          <w:szCs w:val="20"/>
          <w:color w:val="auto"/>
        </w:rPr>
      </w:pPr>
    </w:p>
    <w:p>
      <w:pPr>
        <w:ind w:right="40" w:firstLine="921"/>
        <w:spacing w:after="0" w:line="290" w:lineRule="auto"/>
        <w:tabs>
          <w:tab w:leader="none" w:pos="1168" w:val="left"/>
        </w:tabs>
        <w:numPr>
          <w:ilvl w:val="0"/>
          <w:numId w:val="439"/>
        </w:numPr>
        <w:rPr>
          <w:rFonts w:ascii="Arial" w:cs="Arial" w:eastAsia="Arial" w:hAnsi="Arial"/>
          <w:sz w:val="16"/>
          <w:szCs w:val="16"/>
          <w:color w:val="auto"/>
        </w:rPr>
      </w:pPr>
      <w:r>
        <w:rPr>
          <w:rFonts w:ascii="Arial" w:cs="Arial" w:eastAsia="Arial" w:hAnsi="Arial"/>
          <w:sz w:val="16"/>
          <w:szCs w:val="16"/>
          <w:color w:val="auto"/>
        </w:rPr>
        <w:t>Each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Credit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Credit Document shall affect any right that any Agent, Issuing Bank or Lender may otherwise have to bring any action or proceeding relating to this Agreement or any other Credit Document against any Borrower or its properties in the courts of any jurisdiction.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385" w:name="page386"/>
    <w:bookmarkEnd w:id="385"/>
    <w:p>
      <w:pPr>
        <w:ind w:right="80" w:firstLine="921"/>
        <w:spacing w:after="0" w:line="259" w:lineRule="auto"/>
        <w:tabs>
          <w:tab w:leader="none" w:pos="1158" w:val="left"/>
        </w:tabs>
        <w:numPr>
          <w:ilvl w:val="0"/>
          <w:numId w:val="4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Borrower hereby irrevocably and unconditionally waives, to the fullest extent permitted by law, any objection that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right="40" w:firstLine="921"/>
        <w:spacing w:after="0" w:line="291" w:lineRule="auto"/>
        <w:tabs>
          <w:tab w:leader="none" w:pos="1168" w:val="left"/>
        </w:tabs>
        <w:numPr>
          <w:ilvl w:val="0"/>
          <w:numId w:val="440"/>
        </w:numPr>
        <w:rPr>
          <w:rFonts w:ascii="Arial" w:cs="Arial" w:eastAsia="Arial" w:hAnsi="Arial"/>
          <w:sz w:val="16"/>
          <w:szCs w:val="16"/>
          <w:color w:val="auto"/>
        </w:rPr>
      </w:pPr>
      <w:r>
        <w:rPr>
          <w:rFonts w:ascii="Arial" w:cs="Arial" w:eastAsia="Arial" w:hAnsi="Arial"/>
          <w:sz w:val="16"/>
          <w:szCs w:val="16"/>
          <w:color w:val="auto"/>
        </w:rPr>
        <w:t>Each Credit Party has appointed CT Corporation System, 111 Eighth Avenue, 13</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10011, as its authorized agent (the “</w:t>
      </w:r>
      <w:r>
        <w:rPr>
          <w:rFonts w:ascii="Arial" w:cs="Arial" w:eastAsia="Arial" w:hAnsi="Arial"/>
          <w:sz w:val="16"/>
          <w:szCs w:val="16"/>
          <w:i w:val="1"/>
          <w:iCs w:val="1"/>
          <w:color w:val="auto"/>
        </w:rPr>
        <w:t>Authorized Agent</w:t>
      </w:r>
      <w:r>
        <w:rPr>
          <w:rFonts w:ascii="Arial" w:cs="Arial" w:eastAsia="Arial" w:hAnsi="Arial"/>
          <w:sz w:val="16"/>
          <w:szCs w:val="16"/>
          <w:color w:val="auto"/>
        </w:rPr>
        <w:t>”) upon whom process may be served in any action arising out of or based on this Agreement or any other Credit Document which may be instituted in any court referred to in clause (b) of this Section by any Agent, Issuing Bank or Lender or their Affiliates, and waives any other requirements of or objections to personal jurisdiction with respect thereto. Such appointment shall be irrevocable. Each Credit Party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applicable Credit Party shall be deemed, in every respect, effective service of process upon such Credit Party.</w:t>
      </w:r>
    </w:p>
    <w:p>
      <w:pPr>
        <w:spacing w:after="0" w:line="59" w:lineRule="exact"/>
        <w:rPr>
          <w:rFonts w:ascii="Arial" w:cs="Arial" w:eastAsia="Arial" w:hAnsi="Arial"/>
          <w:sz w:val="16"/>
          <w:szCs w:val="16"/>
          <w:color w:val="auto"/>
        </w:rPr>
      </w:pPr>
    </w:p>
    <w:p>
      <w:pPr>
        <w:ind w:right="100" w:firstLine="921"/>
        <w:spacing w:after="0" w:line="342" w:lineRule="auto"/>
        <w:tabs>
          <w:tab w:leader="none" w:pos="1158" w:val="left"/>
        </w:tabs>
        <w:numPr>
          <w:ilvl w:val="0"/>
          <w:numId w:val="440"/>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11.01. Nothing in this Agreement or any other Credit Document will affect the right of any party to this Agreement to serve process in any other manner permitted by law.</w:t>
      </w:r>
    </w:p>
    <w:p>
      <w:pPr>
        <w:spacing w:after="0" w:line="124"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Headings.</w:t>
      </w:r>
      <w:r>
        <w:rPr>
          <w:rFonts w:ascii="Arial" w:cs="Arial" w:eastAsia="Arial" w:hAnsi="Arial"/>
          <w:sz w:val="17"/>
          <w:szCs w:val="17"/>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240" w:top="273" w:right="319" w:bottom="1440" w:gutter="0" w:footer="0" w:header="0"/>
        </w:sectPr>
      </w:pPr>
    </w:p>
    <w:bookmarkStart w:id="386" w:name="page387"/>
    <w:bookmarkEnd w:id="386"/>
    <w:p>
      <w:pPr>
        <w:ind w:right="2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Agent, Issuing Bank and Lender agrees to maintain the confidentiality of the Information (as defined below), and will not use such confidential Information for any purpose or in any manner except in connection with this Agreement, except that Information may be disclosed (a) to its and its Affiliates’ directors, officers, employees and agents, including accountants, legal counsel and other agents and advisors (it being understood that the Persons to whom such disclosure is made will be informed of the confidential nature of such Information and instructed to keep such Information confidential), (b) to the extent required or requested by any governmental, supervisory or regulatory authority (including any self-regulatory authority, such as the National Association of Insurance Commissioners) (it being agreed that, except in the case of a request by a bank supervisory or regulatory authority, such Agent, Issuing Bank or Lender will to the extent reasonably practicable and permitted by law provide the Company with prior notice of such disclosure and an opportunity to request confidential treatment from such authority), (c) to the extent required by applicable laws or regulations or by any subpoena or similar legal process (it being agreed that such Agent, Issuing Bank or Lender will to the extent reasonably practicable and permitted by law provide the Company with prior notice of such disclosure), (d) to any other party to this Agreement, (e) in connection with the exercise of any remedies hereunder or any suit, action or proceeding relating to this Agreement or any other Credit Document or the enforcement of rights hereunder or thereunder, (f) subject to an agreement containing confidentiality provisions substantially the same as those of this Section, to (i) any assignee of or Participant in, or any prospective assignee of or Participant in, any of its rights or obligations under this Agreement or (ii) any actual or prospective counterparty (or its advisors) to any Hedging Agreement or other derivative transaction relating to the Company or any Subsidiary and its obligations,</w:t>
      </w:r>
    </w:p>
    <w:p>
      <w:pPr>
        <w:spacing w:after="0" w:line="2" w:lineRule="exact"/>
        <w:rPr>
          <w:sz w:val="20"/>
          <w:szCs w:val="20"/>
          <w:color w:val="auto"/>
        </w:rPr>
      </w:pPr>
    </w:p>
    <w:p>
      <w:pPr>
        <w:ind w:firstLine="8"/>
        <w:spacing w:after="0" w:line="268" w:lineRule="auto"/>
        <w:tabs>
          <w:tab w:leader="none" w:pos="255" w:val="left"/>
        </w:tabs>
        <w:numPr>
          <w:ilvl w:val="0"/>
          <w:numId w:val="441"/>
        </w:numPr>
        <w:rPr>
          <w:rFonts w:ascii="Arial" w:cs="Arial" w:eastAsia="Arial" w:hAnsi="Arial"/>
          <w:sz w:val="17"/>
          <w:szCs w:val="17"/>
          <w:color w:val="auto"/>
        </w:rPr>
      </w:pPr>
      <w:r>
        <w:rPr>
          <w:rFonts w:ascii="Arial" w:cs="Arial" w:eastAsia="Arial" w:hAnsi="Arial"/>
          <w:sz w:val="17"/>
          <w:szCs w:val="17"/>
          <w:color w:val="auto"/>
        </w:rPr>
        <w:t>with the written consent of the Company, (h) to the extent such Information (i) becomes publicly available other than as a result of a breach of this Section or any other confidentiality agreement to which it is party with the Company or any Subsidiary or (ii) becomes available to such Agent, Issuing Bank or Lender on a nonconfidential basis from a source other than the Company, (i) to any rating agency when required by it, provided that, prior to any disclosure, such rating agency shall undertake in writing to preserve the confidentiality of any confidential information relating to the Credit Parties received by it from any Agent or any Lender, or (j) on a confidential basis to the CUSIP Service Bureau or any similar agency to the extent required by such agency in connection with the issuance and monitoring of CUSIP numbers with respect to the Loans. For the purposes of this Section, “</w:t>
      </w:r>
      <w:r>
        <w:rPr>
          <w:rFonts w:ascii="Arial" w:cs="Arial" w:eastAsia="Arial" w:hAnsi="Arial"/>
          <w:sz w:val="17"/>
          <w:szCs w:val="17"/>
          <w:i w:val="1"/>
          <w:iCs w:val="1"/>
          <w:color w:val="auto"/>
        </w:rPr>
        <w:t>Information</w:t>
      </w:r>
      <w:r>
        <w:rPr>
          <w:rFonts w:ascii="Arial" w:cs="Arial" w:eastAsia="Arial" w:hAnsi="Arial"/>
          <w:sz w:val="17"/>
          <w:szCs w:val="17"/>
          <w:color w:val="auto"/>
        </w:rPr>
        <w:t>” means all confidential information received from the Company relating to the Company or its businesses, other than any such information that is available to any Agent, Issuing Bank or Lender on a nonconfidential basis prior to disclosure by the Company.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xml:space="preserve"> Notwithstanding anything herein to the contrary, if at any time the interest rate applicable to any extension of credit hereunder, together with all fees, charges and other amounts which are treated as interest on such extension of credit under applicable law (collectively the “</w:t>
      </w:r>
      <w:r>
        <w:rPr>
          <w:rFonts w:ascii="Arial" w:cs="Arial" w:eastAsia="Arial" w:hAnsi="Arial"/>
          <w:sz w:val="18"/>
          <w:szCs w:val="18"/>
          <w:i w:val="1"/>
          <w:iCs w:val="1"/>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i w:val="1"/>
          <w:iCs w:val="1"/>
          <w:color w:val="auto"/>
        </w:rPr>
        <w:t>Maximum Rate</w:t>
      </w:r>
      <w:r>
        <w:rPr>
          <w:rFonts w:ascii="Arial" w:cs="Arial" w:eastAsia="Arial" w:hAnsi="Arial"/>
          <w:sz w:val="18"/>
          <w:szCs w:val="18"/>
          <w:color w:val="auto"/>
        </w:rPr>
        <w:t>”) which may be contracted for, charged, taken, received or reserved by the Lender that made such extension of credit in accordance with applicable law, the rate of interest payable in respect of such extension of credit hereunder, together with all Charges payable in respect thereof, shall be limited to the Maximum Rate and, to the extent lawful, the interest and Charges that would have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387" w:name="page388"/>
    <w:bookmarkEnd w:id="387"/>
    <w:p>
      <w:pPr>
        <w:jc w:val="both"/>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payable in respect of such extension of credit but were not payable as a result of the operation of this Section shall be cumulated and the interest and Charges payable to such Lender in respect of other extensions of credit or periods shall be increased (but not above the Maximum Rate therefor) until such cumulated amount, together with interest thereon at the Federal Funds Effective Rate to the date of repayment, shall have been received by such Lender.</w:t>
      </w:r>
    </w:p>
    <w:p>
      <w:pPr>
        <w:spacing w:after="0" w:line="14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hereby notifies the Borrowers that pursuant to the requirements of the USA PATRIOT Act, it is required to obtain, verify and record information that identifies the Borrowers, which information includes the names and addresses of the Borrowers and other information that will allow such Lender to identify the Borrowers in accordance with the USA PATRIOT Act.</w:t>
      </w:r>
    </w:p>
    <w:p>
      <w:pPr>
        <w:spacing w:after="0" w:line="166"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xml:space="preserve"> (a) Each Lender acknowledges that all information furnished to it pursuant to this Agreement by the Credit Parties or on their behalf and relating to the Company, the Subsidiaries or their businesses may include material non-public information concerning the Company and the Subsidiaries or their securities, and confirms that it has developed compliance procedures regarding the use of material non-public information and that it will handle such material non-public information in accordance with such procedures and applicable law, including Federal, state and foreign securities laws.</w:t>
      </w:r>
    </w:p>
    <w:p>
      <w:pPr>
        <w:spacing w:after="0" w:line="80" w:lineRule="exact"/>
        <w:rPr>
          <w:sz w:val="20"/>
          <w:szCs w:val="20"/>
          <w:color w:val="auto"/>
        </w:rPr>
      </w:pPr>
    </w:p>
    <w:p>
      <w:pPr>
        <w:ind w:right="200" w:firstLine="921"/>
        <w:spacing w:after="0" w:line="276" w:lineRule="auto"/>
        <w:tabs>
          <w:tab w:leader="none" w:pos="1168" w:val="left"/>
        </w:tabs>
        <w:numPr>
          <w:ilvl w:val="0"/>
          <w:numId w:val="442"/>
        </w:numPr>
        <w:rPr>
          <w:rFonts w:ascii="Arial" w:cs="Arial" w:eastAsia="Arial" w:hAnsi="Arial"/>
          <w:sz w:val="17"/>
          <w:szCs w:val="17"/>
          <w:color w:val="auto"/>
        </w:rPr>
      </w:pPr>
      <w:r>
        <w:rPr>
          <w:rFonts w:ascii="Arial" w:cs="Arial" w:eastAsia="Arial" w:hAnsi="Arial"/>
          <w:sz w:val="17"/>
          <w:szCs w:val="17"/>
          <w:color w:val="auto"/>
        </w:rPr>
        <w:t>All such information, including requests for waivers and amendments, furnished by the Credit Parties or the Administrative Agent pursuant to, or in the course of administering, this Agreement will be syndicate-level information, which may contain material non-public information about the Company and the Subsidiaries and their securities. Accordingly, each Lender represents to the Credit Parties and the Administrative Agent that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pacing w:after="0" w:line="173" w:lineRule="exact"/>
        <w:rPr>
          <w:sz w:val="20"/>
          <w:szCs w:val="20"/>
          <w:color w:val="auto"/>
        </w:rPr>
      </w:pPr>
    </w:p>
    <w:p>
      <w:pPr>
        <w:ind w:right="240" w:firstLine="913"/>
        <w:spacing w:after="0" w:line="293" w:lineRule="auto"/>
        <w:rPr>
          <w:sz w:val="20"/>
          <w:szCs w:val="20"/>
          <w:color w:val="auto"/>
        </w:rPr>
      </w:pPr>
      <w:r>
        <w:rPr>
          <w:rFonts w:ascii="Arial" w:cs="Arial" w:eastAsia="Arial" w:hAnsi="Arial"/>
          <w:sz w:val="16"/>
          <w:szCs w:val="16"/>
          <w:color w:val="auto"/>
        </w:rPr>
        <w:t xml:space="preserve">SECTION 11.16. </w:t>
      </w:r>
      <w:r>
        <w:rPr>
          <w:rFonts w:ascii="Arial" w:cs="Arial" w:eastAsia="Arial" w:hAnsi="Arial"/>
          <w:sz w:val="16"/>
          <w:szCs w:val="16"/>
          <w:u w:val="single" w:color="auto"/>
          <w:color w:val="auto"/>
        </w:rPr>
        <w:t>No Fiduciary Duty.</w:t>
      </w:r>
      <w:r>
        <w:rPr>
          <w:rFonts w:ascii="Arial" w:cs="Arial" w:eastAsia="Arial" w:hAnsi="Arial"/>
          <w:sz w:val="16"/>
          <w:szCs w:val="16"/>
          <w:color w:val="auto"/>
        </w:rPr>
        <w:t xml:space="preserve"> Each Credit Party acknowledges that the Agents, the Arrangers, the Issuing Banks, the Lenders and their respective Affiliates may have economic interests that conflict with those of the Credit Parties, their stockholders and/or their affiliates. Each Credit Party agrees that in connection with all aspects of the Transactions and any communications in connection therewith, the Company and its Affiliates, on the one hand, and the Agents, the Arrangers, the Issuing Banks, the Lenders and their respective Affiliates, on the other hand, will have a business relationship that does not create, by implication or otherwise, any fiduciary duty on the part of the Agents, the Arrangers, the Issuing Banks, the Lenders or their respective Affiliates, and no such duty will be deemed to have arisen in connection with any such Transactions or communications.</w:t>
      </w:r>
    </w:p>
    <w:p>
      <w:pPr>
        <w:spacing w:after="0" w:line="16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11.17. </w:t>
      </w:r>
      <w:r>
        <w:rPr>
          <w:rFonts w:ascii="Arial" w:cs="Arial" w:eastAsia="Arial" w:hAnsi="Arial"/>
          <w:sz w:val="17"/>
          <w:szCs w:val="17"/>
          <w:u w:val="single" w:color="auto"/>
          <w:color w:val="auto"/>
        </w:rPr>
        <w:t>Senior Indebtedness.</w:t>
      </w:r>
      <w:r>
        <w:rPr>
          <w:rFonts w:ascii="Arial" w:cs="Arial" w:eastAsia="Arial" w:hAnsi="Arial"/>
          <w:sz w:val="17"/>
          <w:szCs w:val="17"/>
          <w:color w:val="auto"/>
        </w:rPr>
        <w:t xml:space="preserve"> In the event that any Credit Party shall at any time issue or have outstanding any Subordinated Indebtedness, such Credit Party shall take all such actions as shall be necessary under the terms of such Subordinated Indebtedness to cause the Obligations of such Credit Party to constitute senior indebtedness (however denominated) in respect of such Subordinated Indebtedness and to enable the Lenders to have and exercise any payment blockage or other remedies available or potentially available to holders of senior indebtedness 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3" w:right="239" w:bottom="1440" w:gutter="0" w:footer="0" w:header="0"/>
        </w:sectPr>
      </w:pPr>
    </w:p>
    <w:bookmarkStart w:id="388" w:name="page389"/>
    <w:bookmarkEnd w:id="38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of such Subordinated Indebtedness. Without limiting the foregoing, the Obligations of each Credit Party are hereby designated as “senior indebtedness” and as “designated senior indebtedness” under and in respect of any indenture or other agreement or instrument under which Subordinated Indebtedness of such Credit Party is outstanding and are further given all such other designations as shall be required under the terms of any such Subordinated Indebtedness in order that the Lenders or the Administrative Agent may have and exercise any payment blockage or other remedies available or potentially available to holders of senior indebtedness under the terms of such Subordinated Indebtedness.</w:t>
      </w:r>
    </w:p>
    <w:p>
      <w:pPr>
        <w:spacing w:after="0" w:line="173" w:lineRule="exact"/>
        <w:rPr>
          <w:sz w:val="20"/>
          <w:szCs w:val="20"/>
          <w:color w:val="auto"/>
        </w:rPr>
      </w:pPr>
    </w:p>
    <w:p>
      <w:pPr>
        <w:ind w:right="300" w:firstLine="913"/>
        <w:spacing w:after="0" w:line="279" w:lineRule="auto"/>
        <w:rPr>
          <w:sz w:val="20"/>
          <w:szCs w:val="20"/>
          <w:color w:val="auto"/>
        </w:rPr>
      </w:pPr>
      <w:r>
        <w:rPr>
          <w:rFonts w:ascii="Arial" w:cs="Arial" w:eastAsia="Arial" w:hAnsi="Arial"/>
          <w:sz w:val="17"/>
          <w:szCs w:val="17"/>
          <w:color w:val="auto"/>
        </w:rPr>
        <w:t xml:space="preserve">SECTION 11.18. </w:t>
      </w:r>
      <w:r>
        <w:rPr>
          <w:rFonts w:ascii="Arial" w:cs="Arial" w:eastAsia="Arial" w:hAnsi="Arial"/>
          <w:sz w:val="17"/>
          <w:szCs w:val="17"/>
          <w:u w:val="single" w:color="auto"/>
          <w:color w:val="auto"/>
        </w:rPr>
        <w:t>Conversion of Currencies.</w:t>
      </w:r>
      <w:r>
        <w:rPr>
          <w:rFonts w:ascii="Arial" w:cs="Arial" w:eastAsia="Arial" w:hAnsi="Arial"/>
          <w:sz w:val="17"/>
          <w:szCs w:val="17"/>
          <w:color w:val="auto"/>
        </w:rPr>
        <w:t xml:space="preserve">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63" w:lineRule="exact"/>
        <w:rPr>
          <w:sz w:val="20"/>
          <w:szCs w:val="20"/>
          <w:color w:val="auto"/>
        </w:rPr>
      </w:pPr>
    </w:p>
    <w:p>
      <w:pPr>
        <w:ind w:firstLine="921"/>
        <w:spacing w:after="0" w:line="271" w:lineRule="auto"/>
        <w:tabs>
          <w:tab w:leader="none" w:pos="1168" w:val="left"/>
        </w:tabs>
        <w:numPr>
          <w:ilvl w:val="0"/>
          <w:numId w:val="443"/>
        </w:numPr>
        <w:rPr>
          <w:rFonts w:ascii="Arial" w:cs="Arial" w:eastAsia="Arial" w:hAnsi="Arial"/>
          <w:sz w:val="17"/>
          <w:szCs w:val="17"/>
          <w:color w:val="auto"/>
        </w:rPr>
      </w:pPr>
      <w:r>
        <w:rPr>
          <w:rFonts w:ascii="Arial" w:cs="Arial" w:eastAsia="Arial" w:hAnsi="Arial"/>
          <w:sz w:val="17"/>
          <w:szCs w:val="17"/>
          <w:color w:val="auto"/>
        </w:rPr>
        <w:t>The obligations of each party hereto in respect of any sum due to any other party hereto or any holder of the obligations owing hereunder (the “</w:t>
      </w:r>
      <w:r>
        <w:rPr>
          <w:rFonts w:ascii="Arial" w:cs="Arial" w:eastAsia="Arial" w:hAnsi="Arial"/>
          <w:sz w:val="17"/>
          <w:szCs w:val="17"/>
          <w:i w:val="1"/>
          <w:iCs w:val="1"/>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i w:val="1"/>
          <w:iCs w:val="1"/>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i w:val="1"/>
          <w:iCs w:val="1"/>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Company agrees, as a separate obligation and notwithstanding any such judgment, to indemnify the Applicable Creditor against such loss. The obligations of each party hereto contained in this Section shall survive the termination of this Agreement and the payment of all other amounts owing hereunder.</w:t>
      </w:r>
    </w:p>
    <w:p>
      <w:pPr>
        <w:spacing w:after="0" w:line="17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Each Lender party hereto that is also a party to the Existing Credit Agreement hereby waives the notice requirements of Section 2.08(c) and Section 2.10(d) of the Existing Credit Agreement.</w:t>
      </w:r>
    </w:p>
    <w:p>
      <w:pPr>
        <w:spacing w:after="0" w:line="170"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SECTION 11.20.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Credit Document or in any other agreement, arrangement or understanding among the parties hereto, each party hereto acknowledges that any liability of any EEA Financial Institution arising under any Credit Document may, to the extent such liability is unsecured, be subject to the Write-Down and Conversion Powers of an EEA Resolution Authority and agrees and consents to, and acknowledges and agrees to be bound by:</w:t>
      </w:r>
    </w:p>
    <w:p>
      <w:pPr>
        <w:spacing w:after="0" w:line="63" w:lineRule="exact"/>
        <w:rPr>
          <w:sz w:val="20"/>
          <w:szCs w:val="20"/>
          <w:color w:val="auto"/>
        </w:rPr>
      </w:pPr>
    </w:p>
    <w:p>
      <w:pPr>
        <w:ind w:right="180" w:firstLine="921"/>
        <w:spacing w:after="0" w:line="277" w:lineRule="auto"/>
        <w:tabs>
          <w:tab w:leader="none" w:pos="115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274" w:right="279" w:bottom="1440" w:gutter="0" w:footer="0" w:header="0"/>
        </w:sectPr>
      </w:pPr>
    </w:p>
    <w:bookmarkStart w:id="389" w:name="page390"/>
    <w:bookmarkEnd w:id="389"/>
    <w:p>
      <w:pPr>
        <w:ind w:left="1180" w:hanging="259"/>
        <w:spacing w:after="0"/>
        <w:tabs>
          <w:tab w:leader="none" w:pos="11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effects of any Bail-In Action on any such liability, including, if applicable:</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right="140" w:firstLine="1492"/>
        <w:spacing w:after="0" w:line="286" w:lineRule="auto"/>
        <w:tabs>
          <w:tab w:leader="none" w:pos="1748" w:val="left"/>
        </w:tabs>
        <w:numPr>
          <w:ilvl w:val="1"/>
          <w:numId w:val="445"/>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57" w:lineRule="exact"/>
        <w:rPr>
          <w:rFonts w:ascii="Arial" w:cs="Arial" w:eastAsia="Arial" w:hAnsi="Arial"/>
          <w:sz w:val="17"/>
          <w:szCs w:val="17"/>
          <w:color w:val="auto"/>
        </w:rPr>
      </w:pPr>
    </w:p>
    <w:p>
      <w:pPr>
        <w:ind w:left="1800" w:hanging="308"/>
        <w:spacing w:after="0"/>
        <w:tabs>
          <w:tab w:leader="none" w:pos="1800" w:val="left"/>
        </w:tabs>
        <w:numPr>
          <w:ilvl w:val="1"/>
          <w:numId w:val="445"/>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any EEA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Resolution Authority.</w:t>
      </w:r>
    </w:p>
    <w:p>
      <w:pPr>
        <w:spacing w:after="0" w:line="211" w:lineRule="exact"/>
        <w:rPr>
          <w:sz w:val="20"/>
          <w:szCs w:val="20"/>
          <w:color w:val="auto"/>
        </w:rPr>
      </w:pPr>
    </w:p>
    <w:p>
      <w:pPr>
        <w:ind w:right="300" w:firstLine="913"/>
        <w:spacing w:after="0" w:line="308" w:lineRule="auto"/>
        <w:rPr>
          <w:sz w:val="20"/>
          <w:szCs w:val="20"/>
          <w:color w:val="auto"/>
        </w:rPr>
      </w:pPr>
      <w:r>
        <w:rPr>
          <w:rFonts w:ascii="Arial" w:cs="Arial" w:eastAsia="Arial" w:hAnsi="Arial"/>
          <w:sz w:val="17"/>
          <w:szCs w:val="17"/>
          <w:color w:val="auto"/>
        </w:rPr>
        <w:t xml:space="preserve">SECTION 11.21. </w:t>
      </w:r>
      <w:r>
        <w:rPr>
          <w:rFonts w:ascii="Arial" w:cs="Arial" w:eastAsia="Arial" w:hAnsi="Arial"/>
          <w:sz w:val="17"/>
          <w:szCs w:val="17"/>
          <w:u w:val="single" w:color="auto"/>
          <w:color w:val="auto"/>
        </w:rPr>
        <w:t>Lender Compliance with ERISA</w:t>
      </w:r>
      <w:r>
        <w:rPr>
          <w:rFonts w:ascii="Arial" w:cs="Arial" w:eastAsia="Arial" w:hAnsi="Arial"/>
          <w:sz w:val="17"/>
          <w:szCs w:val="17"/>
          <w:color w:val="auto"/>
        </w:rPr>
        <w:t>. (a) Each Lender represents, warrants and covenants, for the benefit of each Agent and the other Lenders and their respective Affiliates, that, at all times when it shall be a Lender, at least one of the following is and will be true:</w:t>
      </w:r>
    </w:p>
    <w:p>
      <w:pPr>
        <w:spacing w:after="0" w:line="38" w:lineRule="exact"/>
        <w:rPr>
          <w:sz w:val="20"/>
          <w:szCs w:val="20"/>
          <w:color w:val="auto"/>
        </w:rPr>
      </w:pPr>
    </w:p>
    <w:p>
      <w:pPr>
        <w:ind w:right="160" w:firstLine="1492"/>
        <w:spacing w:after="0" w:line="277" w:lineRule="auto"/>
        <w:tabs>
          <w:tab w:leader="none" w:pos="1698" w:val="left"/>
        </w:tabs>
        <w:numPr>
          <w:ilvl w:val="1"/>
          <w:numId w:val="44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the Letters of Credit or the Commitments,</w:t>
      </w:r>
    </w:p>
    <w:p>
      <w:pPr>
        <w:spacing w:after="0" w:line="62" w:lineRule="exact"/>
        <w:rPr>
          <w:rFonts w:ascii="Arial" w:cs="Arial" w:eastAsia="Arial" w:hAnsi="Arial"/>
          <w:sz w:val="18"/>
          <w:szCs w:val="18"/>
          <w:color w:val="auto"/>
        </w:rPr>
      </w:pPr>
    </w:p>
    <w:p>
      <w:pPr>
        <w:ind w:firstLine="1492"/>
        <w:spacing w:after="0" w:line="255" w:lineRule="auto"/>
        <w:tabs>
          <w:tab w:leader="none" w:pos="1748"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85" w:lineRule="exact"/>
        <w:rPr>
          <w:rFonts w:ascii="Arial" w:cs="Arial" w:eastAsia="Arial" w:hAnsi="Arial"/>
          <w:sz w:val="18"/>
          <w:szCs w:val="18"/>
          <w:color w:val="auto"/>
        </w:rPr>
      </w:pPr>
    </w:p>
    <w:p>
      <w:pPr>
        <w:ind w:right="20" w:firstLine="1492"/>
        <w:spacing w:after="0" w:line="286" w:lineRule="auto"/>
        <w:tabs>
          <w:tab w:leader="none" w:pos="179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1" w:lineRule="exact"/>
        <w:rPr>
          <w:rFonts w:ascii="Arial" w:cs="Arial" w:eastAsia="Arial" w:hAnsi="Arial"/>
          <w:sz w:val="16"/>
          <w:szCs w:val="16"/>
          <w:color w:val="auto"/>
        </w:rPr>
      </w:pPr>
    </w:p>
    <w:p>
      <w:pPr>
        <w:ind w:right="120" w:firstLine="8"/>
        <w:spacing w:after="0" w:line="290" w:lineRule="auto"/>
        <w:tabs>
          <w:tab w:leader="none" w:pos="295"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74" w:right="259" w:bottom="1440" w:gutter="0" w:footer="0" w:header="0"/>
        </w:sectPr>
      </w:pPr>
    </w:p>
    <w:bookmarkStart w:id="390" w:name="page391"/>
    <w:bookmarkEnd w:id="390"/>
    <w:p>
      <w:pPr>
        <w:ind w:left="-20" w:right="400" w:firstLine="921"/>
        <w:spacing w:after="0" w:line="291" w:lineRule="auto"/>
        <w:tabs>
          <w:tab w:leader="none" w:pos="1148" w:val="left"/>
        </w:tabs>
        <w:numPr>
          <w:ilvl w:val="0"/>
          <w:numId w:val="4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unless sub-clause (i) in the immediately preceding clause (a) is true with respect to a Lender, such Lender further represents, warrants and covenants, for the benefit of each Agent and the other Lenders and their respective Affiliates, that, at all times when it shall be a Lender:</w:t>
      </w:r>
    </w:p>
    <w:p>
      <w:pPr>
        <w:jc w:val="both"/>
        <w:ind w:left="-20" w:right="320" w:firstLine="1492"/>
        <w:spacing w:after="0" w:line="323" w:lineRule="auto"/>
        <w:tabs>
          <w:tab w:leader="none" w:pos="1678" w:val="left"/>
        </w:tabs>
        <w:numPr>
          <w:ilvl w:val="1"/>
          <w:numId w:val="448"/>
        </w:numPr>
        <w:rPr>
          <w:rFonts w:ascii="Arial" w:cs="Arial" w:eastAsia="Arial" w:hAnsi="Arial"/>
          <w:sz w:val="16"/>
          <w:szCs w:val="16"/>
          <w:color w:val="auto"/>
        </w:rPr>
      </w:pPr>
      <w:r>
        <w:rPr>
          <w:rFonts w:ascii="Arial" w:cs="Arial" w:eastAsia="Arial" w:hAnsi="Arial"/>
          <w:sz w:val="16"/>
          <w:szCs w:val="16"/>
          <w:color w:val="auto"/>
        </w:rPr>
        <w:t>none of the Agents or the other Lenders or any of their respective Affiliates is a fiduciary with respect to the assets of such Lender (including in connection with the reservation or exercise of any rights by any Agent under this Agreement or any documents related to hereto or thereto),</w:t>
      </w:r>
    </w:p>
    <w:p>
      <w:pPr>
        <w:spacing w:after="0" w:line="30" w:lineRule="exact"/>
        <w:rPr>
          <w:rFonts w:ascii="Arial" w:cs="Arial" w:eastAsia="Arial" w:hAnsi="Arial"/>
          <w:sz w:val="16"/>
          <w:szCs w:val="16"/>
          <w:color w:val="auto"/>
        </w:rPr>
      </w:pPr>
    </w:p>
    <w:p>
      <w:pPr>
        <w:jc w:val="both"/>
        <w:ind w:left="-20" w:firstLine="1492"/>
        <w:spacing w:after="0" w:line="259" w:lineRule="auto"/>
        <w:tabs>
          <w:tab w:leader="none" w:pos="172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78" w:lineRule="exact"/>
        <w:rPr>
          <w:rFonts w:ascii="Arial" w:cs="Arial" w:eastAsia="Arial" w:hAnsi="Arial"/>
          <w:sz w:val="18"/>
          <w:szCs w:val="18"/>
          <w:color w:val="auto"/>
        </w:rPr>
      </w:pPr>
    </w:p>
    <w:p>
      <w:pPr>
        <w:jc w:val="both"/>
        <w:ind w:left="-20" w:firstLine="1492"/>
        <w:spacing w:after="0" w:line="264" w:lineRule="auto"/>
        <w:tabs>
          <w:tab w:leader="none" w:pos="177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w:t>
      </w:r>
    </w:p>
    <w:p>
      <w:pPr>
        <w:spacing w:after="0" w:line="73" w:lineRule="exact"/>
        <w:rPr>
          <w:rFonts w:ascii="Arial" w:cs="Arial" w:eastAsia="Arial" w:hAnsi="Arial"/>
          <w:sz w:val="18"/>
          <w:szCs w:val="18"/>
          <w:color w:val="auto"/>
        </w:rPr>
      </w:pPr>
    </w:p>
    <w:p>
      <w:pPr>
        <w:jc w:val="both"/>
        <w:ind w:left="-20" w:right="20" w:firstLine="1492"/>
        <w:spacing w:after="0" w:line="259" w:lineRule="auto"/>
        <w:tabs>
          <w:tab w:leader="none" w:pos="176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78" w:lineRule="exact"/>
        <w:rPr>
          <w:rFonts w:ascii="Arial" w:cs="Arial" w:eastAsia="Arial" w:hAnsi="Arial"/>
          <w:sz w:val="18"/>
          <w:szCs w:val="18"/>
          <w:color w:val="auto"/>
        </w:rPr>
      </w:pPr>
    </w:p>
    <w:p>
      <w:pPr>
        <w:ind w:left="-20" w:right="100" w:firstLine="1492"/>
        <w:spacing w:after="0" w:line="277" w:lineRule="auto"/>
        <w:tabs>
          <w:tab w:leader="none" w:pos="171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any Agent or the other Lenders or any their respective affiliates for investment advice (as opposed to other services) in connection with the Loans, the Letters of Credit, the Commitments or this Agreement.</w:t>
      </w:r>
    </w:p>
    <w:p>
      <w:pPr>
        <w:spacing w:after="0" w:line="62" w:lineRule="exact"/>
        <w:rPr>
          <w:rFonts w:ascii="Arial" w:cs="Arial" w:eastAsia="Arial" w:hAnsi="Arial"/>
          <w:sz w:val="18"/>
          <w:szCs w:val="18"/>
          <w:color w:val="auto"/>
        </w:rPr>
      </w:pPr>
    </w:p>
    <w:p>
      <w:pPr>
        <w:ind w:left="-20" w:right="20" w:firstLine="921"/>
        <w:spacing w:after="0" w:line="271" w:lineRule="auto"/>
        <w:tabs>
          <w:tab w:leader="none" w:pos="1138" w:val="left"/>
        </w:tabs>
        <w:numPr>
          <w:ilvl w:val="0"/>
          <w:numId w:val="448"/>
        </w:numPr>
        <w:rPr>
          <w:rFonts w:ascii="Arial" w:cs="Arial" w:eastAsia="Arial" w:hAnsi="Arial"/>
          <w:sz w:val="17"/>
          <w:szCs w:val="17"/>
          <w:color w:val="auto"/>
        </w:rPr>
      </w:pPr>
      <w:r>
        <w:rPr>
          <w:rFonts w:ascii="Arial" w:cs="Arial" w:eastAsia="Arial" w:hAnsi="Arial"/>
          <w:sz w:val="17"/>
          <w:szCs w:val="17"/>
          <w:color w:val="auto"/>
        </w:rPr>
        <w:t>Each Agent and each Lender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or otherwise, including structuring fees, commitment fees, arrangement fees, facility fees, upfront fees, agency fees, administrative agent fees, letter of credit fees, fronting fees, amendment fees, processing fees, banker’s acceptance fees, breakage or other early termination fees or fees similar to the foregoing.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60" w:top="274" w:right="259" w:bottom="1440" w:gutter="0" w:footer="0" w:header="0"/>
        </w:sectPr>
      </w:pPr>
    </w:p>
    <w:bookmarkStart w:id="391" w:name="page392"/>
    <w:bookmarkEnd w:id="391"/>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Matthew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Matthew Smith</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11420"/>
          </w:cols>
          <w:pgMar w:left="240" w:top="274" w:right="2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EUROPEAN SOFTWARE MARKETING LIMITED,</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Marina Eleni Smila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Marina Eleni Smila</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9560"/>
          </w:cols>
          <w:pgMar w:left="1440" w:top="273" w:right="899" w:bottom="1440" w:gutter="0" w:footer="0" w:header="0"/>
        </w:sectPr>
      </w:pPr>
    </w:p>
    <w:bookmarkStart w:id="393" w:name="page394"/>
    <w:bookmarkEnd w:id="39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individually and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and Issuing Bank</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Inderjeet Singh 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Inderjeet Singh Aneja</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9720"/>
          </w:cols>
          <w:pgMar w:left="1440" w:top="274" w:right="739" w:bottom="1440" w:gutter="0" w:footer="0" w:header="0"/>
        </w:sectPr>
      </w:pPr>
    </w:p>
    <w:bookmarkStart w:id="394" w:name="page395"/>
    <w:bookmarkEnd w:id="39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 P. MORGAN EUROPE LIMITED, individually and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London Agent</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Belinda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Belinda Lucas</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Authorized Signatory</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Associate</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9780"/>
          </w:cols>
          <w:pgMar w:left="1440" w:top="274" w:right="679" w:bottom="1440" w:gutter="0" w:footer="0" w:header="0"/>
        </w:sectPr>
      </w:pPr>
    </w:p>
    <w:bookmarkStart w:id="395" w:name="page396"/>
    <w:bookmarkEnd w:id="39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TORONTO BRANCH,</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individually and as Canadian Agent</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Inderjeet Singh 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Inderjeet Singh Aneja</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10040"/>
          </w:cols>
          <w:pgMar w:left="1440" w:top="274" w:right="41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individually and as Syndication Agent</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9800"/>
          </w:cols>
          <w:pgMar w:left="1440" w:top="274" w:right="65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PLC, individually and as Syndication Agent</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Michael Farr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9900"/>
          </w:cols>
          <w:pgMar w:left="1440" w:top="273" w:right="559" w:bottom="1440" w:gutter="0" w:footer="0" w:header="0"/>
        </w:sectPr>
      </w:pPr>
    </w:p>
    <w:bookmarkStart w:id="398" w:name="page399"/>
    <w:bookmarkEnd w:id="39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 individually and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Documentation Agent</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Kiran Krishnamurthy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Kiran Krishnamurthy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9360"/>
          </w:cols>
          <w:pgMar w:left="1440" w:top="273" w:right="1099" w:bottom="1440" w:gutter="0" w:footer="0" w:header="0"/>
        </w:sectPr>
      </w:pPr>
    </w:p>
    <w:bookmarkStart w:id="399" w:name="page400"/>
    <w:bookmarkEnd w:id="399"/>
    <w:p>
      <w:pPr>
        <w:ind w:left="6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SIGNATURE PAGE TO THE AMDOCS LIMITED SECOND</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AMENDED AND RESTATED 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BANK OF TOKYO-MITSUBISHI UFJ,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Antioco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Matthew Antioco</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11360"/>
          </w:cols>
          <w:pgMar w:left="240" w:top="274" w:right="299" w:bottom="1440" w:gutter="0" w:footer="0" w:header="0"/>
        </w:sectPr>
      </w:pPr>
    </w:p>
    <w:bookmarkStart w:id="400" w:name="page401"/>
    <w:bookmarkEnd w:id="400"/>
    <w:p>
      <w:pPr>
        <w:ind w:left="6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SIGNATURE PAGE TO THE AMDOCS LIMITED SECOND</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AMENDED AND RESTATED 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Bank Leumi Le-Israel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Danny Shapira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Danny Shapira</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Mazi Bar 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Mazi Bar El</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11360"/>
          </w:cols>
          <w:pgMar w:left="240" w:top="274" w:right="299" w:bottom="1440" w:gutter="0" w:footer="0" w:header="0"/>
        </w:sectPr>
      </w:pPr>
    </w:p>
    <w:bookmarkStart w:id="401" w:name="page402"/>
    <w:bookmarkEnd w:id="401"/>
    <w:p>
      <w:pPr>
        <w:ind w:left="6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SIGNATURE PAGE TO THE AMDOCS LIMITED SECOND</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AMENDED AND RESTATED 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Amdocs Limited Second Amended and Restated Credit Agreement]</w:t>
      </w:r>
    </w:p>
    <w:p>
      <w:pPr>
        <w:sectPr>
          <w:pgSz w:w="11900" w:h="16838" w:orient="portrait"/>
          <w:cols w:equalWidth="0" w:num="1">
            <w:col w:w="11360"/>
          </w:cols>
          <w:pgMar w:left="240" w:top="274" w:right="299" w:bottom="1440" w:gutter="0" w:footer="0" w:header="0"/>
        </w:sectPr>
      </w:pPr>
    </w:p>
    <w:bookmarkStart w:id="402" w:name="page403"/>
    <w:bookmarkEnd w:id="402"/>
    <w:p>
      <w:pPr>
        <w:ind w:left="10320"/>
        <w:spacing w:after="0"/>
        <w:rPr>
          <w:sz w:val="20"/>
          <w:szCs w:val="20"/>
          <w:color w:val="auto"/>
        </w:rPr>
      </w:pPr>
      <w:r>
        <w:rPr>
          <w:rFonts w:ascii="Arial" w:cs="Arial" w:eastAsia="Arial" w:hAnsi="Arial"/>
          <w:sz w:val="17"/>
          <w:szCs w:val="17"/>
          <w:b w:val="1"/>
          <w:bCs w:val="1"/>
          <w:color w:val="auto"/>
        </w:rPr>
        <w:t>Exhibit 8</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Significant Subsidiaries of Amdocs Limited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List of the Subsidiaries*</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120" w:type="dxa"/>
            <w:vAlign w:val="bottom"/>
          </w:tcPr>
          <w:p>
            <w:pPr>
              <w:spacing w:after="0"/>
              <w:rPr>
                <w:sz w:val="12"/>
                <w:szCs w:val="12"/>
                <w:color w:val="auto"/>
              </w:rPr>
            </w:pPr>
          </w:p>
        </w:tc>
        <w:tc>
          <w:tcPr>
            <w:tcW w:w="34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Business Name</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12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gridSpan w:val="2"/>
          </w:tcPr>
          <w:p>
            <w:pPr>
              <w:spacing w:after="0" w:line="189" w:lineRule="exact"/>
              <w:rPr>
                <w:sz w:val="20"/>
                <w:szCs w:val="20"/>
                <w:color w:val="auto"/>
              </w:rPr>
            </w:pPr>
            <w:r>
              <w:rPr>
                <w:rFonts w:ascii="Arial" w:cs="Arial" w:eastAsia="Arial" w:hAnsi="Arial"/>
                <w:sz w:val="18"/>
                <w:szCs w:val="18"/>
                <w:color w:val="auto"/>
              </w:rPr>
              <w:t>Amdocs Astrum Limited</w:t>
            </w:r>
          </w:p>
        </w:tc>
        <w:tc>
          <w:tcPr>
            <w:tcW w:w="9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40" w:type="dxa"/>
            <w:vAlign w:val="bottom"/>
          </w:tcPr>
          <w:p>
            <w:pPr>
              <w:spacing w:after="0" w:line="189" w:lineRule="exact"/>
              <w:rPr>
                <w:sz w:val="20"/>
                <w:szCs w:val="20"/>
                <w:color w:val="auto"/>
              </w:rPr>
            </w:pPr>
            <w:r>
              <w:rPr>
                <w:rFonts w:ascii="Arial" w:cs="Arial" w:eastAsia="Arial" w:hAnsi="Arial"/>
                <w:sz w:val="18"/>
                <w:szCs w:val="18"/>
                <w:color w:val="auto"/>
              </w:rPr>
              <w:t>Ireland</w:t>
            </w:r>
          </w:p>
        </w:tc>
        <w:tc>
          <w:tcPr>
            <w:tcW w:w="120" w:type="dxa"/>
            <w:vAlign w:val="bottom"/>
            <w:vMerge w:val="continue"/>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8"/>
                <w:szCs w:val="18"/>
                <w:color w:val="auto"/>
              </w:rPr>
              <w:t>Amdocs Astrum Limited</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w w:val="98"/>
              </w:rPr>
              <w:t>Amdocs Development Centre India</w:t>
            </w:r>
          </w:p>
        </w:tc>
        <w:tc>
          <w:tcPr>
            <w:tcW w:w="900" w:type="dxa"/>
            <w:vAlign w:val="bottom"/>
          </w:tcPr>
          <w:p>
            <w:pPr>
              <w:ind w:left="20"/>
              <w:spacing w:after="0"/>
              <w:rPr>
                <w:sz w:val="20"/>
                <w:szCs w:val="20"/>
                <w:color w:val="auto"/>
              </w:rPr>
            </w:pPr>
            <w:r>
              <w:rPr>
                <w:rFonts w:ascii="Arial" w:cs="Arial" w:eastAsia="Arial" w:hAnsi="Arial"/>
                <w:sz w:val="18"/>
                <w:szCs w:val="18"/>
                <w:color w:val="auto"/>
              </w:rPr>
              <w:t>LLP</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India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Development Centre India LLP</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Republic of Cyprus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Development Limited</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Amdocs, Inc.</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State of Delaware, USA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Inc.</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Amdocs Holdings ULC</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Canada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Holdings ULC</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Amdocs International GmbH</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Switzerland</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International GmbH</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Amdocs (Israel) Limited</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Israel</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(Israel) Limited</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Amdocs Management Limited</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United Kingdom</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Management Limited</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w w:val="96"/>
              </w:rPr>
              <w:t>Amdocs Software Solutions Limited</w:t>
            </w:r>
          </w:p>
        </w:tc>
        <w:tc>
          <w:tcPr>
            <w:tcW w:w="900" w:type="dxa"/>
            <w:vAlign w:val="bottom"/>
          </w:tcPr>
          <w:p>
            <w:pPr>
              <w:ind w:left="100"/>
              <w:spacing w:after="0"/>
              <w:rPr>
                <w:sz w:val="20"/>
                <w:szCs w:val="20"/>
                <w:color w:val="auto"/>
              </w:rPr>
            </w:pPr>
            <w:r>
              <w:rPr>
                <w:rFonts w:ascii="Arial" w:cs="Arial" w:eastAsia="Arial" w:hAnsi="Arial"/>
                <w:sz w:val="18"/>
                <w:szCs w:val="18"/>
                <w:color w:val="auto"/>
              </w:rPr>
              <w:t>Liability</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Hungary</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7"/>
              </w:rPr>
              <w:t>Amdocs Software Solutions Limited Liability</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Amdocs Software Systems Ltd.</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Ireland</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Software Systems Ltd.</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Amdocs (UK) Limited</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United Kingdom</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(UK) Limited</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European Software Marketing Ltd.</w:t>
            </w:r>
          </w:p>
        </w:tc>
        <w:tc>
          <w:tcPr>
            <w:tcW w:w="900" w:type="dxa"/>
            <w:vAlign w:val="bottom"/>
          </w:tcPr>
          <w:p>
            <w:pPr>
              <w:spacing w:after="0"/>
              <w:rPr>
                <w:sz w:val="18"/>
                <w:szCs w:val="18"/>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Island of Guernsey, Channel Islands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European Software Marketing Ltd.</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w w:val="89"/>
              </w:rPr>
              <w:t>Amdocs Canadian Managed Services,</w:t>
            </w:r>
          </w:p>
        </w:tc>
        <w:tc>
          <w:tcPr>
            <w:tcW w:w="900" w:type="dxa"/>
            <w:vAlign w:val="bottom"/>
          </w:tcPr>
          <w:p>
            <w:pPr>
              <w:ind w:left="200"/>
              <w:spacing w:after="0"/>
              <w:rPr>
                <w:sz w:val="20"/>
                <w:szCs w:val="20"/>
                <w:color w:val="auto"/>
              </w:rPr>
            </w:pPr>
            <w:r>
              <w:rPr>
                <w:rFonts w:ascii="Arial" w:cs="Arial" w:eastAsia="Arial" w:hAnsi="Arial"/>
                <w:sz w:val="18"/>
                <w:szCs w:val="18"/>
                <w:color w:val="auto"/>
              </w:rPr>
              <w:t>Inc.</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Canada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9"/>
              </w:rPr>
              <w:t>Amdocs Canadian Managed Services, Inc.</w:t>
            </w: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Sypress, Inc.</w:t>
            </w:r>
          </w:p>
        </w:tc>
        <w:tc>
          <w:tcPr>
            <w:tcW w:w="900" w:type="dxa"/>
            <w:vAlign w:val="bottom"/>
          </w:tcPr>
          <w:p>
            <w:pPr>
              <w:spacing w:after="0"/>
              <w:rPr>
                <w:sz w:val="20"/>
                <w:szCs w:val="20"/>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State of Delaware, USA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Sypress, Inc.</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40" w:hanging="436"/>
        <w:spacing w:after="0"/>
        <w:tabs>
          <w:tab w:leader="none" w:pos="4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Each subsidiary listed is directly or indirectly wholly-owned by Amdocs Limited.</w:t>
      </w:r>
    </w:p>
    <w:p>
      <w:pPr>
        <w:sectPr>
          <w:pgSz w:w="11900" w:h="16838" w:orient="portrait"/>
          <w:cols w:equalWidth="0" w:num="1">
            <w:col w:w="11040"/>
          </w:cols>
          <w:pgMar w:left="440" w:top="121" w:right="41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Eli Gelman, certify that:</w:t>
      </w:r>
    </w:p>
    <w:p>
      <w:pPr>
        <w:spacing w:after="0" w:line="225" w:lineRule="exact"/>
        <w:rPr>
          <w:sz w:val="20"/>
          <w:szCs w:val="20"/>
          <w:color w:val="auto"/>
        </w:rPr>
      </w:pPr>
    </w:p>
    <w:p>
      <w:pPr>
        <w:ind w:left="640" w:hanging="176"/>
        <w:spacing w:after="0"/>
        <w:tabs>
          <w:tab w:leader="none" w:pos="6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4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4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45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180" w:firstLine="443"/>
        <w:spacing w:after="0" w:line="342" w:lineRule="auto"/>
        <w:tabs>
          <w:tab w:leader="none" w:pos="1153" w:val="left"/>
        </w:tabs>
        <w:numPr>
          <w:ilvl w:val="1"/>
          <w:numId w:val="45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right="20" w:firstLine="464"/>
        <w:spacing w:after="0" w:line="308" w:lineRule="auto"/>
        <w:tabs>
          <w:tab w:leader="none" w:pos="633"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800" w:firstLine="443"/>
        <w:spacing w:after="0" w:line="308" w:lineRule="auto"/>
        <w:tabs>
          <w:tab w:leader="none" w:pos="1133" w:val="left"/>
        </w:tabs>
        <w:numPr>
          <w:ilvl w:val="1"/>
          <w:numId w:val="4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500" w:firstLine="443"/>
        <w:spacing w:after="0" w:line="277" w:lineRule="auto"/>
        <w:tabs>
          <w:tab w:leader="none" w:pos="1143"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2017</w:t>
      </w:r>
    </w:p>
    <w:p>
      <w:pPr>
        <w:sectPr>
          <w:pgSz w:w="11900" w:h="16838" w:orient="portrait"/>
          <w:cols w:equalWidth="0" w:num="1">
            <w:col w:w="11420"/>
          </w:cols>
          <w:pgMar w:left="240" w:top="121" w:right="2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225" w:lineRule="exact"/>
        <w:rPr>
          <w:sz w:val="20"/>
          <w:szCs w:val="20"/>
          <w:color w:val="auto"/>
        </w:rPr>
      </w:pPr>
    </w:p>
    <w:p>
      <w:pPr>
        <w:ind w:left="640" w:hanging="176"/>
        <w:spacing w:after="0"/>
        <w:tabs>
          <w:tab w:leader="none" w:pos="6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4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4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4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45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180" w:firstLine="443"/>
        <w:spacing w:after="0" w:line="342" w:lineRule="auto"/>
        <w:tabs>
          <w:tab w:leader="none" w:pos="1153" w:val="left"/>
        </w:tabs>
        <w:numPr>
          <w:ilvl w:val="1"/>
          <w:numId w:val="45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right="20" w:firstLine="464"/>
        <w:spacing w:after="0" w:line="308" w:lineRule="auto"/>
        <w:tabs>
          <w:tab w:leader="none" w:pos="633"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800" w:firstLine="443"/>
        <w:spacing w:after="0" w:line="308" w:lineRule="auto"/>
        <w:tabs>
          <w:tab w:leader="none" w:pos="1133" w:val="left"/>
        </w:tabs>
        <w:numPr>
          <w:ilvl w:val="1"/>
          <w:numId w:val="4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500" w:firstLine="443"/>
        <w:spacing w:after="0" w:line="277" w:lineRule="auto"/>
        <w:tabs>
          <w:tab w:leader="none" w:pos="1143"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2017</w:t>
      </w:r>
    </w:p>
    <w:p>
      <w:pPr>
        <w:sectPr>
          <w:pgSz w:w="11900" w:h="16838" w:orient="portrait"/>
          <w:cols w:equalWidth="0" w:num="1">
            <w:col w:w="11420"/>
          </w:cols>
          <w:pgMar w:left="240" w:top="122" w:right="239" w:bottom="1440" w:gutter="0" w:footer="0" w:header="0"/>
        </w:sectPr>
      </w:pPr>
    </w:p>
    <w:bookmarkStart w:id="405" w:name="page406"/>
    <w:bookmarkEnd w:id="405"/>
    <w:p>
      <w:pPr>
        <w:ind w:left="1030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5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2017 as filed with the Securities and Exchange Commission on the date hereof (the “Report”), the undersigned, Eli Gelman, Chief Executive Officer of the Company, hereby certifies, pursuant to 18 U.S.C. Section 1350, that to the best of his knowledge and belief:</w:t>
      </w:r>
    </w:p>
    <w:p>
      <w:pPr>
        <w:spacing w:after="0" w:line="73" w:lineRule="exact"/>
        <w:rPr>
          <w:sz w:val="20"/>
          <w:szCs w:val="20"/>
          <w:color w:val="auto"/>
        </w:rPr>
      </w:pPr>
    </w:p>
    <w:p>
      <w:pPr>
        <w:ind w:left="1160" w:hanging="257"/>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2017</w:t>
      </w:r>
    </w:p>
    <w:p>
      <w:pPr>
        <w:sectPr>
          <w:pgSz w:w="11900" w:h="16838" w:orient="portrait"/>
          <w:cols w:equalWidth="0" w:num="1">
            <w:col w:w="11420"/>
          </w:cols>
          <w:pgMar w:left="240" w:top="121" w:right="239" w:bottom="1440" w:gutter="0" w:footer="0" w:header="0"/>
        </w:sectPr>
      </w:pPr>
    </w:p>
    <w:bookmarkStart w:id="406" w:name="page407"/>
    <w:bookmarkEnd w:id="406"/>
    <w:p>
      <w:pPr>
        <w:ind w:left="10300"/>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2017 as filed with the Securities and Exchange Commission on the date hereof (the “Report”), the undersigned, Tamar Rapaport-Dagim, Chief Financial Officer of the Company, hereby certifies, pursuant to 18 U.S.C. Section 1350, that to the best of her knowledge and belief:</w:t>
      </w:r>
    </w:p>
    <w:p>
      <w:pPr>
        <w:spacing w:after="0" w:line="73" w:lineRule="exact"/>
        <w:rPr>
          <w:sz w:val="20"/>
          <w:szCs w:val="20"/>
          <w:color w:val="auto"/>
        </w:rPr>
      </w:pPr>
    </w:p>
    <w:p>
      <w:pPr>
        <w:ind w:left="1160" w:hanging="257"/>
        <w:spacing w:after="0"/>
        <w:tabs>
          <w:tab w:leader="none" w:pos="11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2017</w:t>
      </w:r>
    </w:p>
    <w:p>
      <w:pPr>
        <w:sectPr>
          <w:pgSz w:w="11900" w:h="16838" w:orient="portrait"/>
          <w:cols w:equalWidth="0" w:num="1">
            <w:col w:w="11420"/>
          </w:cols>
          <w:pgMar w:left="240" w:top="121" w:right="2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in the head note to Item 3. Key Information — Selected Financial Data included in this Annual Report (Form 20-F)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Amdocs Limited and to the incorporation by reference in the following Registration Statements:</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333-193659</w:t>
      </w:r>
    </w:p>
    <w:p>
      <w:pPr>
        <w:spacing w:after="0" w:line="10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of our reports dated December 11, 2017, with respect to the consolidated financial statements and schedule of Amdocs Limited and the effectiveness of internal control over financial reporting of Amdocs Limited, included in this Annual Report (Form 20-F) of Amdocs Limited for the year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EADA61"/>
    <w:multiLevelType w:val="hybridMultilevel"/>
    <w:lvl w:ilvl="0">
      <w:lvlJc w:val="left"/>
      <w:lvlText w:val="☐"/>
      <w:numFmt w:val="bullet"/>
      <w:start w:val="1"/>
    </w:lvl>
  </w:abstractNum>
  <w:abstractNum w:abstractNumId="1">
    <w:nsid w:val="27179C0B"/>
    <w:multiLevelType w:val="hybridMultilevel"/>
    <w:lvl w:ilvl="0">
      <w:lvlJc w:val="left"/>
      <w:lvlText w:val="☒"/>
      <w:numFmt w:val="bullet"/>
      <w:start w:val="1"/>
    </w:lvl>
  </w:abstractNum>
  <w:abstractNum w:abstractNumId="2">
    <w:nsid w:val="5E636063"/>
    <w:multiLevelType w:val="hybridMultilevel"/>
    <w:lvl w:ilvl="0">
      <w:lvlJc w:val="left"/>
      <w:lvlText w:val="☐"/>
      <w:numFmt w:val="bullet"/>
      <w:start w:val="1"/>
    </w:lvl>
  </w:abstractNum>
  <w:abstractNum w:abstractNumId="3">
    <w:nsid w:val="215641AF"/>
    <w:multiLevelType w:val="hybridMultilevel"/>
    <w:lvl w:ilvl="0">
      <w:lvlJc w:val="left"/>
      <w:lvlText w:val="(%1)"/>
      <w:numFmt w:val="decimal"/>
      <w:start w:val="1"/>
    </w:lvl>
  </w:abstractNum>
  <w:abstractNum w:abstractNumId="4">
    <w:nsid w:val="53280662"/>
    <w:multiLevelType w:val="hybridMultilevel"/>
    <w:lvl w:ilvl="0">
      <w:lvlJc w:val="left"/>
      <w:lvlText w:val="(%1)"/>
      <w:numFmt w:val="decimal"/>
      <w:start w:val="1"/>
    </w:lvl>
  </w:abstractNum>
  <w:abstractNum w:abstractNumId="5">
    <w:nsid w:val="46B24DBC"/>
    <w:multiLevelType w:val="hybridMultilevel"/>
    <w:lvl w:ilvl="0">
      <w:lvlJc w:val="left"/>
      <w:lvlText w:val="(%1)"/>
      <w:numFmt w:val="decimal"/>
      <w:start w:val="1"/>
    </w:lvl>
  </w:abstractNum>
  <w:abstractNum w:abstractNumId="6">
    <w:nsid w:val="75B52783"/>
    <w:multiLevelType w:val="hybridMultilevel"/>
    <w:lvl w:ilvl="0">
      <w:lvlJc w:val="left"/>
      <w:lvlText w:val="•"/>
      <w:numFmt w:val="bullet"/>
      <w:start w:val="1"/>
    </w:lvl>
  </w:abstractNum>
  <w:abstractNum w:abstractNumId="7">
    <w:nsid w:val="57CE66B4"/>
    <w:multiLevelType w:val="hybridMultilevel"/>
    <w:lvl w:ilvl="0">
      <w:lvlJc w:val="left"/>
      <w:lvlText w:val="•"/>
      <w:numFmt w:val="bullet"/>
      <w:start w:val="1"/>
    </w:lvl>
  </w:abstractNum>
  <w:abstractNum w:abstractNumId="8">
    <w:nsid w:val="67A70B69"/>
    <w:multiLevelType w:val="hybridMultilevel"/>
    <w:lvl w:ilvl="0">
      <w:lvlJc w:val="left"/>
      <w:lvlText w:val="•"/>
      <w:numFmt w:val="bullet"/>
      <w:start w:val="1"/>
    </w:lvl>
  </w:abstractNum>
  <w:abstractNum w:abstractNumId="9">
    <w:nsid w:val="5953172F"/>
    <w:multiLevelType w:val="hybridMultilevel"/>
    <w:lvl w:ilvl="0">
      <w:lvlJc w:val="left"/>
      <w:lvlText w:val="•"/>
      <w:numFmt w:val="bullet"/>
      <w:start w:val="1"/>
    </w:lvl>
  </w:abstractNum>
  <w:abstractNum w:abstractNumId="10">
    <w:nsid w:val="27EDFE3A"/>
    <w:multiLevelType w:val="hybridMultilevel"/>
    <w:lvl w:ilvl="0">
      <w:lvlJc w:val="left"/>
      <w:lvlText w:val="•"/>
      <w:numFmt w:val="bullet"/>
      <w:start w:val="1"/>
    </w:lvl>
  </w:abstractNum>
  <w:abstractNum w:abstractNumId="11">
    <w:nsid w:val="52AC7DFF"/>
    <w:multiLevelType w:val="hybridMultilevel"/>
    <w:lvl w:ilvl="0">
      <w:lvlJc w:val="left"/>
      <w:lvlText w:val="•"/>
      <w:numFmt w:val="bullet"/>
      <w:start w:val="1"/>
    </w:lvl>
  </w:abstractNum>
  <w:abstractNum w:abstractNumId="12">
    <w:nsid w:val="C4C3AF"/>
    <w:multiLevelType w:val="hybridMultilevel"/>
    <w:lvl w:ilvl="0">
      <w:lvlJc w:val="left"/>
      <w:lvlText w:val="•"/>
      <w:numFmt w:val="bullet"/>
      <w:start w:val="1"/>
    </w:lvl>
  </w:abstractNum>
  <w:abstractNum w:abstractNumId="13">
    <w:nsid w:val="44380727"/>
    <w:multiLevelType w:val="hybridMultilevel"/>
    <w:lvl w:ilvl="0">
      <w:lvlJc w:val="left"/>
      <w:lvlText w:val="•"/>
      <w:numFmt w:val="bullet"/>
      <w:start w:val="1"/>
    </w:lvl>
  </w:abstractNum>
  <w:abstractNum w:abstractNumId="14">
    <w:nsid w:val="6C053B16"/>
    <w:multiLevelType w:val="hybridMultilevel"/>
    <w:lvl w:ilvl="0">
      <w:lvlJc w:val="left"/>
      <w:lvlText w:val="•"/>
      <w:numFmt w:val="bullet"/>
      <w:start w:val="1"/>
    </w:lvl>
  </w:abstractNum>
  <w:abstractNum w:abstractNumId="15">
    <w:nsid w:val="4F294393"/>
    <w:multiLevelType w:val="hybridMultilevel"/>
    <w:lvl w:ilvl="0">
      <w:lvlJc w:val="left"/>
      <w:lvlText w:val="•"/>
      <w:numFmt w:val="bullet"/>
      <w:start w:val="1"/>
    </w:lvl>
  </w:abstractNum>
  <w:abstractNum w:abstractNumId="16">
    <w:nsid w:val="5243BFAC"/>
    <w:multiLevelType w:val="hybridMultilevel"/>
    <w:lvl w:ilvl="0">
      <w:lvlJc w:val="left"/>
      <w:lvlText w:val="•"/>
      <w:numFmt w:val="bullet"/>
      <w:start w:val="1"/>
    </w:lvl>
  </w:abstractNum>
  <w:abstractNum w:abstractNumId="17">
    <w:nsid w:val="425EB207"/>
    <w:multiLevelType w:val="hybridMultilevel"/>
    <w:lvl w:ilvl="0">
      <w:lvlJc w:val="left"/>
      <w:lvlText w:val="•"/>
      <w:numFmt w:val="bullet"/>
      <w:start w:val="1"/>
    </w:lvl>
  </w:abstractNum>
  <w:abstractNum w:abstractNumId="18">
    <w:nsid w:val="334A6F1F"/>
    <w:multiLevelType w:val="hybridMultilevel"/>
    <w:lvl w:ilvl="0">
      <w:lvlJc w:val="left"/>
      <w:lvlText w:val="•"/>
      <w:numFmt w:val="bullet"/>
      <w:start w:val="1"/>
    </w:lvl>
  </w:abstractNum>
  <w:abstractNum w:abstractNumId="19">
    <w:nsid w:val="2E5B12B8"/>
    <w:multiLevelType w:val="hybridMultilevel"/>
    <w:lvl w:ilvl="0">
      <w:lvlJc w:val="left"/>
      <w:lvlText w:val="•"/>
      <w:numFmt w:val="bullet"/>
      <w:start w:val="1"/>
    </w:lvl>
  </w:abstractNum>
  <w:abstractNum w:abstractNumId="20">
    <w:nsid w:val="5C03D76D"/>
    <w:multiLevelType w:val="hybridMultilevel"/>
    <w:lvl w:ilvl="0">
      <w:lvlJc w:val="left"/>
      <w:lvlText w:val="•"/>
      <w:numFmt w:val="bullet"/>
      <w:start w:val="1"/>
    </w:lvl>
  </w:abstractNum>
  <w:abstractNum w:abstractNumId="21">
    <w:nsid w:val="66A48D11"/>
    <w:multiLevelType w:val="hybridMultilevel"/>
    <w:lvl w:ilvl="0">
      <w:lvlJc w:val="left"/>
      <w:lvlText w:val="•"/>
      <w:numFmt w:val="bullet"/>
      <w:start w:val="1"/>
    </w:lvl>
  </w:abstractNum>
  <w:abstractNum w:abstractNumId="22">
    <w:nsid w:val="56C28E34"/>
    <w:multiLevelType w:val="hybridMultilevel"/>
    <w:lvl w:ilvl="0">
      <w:lvlJc w:val="left"/>
      <w:lvlText w:val="•"/>
      <w:numFmt w:val="bullet"/>
      <w:start w:val="1"/>
    </w:lvl>
  </w:abstractNum>
  <w:abstractNum w:abstractNumId="23">
    <w:nsid w:val="13916F2D"/>
    <w:multiLevelType w:val="hybridMultilevel"/>
    <w:lvl w:ilvl="0">
      <w:lvlJc w:val="left"/>
      <w:lvlText w:val="•"/>
      <w:numFmt w:val="bullet"/>
      <w:start w:val="1"/>
    </w:lvl>
  </w:abstractNum>
  <w:abstractNum w:abstractNumId="24">
    <w:nsid w:val="435D38D"/>
    <w:multiLevelType w:val="hybridMultilevel"/>
    <w:lvl w:ilvl="0">
      <w:lvlJc w:val="left"/>
      <w:lvlText w:val="•"/>
      <w:numFmt w:val="bullet"/>
      <w:start w:val="1"/>
    </w:lvl>
  </w:abstractNum>
  <w:abstractNum w:abstractNumId="25">
    <w:nsid w:val="822C0EF"/>
    <w:multiLevelType w:val="hybridMultilevel"/>
    <w:lvl w:ilvl="0">
      <w:lvlJc w:val="left"/>
      <w:lvlText w:val="•"/>
      <w:numFmt w:val="bullet"/>
      <w:start w:val="1"/>
    </w:lvl>
  </w:abstractNum>
  <w:abstractNum w:abstractNumId="26">
    <w:nsid w:val="57C5BB4F"/>
    <w:multiLevelType w:val="hybridMultilevel"/>
    <w:lvl w:ilvl="0">
      <w:lvlJc w:val="left"/>
      <w:lvlText w:val="•"/>
      <w:numFmt w:val="bullet"/>
      <w:start w:val="1"/>
    </w:lvl>
  </w:abstractNum>
  <w:abstractNum w:abstractNumId="27">
    <w:nsid w:val="1803D089"/>
    <w:multiLevelType w:val="hybridMultilevel"/>
    <w:lvl w:ilvl="0">
      <w:lvlJc w:val="left"/>
      <w:lvlText w:val="•"/>
      <w:numFmt w:val="bullet"/>
      <w:start w:val="1"/>
    </w:lvl>
  </w:abstractNum>
  <w:abstractNum w:abstractNumId="28">
    <w:nsid w:val="4F3A06D4"/>
    <w:multiLevelType w:val="hybridMultilevel"/>
    <w:lvl w:ilvl="0">
      <w:lvlJc w:val="left"/>
      <w:lvlText w:val="•"/>
      <w:numFmt w:val="bullet"/>
      <w:start w:val="1"/>
    </w:lvl>
    <w:lvl w:ilvl="1">
      <w:lvlJc w:val="left"/>
      <w:lvlText w:val="•"/>
      <w:numFmt w:val="bullet"/>
      <w:start w:val="1"/>
    </w:lvl>
  </w:abstractNum>
  <w:abstractNum w:abstractNumId="29">
    <w:nsid w:val="59A377B6"/>
    <w:multiLevelType w:val="hybridMultilevel"/>
    <w:lvl w:ilvl="0">
      <w:lvlJc w:val="left"/>
      <w:lvlText w:val="•"/>
      <w:numFmt w:val="bullet"/>
      <w:start w:val="1"/>
    </w:lvl>
    <w:lvl w:ilvl="1">
      <w:lvlJc w:val="left"/>
      <w:lvlText w:val="•"/>
      <w:numFmt w:val="bullet"/>
      <w:start w:val="1"/>
    </w:lvl>
  </w:abstractNum>
  <w:abstractNum w:abstractNumId="30">
    <w:nsid w:val="48AEB063"/>
    <w:multiLevelType w:val="hybridMultilevel"/>
    <w:lvl w:ilvl="0">
      <w:lvlJc w:val="left"/>
      <w:lvlText w:val="•"/>
      <w:numFmt w:val="bullet"/>
      <w:start w:val="1"/>
    </w:lvl>
  </w:abstractNum>
  <w:abstractNum w:abstractNumId="31">
    <w:nsid w:val="24E135"/>
    <w:multiLevelType w:val="hybridMultilevel"/>
    <w:lvl w:ilvl="0">
      <w:lvlJc w:val="left"/>
      <w:lvlText w:val="•"/>
      <w:numFmt w:val="bullet"/>
      <w:start w:val="1"/>
    </w:lvl>
  </w:abstractNum>
  <w:abstractNum w:abstractNumId="32">
    <w:nsid w:val="BB13C1"/>
    <w:multiLevelType w:val="hybridMultilevel"/>
    <w:lvl w:ilvl="0">
      <w:lvlJc w:val="left"/>
      <w:lvlText w:val="(%1)"/>
      <w:numFmt w:val="decimal"/>
      <w:start w:val="1"/>
    </w:lvl>
  </w:abstractNum>
  <w:abstractNum w:abstractNumId="33">
    <w:nsid w:val="271210C7"/>
    <w:multiLevelType w:val="hybridMultilevel"/>
    <w:lvl w:ilvl="0">
      <w:lvlJc w:val="left"/>
      <w:lvlText w:val="(%1)"/>
      <w:numFmt w:val="decimal"/>
      <w:start w:val="1"/>
    </w:lvl>
  </w:abstractNum>
  <w:abstractNum w:abstractNumId="34">
    <w:nsid w:val="217B22E4"/>
    <w:multiLevelType w:val="hybridMultilevel"/>
    <w:lvl w:ilvl="0">
      <w:lvlJc w:val="left"/>
      <w:lvlText w:val="(%1)"/>
      <w:numFmt w:val="lowerRoman"/>
      <w:start w:val="1"/>
    </w:lvl>
  </w:abstractNum>
  <w:abstractNum w:abstractNumId="35">
    <w:nsid w:val="53E31A24"/>
    <w:multiLevelType w:val="hybridMultilevel"/>
    <w:lvl w:ilvl="0">
      <w:lvlJc w:val="left"/>
      <w:lvlText w:val="(%1)"/>
      <w:numFmt w:val="decimal"/>
      <w:start w:val="1"/>
    </w:lvl>
  </w:abstractNum>
  <w:abstractNum w:abstractNumId="36">
    <w:nsid w:val="6DC45E83"/>
    <w:multiLevelType w:val="hybridMultilevel"/>
    <w:lvl w:ilvl="0">
      <w:lvlJc w:val="left"/>
      <w:lvlText w:val="(%1)"/>
      <w:numFmt w:val="decimal"/>
      <w:start w:val="2"/>
    </w:lvl>
  </w:abstractNum>
  <w:abstractNum w:abstractNumId="37">
    <w:nsid w:val="17304A67"/>
    <w:multiLevelType w:val="hybridMultilevel"/>
    <w:lvl w:ilvl="0">
      <w:lvlJc w:val="left"/>
      <w:lvlText w:val="•"/>
      <w:numFmt w:val="bullet"/>
      <w:start w:val="1"/>
    </w:lvl>
  </w:abstractNum>
  <w:abstractNum w:abstractNumId="38">
    <w:nsid w:val="2BB180D8"/>
    <w:multiLevelType w:val="hybridMultilevel"/>
    <w:lvl w:ilvl="0">
      <w:lvlJc w:val="left"/>
      <w:lvlText w:val="•"/>
      <w:numFmt w:val="bullet"/>
      <w:start w:val="1"/>
    </w:lvl>
  </w:abstractNum>
  <w:abstractNum w:abstractNumId="39">
    <w:nsid w:val="556B69ED"/>
    <w:multiLevelType w:val="hybridMultilevel"/>
    <w:lvl w:ilvl="0">
      <w:lvlJc w:val="left"/>
      <w:lvlText w:val="•"/>
      <w:numFmt w:val="bullet"/>
      <w:start w:val="1"/>
    </w:lvl>
  </w:abstractNum>
  <w:abstractNum w:abstractNumId="40">
    <w:nsid w:val="70836196"/>
    <w:multiLevelType w:val="hybridMultilevel"/>
    <w:lvl w:ilvl="0">
      <w:lvlJc w:val="left"/>
      <w:lvlText w:val="•"/>
      <w:numFmt w:val="bullet"/>
      <w:start w:val="1"/>
    </w:lvl>
  </w:abstractNum>
  <w:abstractNum w:abstractNumId="41">
    <w:nsid w:val="539F7F12"/>
    <w:multiLevelType w:val="hybridMultilevel"/>
    <w:lvl w:ilvl="0">
      <w:lvlJc w:val="left"/>
      <w:lvlText w:val="(%1)"/>
      <w:numFmt w:val="lowerRoman"/>
      <w:start w:val="1"/>
    </w:lvl>
  </w:abstractNum>
  <w:abstractNum w:abstractNumId="42">
    <w:nsid w:val="2817E7EC"/>
    <w:multiLevelType w:val="hybridMultilevel"/>
    <w:lvl w:ilvl="0">
      <w:lvlJc w:val="left"/>
      <w:lvlText w:val="(*)"/>
      <w:numFmt w:val="bullet"/>
      <w:start w:val="1"/>
    </w:lvl>
  </w:abstractNum>
  <w:abstractNum w:abstractNumId="43">
    <w:nsid w:val="71482545"/>
    <w:multiLevelType w:val="hybridMultilevel"/>
    <w:lvl w:ilvl="0">
      <w:lvlJc w:val="left"/>
      <w:lvlText w:val="(%1)"/>
      <w:numFmt w:val="decimal"/>
      <w:start w:val="1"/>
    </w:lvl>
  </w:abstractNum>
  <w:abstractNum w:abstractNumId="44">
    <w:nsid w:val="17D78639"/>
    <w:multiLevelType w:val="hybridMultilevel"/>
    <w:lvl w:ilvl="0">
      <w:lvlJc w:val="left"/>
      <w:lvlText w:val="8"/>
      <w:numFmt w:val="bullet"/>
      <w:start w:val="1"/>
    </w:lvl>
  </w:abstractNum>
  <w:abstractNum w:abstractNumId="45">
    <w:nsid w:val="141D2302"/>
    <w:multiLevelType w:val="hybridMultilevel"/>
    <w:lvl w:ilvl="0">
      <w:lvlJc w:val="left"/>
      <w:lvlText w:val="†"/>
      <w:numFmt w:val="bullet"/>
      <w:start w:val="1"/>
    </w:lvl>
  </w:abstractNum>
  <w:abstractNum w:abstractNumId="46">
    <w:nsid w:val="407168D8"/>
    <w:multiLevelType w:val="hybridMultilevel"/>
    <w:lvl w:ilvl="0">
      <w:lvlJc w:val="left"/>
      <w:lvlText w:val="•"/>
      <w:numFmt w:val="bullet"/>
      <w:start w:val="1"/>
    </w:lvl>
  </w:abstractNum>
  <w:abstractNum w:abstractNumId="47">
    <w:nsid w:val="6A1B45E5"/>
    <w:multiLevelType w:val="hybridMultilevel"/>
    <w:lvl w:ilvl="0">
      <w:lvlJc w:val="left"/>
      <w:lvlText w:val="(%1)"/>
      <w:numFmt w:val="decimal"/>
      <w:start w:val="1"/>
    </w:lvl>
  </w:abstractNum>
  <w:abstractNum w:abstractNumId="48">
    <w:nsid w:val="567BD50A"/>
    <w:multiLevelType w:val="hybridMultilevel"/>
    <w:lvl w:ilvl="0">
      <w:lvlJc w:val="left"/>
      <w:lvlText w:val="(%1)"/>
      <w:numFmt w:val="decimal"/>
      <w:start w:val="1"/>
    </w:lvl>
  </w:abstractNum>
  <w:abstractNum w:abstractNumId="49">
    <w:nsid w:val="73BBD7F8"/>
    <w:multiLevelType w:val="hybridMultilevel"/>
    <w:lvl w:ilvl="0">
      <w:lvlJc w:val="left"/>
      <w:lvlText w:val="(%1)"/>
      <w:numFmt w:val="lowerRoman"/>
      <w:start w:val="1"/>
    </w:lvl>
  </w:abstractNum>
  <w:abstractNum w:abstractNumId="50">
    <w:nsid w:val="1876589D"/>
    <w:multiLevelType w:val="hybridMultilevel"/>
    <w:lvl w:ilvl="0">
      <w:lvlJc w:val="left"/>
      <w:lvlText w:val="(%1)"/>
      <w:numFmt w:val="decimal"/>
      <w:start w:val="1"/>
    </w:lvl>
  </w:abstractNum>
  <w:abstractNum w:abstractNumId="51">
    <w:nsid w:val="327FAC77"/>
    <w:multiLevelType w:val="hybridMultilevel"/>
    <w:lvl w:ilvl="0">
      <w:lvlJc w:val="left"/>
      <w:lvlText w:val="(%1)"/>
      <w:numFmt w:val="decimal"/>
      <w:start w:val="2"/>
    </w:lvl>
  </w:abstractNum>
  <w:abstractNum w:abstractNumId="52">
    <w:nsid w:val="5A606509"/>
    <w:multiLevelType w:val="hybridMultilevel"/>
    <w:lvl w:ilvl="0">
      <w:lvlJc w:val="left"/>
      <w:lvlText w:val="(*)"/>
      <w:numFmt w:val="bullet"/>
      <w:start w:val="1"/>
    </w:lvl>
  </w:abstractNum>
  <w:abstractNum w:abstractNumId="53">
    <w:nsid w:val="6F38E6D1"/>
    <w:multiLevelType w:val="hybridMultilevel"/>
    <w:lvl w:ilvl="0">
      <w:lvlJc w:val="left"/>
      <w:lvlText w:val="$"/>
      <w:numFmt w:val="bullet"/>
      <w:start w:val="1"/>
    </w:lvl>
  </w:abstractNum>
  <w:abstractNum w:abstractNumId="54">
    <w:nsid w:val="46111BA5"/>
    <w:multiLevelType w:val="hybridMultilevel"/>
    <w:lvl w:ilvl="0">
      <w:lvlJc w:val="left"/>
      <w:lvlText w:val="(%1)"/>
      <w:numFmt w:val="decimal"/>
      <w:start w:val="1"/>
    </w:lvl>
  </w:abstractNum>
  <w:abstractNum w:abstractNumId="55">
    <w:nsid w:val="5E963896"/>
    <w:multiLevelType w:val="hybridMultilevel"/>
    <w:lvl w:ilvl="0">
      <w:lvlJc w:val="left"/>
      <w:lvlText w:val="(%1)"/>
      <w:numFmt w:val="decimal"/>
      <w:start w:val="1"/>
    </w:lvl>
  </w:abstractNum>
  <w:abstractNum w:abstractNumId="56">
    <w:nsid w:val="775BA7C1"/>
    <w:multiLevelType w:val="hybridMultilevel"/>
    <w:lvl w:ilvl="0">
      <w:lvlJc w:val="left"/>
      <w:lvlText w:val="(%1)"/>
      <w:numFmt w:val="decimal"/>
      <w:start w:val="1"/>
    </w:lvl>
  </w:abstractNum>
  <w:abstractNum w:abstractNumId="57">
    <w:nsid w:val="1DD6D6F4"/>
    <w:multiLevelType w:val="hybridMultilevel"/>
    <w:lvl w:ilvl="0">
      <w:lvlJc w:val="left"/>
      <w:lvlText w:val="(%1)"/>
      <w:numFmt w:val="decimal"/>
      <w:start w:val="1"/>
    </w:lvl>
  </w:abstractNum>
  <w:abstractNum w:abstractNumId="58">
    <w:nsid w:val="769A091F"/>
    <w:multiLevelType w:val="hybridMultilevel"/>
    <w:lvl w:ilvl="0">
      <w:lvlJc w:val="left"/>
      <w:lvlText w:val="(%1)"/>
      <w:numFmt w:val="decimal"/>
      <w:start w:val="1"/>
    </w:lvl>
  </w:abstractNum>
  <w:abstractNum w:abstractNumId="59">
    <w:nsid w:val="4695AE95"/>
    <w:multiLevelType w:val="hybridMultilevel"/>
    <w:lvl w:ilvl="0">
      <w:lvlJc w:val="left"/>
      <w:lvlText w:val="(%1)"/>
      <w:numFmt w:val="decimal"/>
      <w:start w:val="1"/>
    </w:lvl>
  </w:abstractNum>
  <w:abstractNum w:abstractNumId="60">
    <w:nsid w:val="777A4EAA"/>
    <w:multiLevelType w:val="hybridMultilevel"/>
    <w:lvl w:ilvl="0">
      <w:lvlJc w:val="left"/>
      <w:lvlText w:val="[***]"/>
      <w:numFmt w:val="bullet"/>
      <w:start w:val="1"/>
    </w:lvl>
  </w:abstractNum>
  <w:abstractNum w:abstractNumId="61">
    <w:nsid w:val="3F48B982"/>
    <w:multiLevelType w:val="hybridMultilevel"/>
    <w:lvl w:ilvl="0">
      <w:lvlJc w:val="left"/>
      <w:lvlText w:val="%1."/>
      <w:numFmt w:val="lowerLetter"/>
      <w:start w:val="1"/>
    </w:lvl>
  </w:abstractNum>
  <w:abstractNum w:abstractNumId="62">
    <w:nsid w:val="46BA8FCA"/>
    <w:multiLevelType w:val="hybridMultilevel"/>
    <w:lvl w:ilvl="0">
      <w:lvlJc w:val="left"/>
      <w:lvlText w:val="(%1)"/>
      <w:numFmt w:val="lowerRoman"/>
      <w:start w:val="1"/>
    </w:lvl>
  </w:abstractNum>
  <w:abstractNum w:abstractNumId="63">
    <w:nsid w:val="7835626C"/>
    <w:multiLevelType w:val="hybridMultilevel"/>
    <w:lvl w:ilvl="0">
      <w:lvlJc w:val="left"/>
      <w:lvlText w:val="•"/>
      <w:numFmt w:val="bullet"/>
      <w:start w:val="1"/>
    </w:lvl>
    <w:lvl w:ilvl="1">
      <w:lvlJc w:val="left"/>
      <w:lvlText w:val="•"/>
      <w:numFmt w:val="bullet"/>
      <w:start w:val="1"/>
    </w:lvl>
  </w:abstractNum>
  <w:abstractNum w:abstractNumId="64">
    <w:nsid w:val="665ACA49"/>
    <w:multiLevelType w:val="hybridMultilevel"/>
    <w:lvl w:ilvl="0">
      <w:lvlJc w:val="left"/>
      <w:lvlText w:val="%1."/>
      <w:numFmt w:val="lowerLetter"/>
      <w:start w:val="1"/>
    </w:lvl>
  </w:abstractNum>
  <w:abstractNum w:abstractNumId="65">
    <w:nsid w:val="6835B2AE"/>
    <w:multiLevelType w:val="hybridMultilevel"/>
    <w:lvl w:ilvl="0">
      <w:lvlJc w:val="left"/>
      <w:lvlText w:val="%1."/>
      <w:numFmt w:val="lowerLetter"/>
      <w:start w:val="2"/>
    </w:lvl>
    <w:lvl w:ilvl="1">
      <w:lvlJc w:val="left"/>
      <w:lvlText w:val="%2."/>
      <w:numFmt w:val="lowerRoman"/>
      <w:start w:val="1"/>
    </w:lvl>
  </w:abstractNum>
  <w:abstractNum w:abstractNumId="66">
    <w:nsid w:val="4C187C90"/>
    <w:multiLevelType w:val="hybridMultilevel"/>
    <w:lvl w:ilvl="0">
      <w:lvlJc w:val="left"/>
      <w:lvlText w:val="%1."/>
      <w:numFmt w:val="lowerLetter"/>
      <w:start w:val="1"/>
    </w:lvl>
  </w:abstractNum>
  <w:abstractNum w:abstractNumId="67">
    <w:nsid w:val="541F28CD"/>
    <w:multiLevelType w:val="hybridMultilevel"/>
    <w:lvl w:ilvl="0">
      <w:lvlJc w:val="left"/>
      <w:lvlText w:val="%1."/>
      <w:numFmt w:val="lowerLetter"/>
      <w:start w:val="1"/>
    </w:lvl>
  </w:abstractNum>
  <w:abstractNum w:abstractNumId="68">
    <w:nsid w:val="7F65FD16"/>
    <w:multiLevelType w:val="hybridMultilevel"/>
    <w:lvl w:ilvl="0">
      <w:lvlJc w:val="left"/>
      <w:lvlText w:val="%1."/>
      <w:numFmt w:val="lowerLetter"/>
      <w:start w:val="1"/>
    </w:lvl>
  </w:abstractNum>
  <w:abstractNum w:abstractNumId="69">
    <w:nsid w:val="77C9FD68"/>
    <w:multiLevelType w:val="hybridMultilevel"/>
    <w:lvl w:ilvl="0">
      <w:lvlJc w:val="left"/>
      <w:lvlText w:val="%1."/>
      <w:numFmt w:val="lowerLetter"/>
      <w:start w:val="2"/>
    </w:lvl>
    <w:lvl w:ilvl="1">
      <w:lvlJc w:val="left"/>
      <w:lvlText w:val="%2."/>
      <w:numFmt w:val="lowerRoman"/>
      <w:start w:val="1"/>
    </w:lvl>
  </w:abstractNum>
  <w:abstractNum w:abstractNumId="70">
    <w:nsid w:val="298A92BA"/>
    <w:multiLevelType w:val="hybridMultilevel"/>
    <w:lvl w:ilvl="0">
      <w:lvlJc w:val="left"/>
      <w:lvlText w:val="%1"/>
      <w:numFmt w:val="lowerLetter"/>
      <w:start w:val="1"/>
    </w:lvl>
    <w:lvl w:ilvl="1">
      <w:lvlJc w:val="left"/>
      <w:lvlText w:val="%2."/>
      <w:numFmt w:val="lowerRoman"/>
      <w:start w:val="3"/>
    </w:lvl>
  </w:abstractNum>
  <w:abstractNum w:abstractNumId="71">
    <w:nsid w:val="6FE95EAC"/>
    <w:multiLevelType w:val="hybridMultilevel"/>
    <w:lvl w:ilvl="0">
      <w:lvlJc w:val="left"/>
      <w:lvlText w:val="%1."/>
      <w:numFmt w:val="lowerLetter"/>
      <w:start w:val="5"/>
    </w:lvl>
    <w:lvl w:ilvl="1">
      <w:lvlJc w:val="left"/>
      <w:lvlText w:val="%2"/>
      <w:numFmt w:val="lowerRoman"/>
      <w:start w:val="1"/>
    </w:lvl>
  </w:abstractNum>
  <w:abstractNum w:abstractNumId="72">
    <w:nsid w:val="4B697C7A"/>
    <w:multiLevelType w:val="hybridMultilevel"/>
    <w:lvl w:ilvl="0">
      <w:lvlJc w:val="left"/>
      <w:lvlText w:val="%1."/>
      <w:numFmt w:val="lowerLetter"/>
      <w:start w:val="1"/>
    </w:lvl>
  </w:abstractNum>
  <w:abstractNum w:abstractNumId="73">
    <w:nsid w:val="51A27AA6"/>
    <w:multiLevelType w:val="hybridMultilevel"/>
    <w:lvl w:ilvl="0">
      <w:lvlJc w:val="left"/>
      <w:lvlText w:val="%1."/>
      <w:numFmt w:val="lowerLetter"/>
      <w:start w:val="2"/>
    </w:lvl>
  </w:abstractNum>
  <w:abstractNum w:abstractNumId="74">
    <w:nsid w:val="613183F2"/>
    <w:multiLevelType w:val="hybridMultilevel"/>
    <w:lvl w:ilvl="0">
      <w:lvlJc w:val="left"/>
      <w:lvlText w:val="%1."/>
      <w:numFmt w:val="lowerLetter"/>
      <w:start w:val="1"/>
    </w:lvl>
    <w:lvl w:ilvl="1">
      <w:lvlJc w:val="left"/>
      <w:lvlText w:val="%2."/>
      <w:numFmt w:val="lowerRoman"/>
      <w:start w:val="1"/>
    </w:lvl>
  </w:abstractNum>
  <w:abstractNum w:abstractNumId="75">
    <w:nsid w:val="634102B4"/>
    <w:multiLevelType w:val="hybridMultilevel"/>
    <w:lvl w:ilvl="0">
      <w:lvlJc w:val="left"/>
      <w:lvlText w:val="%1."/>
      <w:numFmt w:val="lowerRoman"/>
      <w:start w:val="3"/>
    </w:lvl>
    <w:lvl w:ilvl="1">
      <w:lvlJc w:val="left"/>
      <w:lvlText w:val="%2."/>
      <w:numFmt w:val="decimal"/>
      <w:start w:val="1"/>
    </w:lvl>
  </w:abstractNum>
  <w:abstractNum w:abstractNumId="76">
    <w:nsid w:val="65BF9DA8"/>
    <w:multiLevelType w:val="hybridMultilevel"/>
    <w:lvl w:ilvl="0">
      <w:lvlJc w:val="left"/>
      <w:lvlText w:val="%1"/>
      <w:numFmt w:val="lowerRoman"/>
      <w:start w:val="1"/>
    </w:lvl>
    <w:lvl w:ilvl="1">
      <w:lvlJc w:val="left"/>
      <w:lvlText w:val="%2."/>
      <w:numFmt w:val="decimal"/>
      <w:start w:val="4"/>
    </w:lvl>
  </w:abstractNum>
  <w:abstractNum w:abstractNumId="77">
    <w:nsid w:val="21A2ECCA"/>
    <w:multiLevelType w:val="hybridMultilevel"/>
    <w:lvl w:ilvl="0">
      <w:lvlJc w:val="left"/>
      <w:lvlText w:val="%1."/>
      <w:numFmt w:val="lowerRoman"/>
      <w:start w:val="6"/>
    </w:lvl>
    <w:lvl w:ilvl="1">
      <w:lvlJc w:val="left"/>
      <w:lvlText w:val="%2"/>
      <w:numFmt w:val="decimal"/>
      <w:start w:val="1"/>
    </w:lvl>
  </w:abstractNum>
  <w:abstractNum w:abstractNumId="78">
    <w:nsid w:val="4D5C4899"/>
    <w:multiLevelType w:val="hybridMultilevel"/>
    <w:lvl w:ilvl="0">
      <w:lvlJc w:val="left"/>
      <w:lvlText w:val="%1."/>
      <w:numFmt w:val="lowerLetter"/>
      <w:start w:val="1"/>
    </w:lvl>
  </w:abstractNum>
  <w:abstractNum w:abstractNumId="79">
    <w:nsid w:val="3C3B72B2"/>
    <w:multiLevelType w:val="hybridMultilevel"/>
    <w:lvl w:ilvl="0">
      <w:lvlJc w:val="left"/>
      <w:lvlText w:val="%1."/>
      <w:numFmt w:val="lowerLetter"/>
      <w:start w:val="1"/>
    </w:lvl>
    <w:lvl w:ilvl="1">
      <w:lvlJc w:val="left"/>
      <w:lvlText w:val="%2."/>
      <w:numFmt w:val="lowerRoman"/>
      <w:start w:val="1"/>
    </w:lvl>
  </w:abstractNum>
  <w:abstractNum w:abstractNumId="80">
    <w:nsid w:val="155EC4C2"/>
    <w:multiLevelType w:val="hybridMultilevel"/>
    <w:lvl w:ilvl="0">
      <w:lvlJc w:val="left"/>
      <w:lvlText w:val="%1"/>
      <w:numFmt w:val="lowerLetter"/>
      <w:start w:val="1"/>
    </w:lvl>
    <w:lvl w:ilvl="1">
      <w:lvlJc w:val="left"/>
      <w:lvlText w:val="%2."/>
      <w:numFmt w:val="lowerRoman"/>
      <w:start w:val="2"/>
    </w:lvl>
  </w:abstractNum>
  <w:abstractNum w:abstractNumId="81">
    <w:nsid w:val="65D2A137"/>
    <w:multiLevelType w:val="hybridMultilevel"/>
    <w:lvl w:ilvl="0">
      <w:lvlJc w:val="left"/>
      <w:lvlText w:val="%1."/>
      <w:numFmt w:val="lowerLetter"/>
      <w:start w:val="6"/>
    </w:lvl>
    <w:lvl w:ilvl="1">
      <w:lvlJc w:val="left"/>
      <w:lvlText w:val="%2."/>
      <w:numFmt w:val="lowerRoman"/>
      <w:start w:val="1"/>
    </w:lvl>
  </w:abstractNum>
  <w:abstractNum w:abstractNumId="82">
    <w:nsid w:val="6EBB1F2A"/>
    <w:multiLevelType w:val="hybridMultilevel"/>
    <w:lvl w:ilvl="0">
      <w:lvlJc w:val="left"/>
      <w:lvlText w:val="%1."/>
      <w:numFmt w:val="lowerLetter"/>
      <w:start w:val="1"/>
    </w:lvl>
    <w:lvl w:ilvl="1">
      <w:lvlJc w:val="left"/>
      <w:lvlText w:val="%2."/>
      <w:numFmt w:val="lowerRoman"/>
      <w:start w:val="1"/>
    </w:lvl>
  </w:abstractNum>
  <w:abstractNum w:abstractNumId="83">
    <w:nsid w:val="6FBF29C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4">
    <w:nsid w:val="550B8808"/>
    <w:multiLevelType w:val="hybridMultilevel"/>
    <w:lvl w:ilvl="0">
      <w:lvlJc w:val="left"/>
      <w:lvlText w:val="%1."/>
      <w:numFmt w:val="lowerRoman"/>
      <w:start w:val="12"/>
    </w:lvl>
  </w:abstractNum>
  <w:abstractNum w:abstractNumId="85">
    <w:nsid w:val="34CC3ACF"/>
    <w:multiLevelType w:val="hybridMultilevel"/>
    <w:lvl w:ilvl="0">
      <w:lvlJc w:val="left"/>
      <w:lvlText w:val="%1."/>
      <w:numFmt w:val="lowerLetter"/>
      <w:start w:val="1"/>
    </w:lvl>
  </w:abstractNum>
  <w:abstractNum w:abstractNumId="86">
    <w:nsid w:val="4E556261"/>
    <w:multiLevelType w:val="hybridMultilevel"/>
    <w:lvl w:ilvl="0">
      <w:lvlJc w:val="left"/>
      <w:lvlText w:val="%1."/>
      <w:numFmt w:val="lowerLetter"/>
      <w:start w:val="3"/>
    </w:lvl>
  </w:abstractNum>
  <w:abstractNum w:abstractNumId="87">
    <w:nsid w:val="4C672FC9"/>
    <w:multiLevelType w:val="hybridMultilevel"/>
    <w:lvl w:ilvl="0">
      <w:lvlJc w:val="left"/>
      <w:lvlText w:val="%1."/>
      <w:numFmt w:val="lowerLetter"/>
      <w:start w:val="4"/>
    </w:lvl>
  </w:abstractNum>
  <w:abstractNum w:abstractNumId="88">
    <w:nsid w:val="52A311C3"/>
    <w:multiLevelType w:val="hybridMultilevel"/>
    <w:lvl w:ilvl="0">
      <w:lvlJc w:val="left"/>
      <w:lvlText w:val="%1."/>
      <w:numFmt w:val="lowerLetter"/>
      <w:start w:val="7"/>
    </w:lvl>
  </w:abstractNum>
  <w:abstractNum w:abstractNumId="89">
    <w:nsid w:val="44EF6B80"/>
    <w:multiLevelType w:val="hybridMultilevel"/>
    <w:lvl w:ilvl="0">
      <w:lvlJc w:val="left"/>
      <w:lvlText w:val="%1."/>
      <w:numFmt w:val="lowerLetter"/>
      <w:start w:val="1"/>
    </w:lvl>
  </w:abstractNum>
  <w:abstractNum w:abstractNumId="90">
    <w:nsid w:val="12FCDE5E"/>
    <w:multiLevelType w:val="hybridMultilevel"/>
    <w:lvl w:ilvl="0">
      <w:lvlJc w:val="left"/>
      <w:lvlText w:val="%1."/>
      <w:numFmt w:val="lowerLetter"/>
      <w:start w:val="2"/>
    </w:lvl>
    <w:lvl w:ilvl="1">
      <w:lvlJc w:val="left"/>
      <w:lvlText w:val="%2."/>
      <w:numFmt w:val="lowerRoman"/>
      <w:start w:val="1"/>
    </w:lvl>
  </w:abstractNum>
  <w:abstractNum w:abstractNumId="91">
    <w:nsid w:val="4A1D606E"/>
    <w:multiLevelType w:val="hybridMultilevel"/>
    <w:lvl w:ilvl="0">
      <w:lvlJc w:val="left"/>
      <w:lvlText w:val="%1"/>
      <w:numFmt w:val="lowerLetter"/>
      <w:start w:val="1"/>
    </w:lvl>
    <w:lvl w:ilvl="1">
      <w:lvlJc w:val="left"/>
      <w:lvlText w:val="%2."/>
      <w:numFmt w:val="lowerRoman"/>
      <w:start w:val="3"/>
    </w:lvl>
  </w:abstractNum>
  <w:abstractNum w:abstractNumId="92">
    <w:nsid w:val="4382503"/>
    <w:multiLevelType w:val="hybridMultilevel"/>
    <w:lvl w:ilvl="0">
      <w:lvlJc w:val="left"/>
      <w:lvlText w:val="%1."/>
      <w:numFmt w:val="lowerLetter"/>
      <w:start w:val="4"/>
    </w:lvl>
    <w:lvl w:ilvl="1">
      <w:lvlJc w:val="left"/>
      <w:lvlText w:val="%2"/>
      <w:numFmt w:val="lowerRoman"/>
      <w:start w:val="1"/>
    </w:lvl>
  </w:abstractNum>
  <w:abstractNum w:abstractNumId="93">
    <w:nsid w:val="59B76E28"/>
    <w:multiLevelType w:val="hybridMultilevel"/>
    <w:lvl w:ilvl="0">
      <w:lvlJc w:val="left"/>
      <w:lvlText w:val="%1."/>
      <w:numFmt w:val="lowerLetter"/>
      <w:start w:val="1"/>
    </w:lvl>
    <w:lvl w:ilvl="1">
      <w:lvlJc w:val="left"/>
      <w:lvlText w:val="%2."/>
      <w:numFmt w:val="lowerRoman"/>
      <w:start w:val="1"/>
    </w:lvl>
  </w:abstractNum>
  <w:abstractNum w:abstractNumId="94">
    <w:nsid w:val="4252C2DA"/>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lvl w:ilvl="3">
      <w:lvlJc w:val="left"/>
      <w:lvlText w:val="%4"/>
      <w:numFmt w:val="upperLetter"/>
      <w:start w:val="1"/>
    </w:lvl>
  </w:abstractNum>
  <w:abstractNum w:abstractNumId="95">
    <w:nsid w:val="6A92EF4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6">
    <w:nsid w:val="41ED20D7"/>
    <w:multiLevelType w:val="hybridMultilevel"/>
    <w:lvl w:ilvl="0">
      <w:lvlJc w:val="left"/>
      <w:lvlText w:val="%1."/>
      <w:numFmt w:val="decimal"/>
      <w:start w:val="2"/>
    </w:lvl>
  </w:abstractNum>
  <w:abstractNum w:abstractNumId="97">
    <w:nsid w:val="E6B3F6A"/>
    <w:multiLevelType w:val="hybridMultilevel"/>
    <w:lvl w:ilvl="0">
      <w:lvlJc w:val="left"/>
      <w:lvlText w:val="%1."/>
      <w:numFmt w:val="lowerRoman"/>
      <w:start w:val="2"/>
    </w:lvl>
  </w:abstractNum>
  <w:abstractNum w:abstractNumId="98">
    <w:nsid w:val="3EB21819"/>
    <w:multiLevelType w:val="hybridMultilevel"/>
    <w:lvl w:ilvl="0">
      <w:lvlJc w:val="left"/>
      <w:lvlText w:val="%1."/>
      <w:numFmt w:val="lowerRoman"/>
      <w:start w:val="3"/>
    </w:lvl>
  </w:abstractNum>
  <w:abstractNum w:abstractNumId="99">
    <w:nsid w:val="41531DED"/>
    <w:multiLevelType w:val="hybridMultilevel"/>
    <w:lvl w:ilvl="0">
      <w:lvlJc w:val="left"/>
      <w:lvlText w:val="%1."/>
      <w:numFmt w:val="lowerLetter"/>
      <w:start w:val="3"/>
    </w:lvl>
  </w:abstractNum>
  <w:abstractNum w:abstractNumId="100">
    <w:nsid w:val="6353CD2"/>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01">
    <w:nsid w:val="683CAAD3"/>
    <w:multiLevelType w:val="hybridMultilevel"/>
    <w:lvl w:ilvl="0">
      <w:lvlJc w:val="left"/>
      <w:lvlText w:val="%1."/>
      <w:numFmt w:val="lowerLetter"/>
      <w:start w:val="1"/>
    </w:lvl>
    <w:lvl w:ilvl="1">
      <w:lvlJc w:val="left"/>
      <w:lvlText w:val="%2."/>
      <w:numFmt w:val="lowerRoman"/>
      <w:start w:val="1"/>
    </w:lvl>
  </w:abstractNum>
  <w:abstractNum w:abstractNumId="102">
    <w:nsid w:val="313C7C99"/>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03">
    <w:nsid w:val="519EB94C"/>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04">
    <w:nsid w:val="39DF2579"/>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05">
    <w:nsid w:val="126E008B"/>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106">
    <w:nsid w:val="34DFBC00"/>
    <w:multiLevelType w:val="hybridMultilevel"/>
    <w:lvl w:ilvl="0">
      <w:lvlJc w:val="left"/>
      <w:lvlText w:val="%1."/>
      <w:numFmt w:val="lowerLetter"/>
      <w:start w:val="1"/>
    </w:lvl>
  </w:abstractNum>
  <w:abstractNum w:abstractNumId="107">
    <w:nsid w:val="1F9EC322"/>
    <w:multiLevelType w:val="hybridMultilevel"/>
    <w:lvl w:ilvl="0">
      <w:lvlJc w:val="left"/>
      <w:lvlText w:val="%1."/>
      <w:numFmt w:val="lowerLetter"/>
      <w:start w:val="1"/>
    </w:lvl>
  </w:abstractNum>
  <w:abstractNum w:abstractNumId="108">
    <w:nsid w:val="3410ED56"/>
    <w:multiLevelType w:val="hybridMultilevel"/>
    <w:lvl w:ilvl="0">
      <w:lvlJc w:val="left"/>
      <w:lvlText w:val="%1."/>
      <w:numFmt w:val="lowerLetter"/>
      <w:start w:val="1"/>
    </w:lvl>
    <w:lvl w:ilvl="1">
      <w:lvlJc w:val="left"/>
      <w:lvlText w:val="%2."/>
      <w:numFmt w:val="lowerRoman"/>
      <w:start w:val="1"/>
    </w:lvl>
  </w:abstractNum>
  <w:abstractNum w:abstractNumId="109">
    <w:nsid w:val="23C049A"/>
    <w:multiLevelType w:val="hybridMultilevel"/>
    <w:lvl w:ilvl="0">
      <w:lvlJc w:val="left"/>
      <w:lvlText w:val="%1."/>
      <w:numFmt w:val="lowerLetter"/>
      <w:start w:val="2"/>
    </w:lvl>
    <w:lvl w:ilvl="1">
      <w:lvlJc w:val="left"/>
      <w:lvlText w:val="%2."/>
      <w:numFmt w:val="lowerRoman"/>
      <w:start w:val="1"/>
    </w:lvl>
  </w:abstractNum>
  <w:abstractNum w:abstractNumId="110">
    <w:nsid w:val="5BDA35D4"/>
    <w:multiLevelType w:val="hybridMultilevel"/>
    <w:lvl w:ilvl="0">
      <w:lvlJc w:val="left"/>
      <w:lvlText w:val="%1."/>
      <w:numFmt w:val="lowerLetter"/>
      <w:start w:val="1"/>
    </w:lvl>
    <w:lvl w:ilvl="1">
      <w:lvlJc w:val="left"/>
      <w:lvlText w:val="%2."/>
      <w:numFmt w:val="lowerRoman"/>
      <w:start w:val="1"/>
    </w:lvl>
  </w:abstractNum>
  <w:abstractNum w:abstractNumId="111">
    <w:nsid w:val="496FB218"/>
    <w:multiLevelType w:val="hybridMultilevel"/>
    <w:lvl w:ilvl="0">
      <w:lvlJc w:val="left"/>
      <w:lvlText w:val="%1."/>
      <w:numFmt w:val="lowerLetter"/>
      <w:start w:val="3"/>
    </w:lvl>
  </w:abstractNum>
  <w:abstractNum w:abstractNumId="112">
    <w:nsid w:val="680EA5D1"/>
    <w:multiLevelType w:val="hybridMultilevel"/>
    <w:lvl w:ilvl="0">
      <w:lvlJc w:val="left"/>
      <w:lvlText w:val="%1."/>
      <w:numFmt w:val="lowerLetter"/>
      <w:start w:val="1"/>
    </w:lvl>
  </w:abstractNum>
  <w:abstractNum w:abstractNumId="113">
    <w:nsid w:val="4A9554FE"/>
    <w:multiLevelType w:val="hybridMultilevel"/>
    <w:lvl w:ilvl="0">
      <w:lvlJc w:val="left"/>
      <w:lvlText w:val="%1."/>
      <w:numFmt w:val="lowerLetter"/>
      <w:start w:val="6"/>
    </w:lvl>
  </w:abstractNum>
  <w:abstractNum w:abstractNumId="114">
    <w:nsid w:val="392EDBE4"/>
    <w:multiLevelType w:val="hybridMultilevel"/>
    <w:lvl w:ilvl="0">
      <w:lvlJc w:val="left"/>
      <w:lvlText w:val="%1."/>
      <w:numFmt w:val="lowerLetter"/>
      <w:start w:val="1"/>
    </w:lvl>
    <w:lvl w:ilvl="1">
      <w:lvlJc w:val="left"/>
      <w:lvlText w:val="%2."/>
      <w:numFmt w:val="lowerRoman"/>
      <w:start w:val="1"/>
    </w:lvl>
  </w:abstractNum>
  <w:abstractNum w:abstractNumId="115">
    <w:nsid w:val="3D1A2DD9"/>
    <w:multiLevelType w:val="hybridMultilevel"/>
    <w:lvl w:ilvl="0">
      <w:lvlJc w:val="left"/>
      <w:lvlText w:val="%1."/>
      <w:numFmt w:val="lowerRoman"/>
      <w:start w:val="3"/>
    </w:lvl>
  </w:abstractNum>
  <w:abstractNum w:abstractNumId="116">
    <w:nsid w:val="7F618FCD"/>
    <w:multiLevelType w:val="hybridMultilevel"/>
    <w:lvl w:ilvl="0">
      <w:lvlJc w:val="left"/>
      <w:lvlText w:val="%1"/>
      <w:numFmt w:val="lowerLetter"/>
      <w:start w:val="1"/>
    </w:lvl>
    <w:lvl w:ilvl="1">
      <w:lvlJc w:val="left"/>
      <w:lvlText w:val="%2."/>
      <w:numFmt w:val="lowerRoman"/>
      <w:start w:val="9"/>
    </w:lvl>
    <w:lvl w:ilvl="2">
      <w:lvlJc w:val="left"/>
      <w:lvlText w:val="%3"/>
      <w:numFmt w:val="decimal"/>
      <w:start w:val="1"/>
    </w:lvl>
  </w:abstractNum>
  <w:abstractNum w:abstractNumId="117">
    <w:nsid w:val="7843E4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8">
    <w:nsid w:val="9815DA3"/>
    <w:multiLevelType w:val="hybridMultilevel"/>
    <w:lvl w:ilvl="0">
      <w:lvlJc w:val="left"/>
      <w:lvlText w:val="%1"/>
      <w:numFmt w:val="lowerRoman"/>
      <w:start w:val="1"/>
    </w:lvl>
    <w:lvl w:ilvl="1">
      <w:lvlJc w:val="left"/>
      <w:lvlText w:val="%2."/>
      <w:numFmt w:val="decimal"/>
      <w:start w:val="3"/>
    </w:lvl>
  </w:abstractNum>
  <w:abstractNum w:abstractNumId="119">
    <w:nsid w:val="5204A191"/>
    <w:multiLevelType w:val="hybridMultilevel"/>
    <w:lvl w:ilvl="0">
      <w:lvlJc w:val="left"/>
      <w:lvlText w:val="%1."/>
      <w:numFmt w:val="lowerRoman"/>
      <w:start w:val="2"/>
    </w:lvl>
    <w:lvl w:ilvl="1">
      <w:lvlJc w:val="left"/>
      <w:lvlText w:val="%2."/>
      <w:numFmt w:val="decimal"/>
      <w:start w:val="1"/>
    </w:lvl>
  </w:abstractNum>
  <w:abstractNum w:abstractNumId="120">
    <w:nsid w:val="4C73A9C6"/>
    <w:multiLevelType w:val="hybridMultilevel"/>
    <w:lvl w:ilvl="0">
      <w:lvlJc w:val="left"/>
      <w:lvlText w:val="%1."/>
      <w:numFmt w:val="lowerLetter"/>
      <w:start w:val="1"/>
    </w:lvl>
  </w:abstractNum>
  <w:abstractNum w:abstractNumId="121">
    <w:nsid w:val="1C7E3C01"/>
    <w:multiLevelType w:val="hybridMultilevel"/>
    <w:lvl w:ilvl="0">
      <w:lvlJc w:val="left"/>
      <w:lvlText w:val="%1."/>
      <w:numFmt w:val="lowerLetter"/>
      <w:start w:val="2"/>
    </w:lvl>
  </w:abstractNum>
  <w:abstractNum w:abstractNumId="122">
    <w:nsid w:val="1C2201FF"/>
    <w:multiLevelType w:val="hybridMultilevel"/>
    <w:lvl w:ilvl="0">
      <w:lvlJc w:val="left"/>
      <w:lvlText w:val="%1."/>
      <w:numFmt w:val="lowerLetter"/>
      <w:start w:val="1"/>
    </w:lvl>
  </w:abstractNum>
  <w:abstractNum w:abstractNumId="123">
    <w:nsid w:val="50ABCEC9"/>
    <w:multiLevelType w:val="hybridMultilevel"/>
    <w:lvl w:ilvl="0">
      <w:lvlJc w:val="left"/>
      <w:lvlText w:val="%1."/>
      <w:numFmt w:val="lowerLetter"/>
      <w:start w:val="1"/>
    </w:lvl>
    <w:lvl w:ilvl="1">
      <w:lvlJc w:val="left"/>
      <w:lvlText w:val="%2."/>
      <w:numFmt w:val="lowerRoman"/>
      <w:start w:val="1"/>
    </w:lvl>
  </w:abstractNum>
  <w:abstractNum w:abstractNumId="124">
    <w:nsid w:val="7635AA2A"/>
    <w:multiLevelType w:val="hybridMultilevel"/>
    <w:lvl w:ilvl="0">
      <w:lvlJc w:val="left"/>
      <w:lvlText w:val="%1."/>
      <w:numFmt w:val="lowerLetter"/>
      <w:start w:val="2"/>
    </w:lvl>
    <w:lvl w:ilvl="1">
      <w:lvlJc w:val="left"/>
      <w:lvlText w:val="%2."/>
      <w:numFmt w:val="lowerRoman"/>
      <w:start w:val="1"/>
    </w:lvl>
  </w:abstractNum>
  <w:abstractNum w:abstractNumId="125">
    <w:nsid w:val="5E74C4D9"/>
    <w:multiLevelType w:val="hybridMultilevel"/>
    <w:lvl w:ilvl="0">
      <w:lvlJc w:val="left"/>
      <w:lvlText w:val="%1."/>
      <w:numFmt w:val="lowerLetter"/>
      <w:start w:val="1"/>
    </w:lvl>
  </w:abstractNum>
  <w:abstractNum w:abstractNumId="126">
    <w:nsid w:val="3B3EBE15"/>
    <w:multiLevelType w:val="hybridMultilevel"/>
    <w:lvl w:ilvl="0">
      <w:lvlJc w:val="left"/>
      <w:lvlText w:val="%1"/>
      <w:numFmt w:val="lowerLetter"/>
      <w:start w:val="1"/>
    </w:lvl>
    <w:lvl w:ilvl="1">
      <w:lvlJc w:val="left"/>
      <w:lvlText w:val="%2."/>
      <w:numFmt w:val="lowerRoman"/>
      <w:start w:val="1"/>
    </w:lvl>
  </w:abstractNum>
  <w:abstractNum w:abstractNumId="127">
    <w:nsid w:val="3822CB01"/>
    <w:multiLevelType w:val="hybridMultilevel"/>
    <w:lvl w:ilvl="0">
      <w:lvlJc w:val="left"/>
      <w:lvlText w:val="%1."/>
      <w:numFmt w:val="lowerLetter"/>
      <w:start w:val="2"/>
    </w:lvl>
    <w:lvl w:ilvl="1">
      <w:lvlJc w:val="left"/>
      <w:lvlText w:val="%2."/>
      <w:numFmt w:val="lowerRoman"/>
      <w:start w:val="1"/>
    </w:lvl>
  </w:abstractNum>
  <w:abstractNum w:abstractNumId="128">
    <w:nsid w:val="6CE00443"/>
    <w:multiLevelType w:val="hybridMultilevel"/>
    <w:lvl w:ilvl="0">
      <w:lvlJc w:val="left"/>
      <w:lvlText w:val="%1."/>
      <w:numFmt w:val="lowerLetter"/>
      <w:start w:val="3"/>
    </w:lvl>
  </w:abstractNum>
  <w:abstractNum w:abstractNumId="129">
    <w:nsid w:val="79F0D62F"/>
    <w:multiLevelType w:val="hybridMultilevel"/>
    <w:lvl w:ilvl="0">
      <w:lvlJc w:val="left"/>
      <w:lvlText w:val="%1."/>
      <w:numFmt w:val="lowerLetter"/>
      <w:start w:val="4"/>
    </w:lvl>
    <w:lvl w:ilvl="1">
      <w:lvlJc w:val="left"/>
      <w:lvlText w:val="%2."/>
      <w:numFmt w:val="lowerRoman"/>
      <w:start w:val="1"/>
    </w:lvl>
  </w:abstractNum>
  <w:abstractNum w:abstractNumId="130">
    <w:nsid w:val="7975E8EE"/>
    <w:multiLevelType w:val="hybridMultilevel"/>
    <w:lvl w:ilvl="0">
      <w:lvlJc w:val="left"/>
      <w:lvlText w:val="%1."/>
      <w:numFmt w:val="lowerLetter"/>
      <w:start w:val="8"/>
    </w:lvl>
    <w:lvl w:ilvl="1">
      <w:lvlJc w:val="left"/>
      <w:lvlText w:val="%2."/>
      <w:numFmt w:val="lowerRoman"/>
      <w:start w:val="1"/>
    </w:lvl>
  </w:abstractNum>
  <w:abstractNum w:abstractNumId="131">
    <w:nsid w:val="73154115"/>
    <w:multiLevelType w:val="hybridMultilevel"/>
    <w:lvl w:ilvl="0">
      <w:lvlJc w:val="left"/>
      <w:lvlText w:val="%1."/>
      <w:numFmt w:val="lowerLetter"/>
      <w:start w:val="1"/>
    </w:lvl>
  </w:abstractNum>
  <w:abstractNum w:abstractNumId="132">
    <w:nsid w:val="622D8102"/>
    <w:multiLevelType w:val="hybridMultilevel"/>
    <w:lvl w:ilvl="0">
      <w:lvlJc w:val="left"/>
      <w:lvlText w:val="%1"/>
      <w:numFmt w:val="lowerLetter"/>
      <w:start w:val="1"/>
    </w:lvl>
    <w:lvl w:ilvl="1">
      <w:lvlJc w:val="left"/>
      <w:lvlText w:val="(%2)"/>
      <w:numFmt w:val="lowerRoman"/>
      <w:start w:val="2"/>
    </w:lvl>
  </w:abstractNum>
  <w:abstractNum w:abstractNumId="133">
    <w:nsid w:val="2AB26587"/>
    <w:multiLevelType w:val="hybridMultilevel"/>
    <w:lvl w:ilvl="0">
      <w:lvlJc w:val="left"/>
      <w:lvlText w:val="%1."/>
      <w:numFmt w:val="lowerLetter"/>
      <w:start w:val="5"/>
    </w:lvl>
    <w:lvl w:ilvl="1">
      <w:lvlJc w:val="left"/>
      <w:lvlText w:val="(%2)"/>
      <w:numFmt w:val="lowerRoman"/>
      <w:start w:val="1"/>
    </w:lvl>
  </w:abstractNum>
  <w:abstractNum w:abstractNumId="134">
    <w:nsid w:val="44B3FA61"/>
    <w:multiLevelType w:val="hybridMultilevel"/>
    <w:lvl w:ilvl="0">
      <w:lvlJc w:val="left"/>
      <w:lvlText w:val="%1."/>
      <w:numFmt w:val="lowerLetter"/>
      <w:start w:val="1"/>
    </w:lvl>
    <w:lvl w:ilvl="1">
      <w:lvlJc w:val="left"/>
      <w:lvlText w:val="%2."/>
      <w:numFmt w:val="lowerRoman"/>
      <w:start w:val="1"/>
    </w:lvl>
  </w:abstractNum>
  <w:abstractNum w:abstractNumId="135">
    <w:nsid w:val="1C0CA67C"/>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36">
    <w:nsid w:val="3D20661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37">
    <w:nsid w:val="7993B662"/>
    <w:multiLevelType w:val="hybridMultilevel"/>
    <w:lvl w:ilvl="0">
      <w:lvlJc w:val="left"/>
      <w:lvlText w:val="%1."/>
      <w:numFmt w:val="lowerLetter"/>
      <w:start w:val="4"/>
    </w:lvl>
    <w:lvl w:ilvl="1">
      <w:lvlJc w:val="left"/>
      <w:lvlText w:val="%2."/>
      <w:numFmt w:val="lowerRoman"/>
      <w:start w:val="1"/>
    </w:lvl>
  </w:abstractNum>
  <w:abstractNum w:abstractNumId="138">
    <w:nsid w:val="3BAB699E"/>
    <w:multiLevelType w:val="hybridMultilevel"/>
    <w:lvl w:ilvl="0">
      <w:lvlJc w:val="left"/>
      <w:lvlText w:val="%1"/>
      <w:numFmt w:val="lowerLetter"/>
      <w:start w:val="1"/>
    </w:lvl>
    <w:lvl w:ilvl="1">
      <w:lvlJc w:val="left"/>
      <w:lvlText w:val="%2."/>
      <w:numFmt w:val="lowerRoman"/>
      <w:start w:val="3"/>
    </w:lvl>
  </w:abstractNum>
  <w:abstractNum w:abstractNumId="139">
    <w:nsid w:val="71315369"/>
    <w:multiLevelType w:val="hybridMultilevel"/>
    <w:lvl w:ilvl="0">
      <w:lvlJc w:val="left"/>
      <w:lvlText w:val="%1."/>
      <w:numFmt w:val="lowerLetter"/>
      <w:start w:val="8"/>
    </w:lvl>
    <w:lvl w:ilvl="1">
      <w:lvlJc w:val="left"/>
      <w:lvlText w:val="%2."/>
      <w:numFmt w:val="lowerRoman"/>
      <w:start w:val="1"/>
    </w:lvl>
  </w:abstractNum>
  <w:abstractNum w:abstractNumId="140">
    <w:nsid w:val="7BCFBAFC"/>
    <w:multiLevelType w:val="hybridMultilevel"/>
    <w:lvl w:ilvl="0">
      <w:lvlJc w:val="left"/>
      <w:lvlText w:val="%1"/>
      <w:numFmt w:val="lowerRoman"/>
      <w:start w:val="1"/>
    </w:lvl>
    <w:lvl w:ilvl="1">
      <w:lvlJc w:val="left"/>
      <w:lvlText w:val="%2."/>
      <w:numFmt w:val="lowerRoman"/>
      <w:start w:val="2"/>
    </w:lvl>
  </w:abstractNum>
  <w:abstractNum w:abstractNumId="141">
    <w:nsid w:val="17859F72"/>
    <w:multiLevelType w:val="hybridMultilevel"/>
    <w:lvl w:ilvl="0">
      <w:lvlJc w:val="left"/>
      <w:lvlText w:val="%1."/>
      <w:numFmt w:val="lowerRoman"/>
      <w:start w:val="1"/>
    </w:lvl>
    <w:lvl w:ilvl="1">
      <w:lvlJc w:val="left"/>
      <w:lvlText w:val="%2."/>
      <w:numFmt w:val="lowerRoman"/>
      <w:start w:val="1"/>
    </w:lvl>
  </w:abstractNum>
  <w:abstractNum w:abstractNumId="142">
    <w:nsid w:val="3AA10581"/>
    <w:multiLevelType w:val="hybridMultilevel"/>
    <w:lvl w:ilvl="0">
      <w:lvlJc w:val="left"/>
      <w:lvlText w:val="%1."/>
      <w:numFmt w:val="lowerLetter"/>
      <w:start w:val="10"/>
    </w:lvl>
    <w:lvl w:ilvl="1">
      <w:lvlJc w:val="left"/>
      <w:lvlText w:val="%2."/>
      <w:numFmt w:val="lowerRoman"/>
      <w:start w:val="1"/>
    </w:lvl>
  </w:abstractNum>
  <w:abstractNum w:abstractNumId="143">
    <w:nsid w:val="63DE60CD"/>
    <w:multiLevelType w:val="hybridMultilevel"/>
    <w:lvl w:ilvl="0">
      <w:lvlJc w:val="left"/>
      <w:lvlText w:val="%1."/>
      <w:numFmt w:val="lowerLetter"/>
      <w:start w:val="1"/>
    </w:lvl>
    <w:lvl w:ilvl="1">
      <w:lvlJc w:val="left"/>
      <w:lvlText w:val="%2."/>
      <w:numFmt w:val="lowerRoman"/>
      <w:start w:val="1"/>
    </w:lvl>
  </w:abstractNum>
  <w:abstractNum w:abstractNumId="144">
    <w:nsid w:val="621AF471"/>
    <w:multiLevelType w:val="hybridMultilevel"/>
    <w:lvl w:ilvl="0">
      <w:lvlJc w:val="left"/>
      <w:lvlText w:val="%1."/>
      <w:numFmt w:val="lowerLetter"/>
      <w:start w:val="1"/>
    </w:lvl>
  </w:abstractNum>
  <w:abstractNum w:abstractNumId="145">
    <w:nsid w:val="73CFE165"/>
    <w:multiLevelType w:val="hybridMultilevel"/>
    <w:lvl w:ilvl="0">
      <w:lvlJc w:val="left"/>
      <w:lvlText w:val="%1."/>
      <w:numFmt w:val="lowerLetter"/>
      <w:start w:val="1"/>
    </w:lvl>
  </w:abstractNum>
  <w:abstractNum w:abstractNumId="146">
    <w:nsid w:val="20F88EA6"/>
    <w:multiLevelType w:val="hybridMultilevel"/>
    <w:lvl w:ilvl="0">
      <w:lvlJc w:val="left"/>
      <w:lvlText w:val="%1."/>
      <w:numFmt w:val="lowerLetter"/>
      <w:start w:val="4"/>
    </w:lvl>
    <w:lvl w:ilvl="1">
      <w:lvlJc w:val="left"/>
      <w:lvlText w:val="%2."/>
      <w:numFmt w:val="lowerRoman"/>
      <w:start w:val="1"/>
    </w:lvl>
  </w:abstractNum>
  <w:abstractNum w:abstractNumId="147">
    <w:nsid w:val="617C843E"/>
    <w:multiLevelType w:val="hybridMultilevel"/>
    <w:lvl w:ilvl="0">
      <w:lvlJc w:val="left"/>
      <w:lvlText w:val="%1."/>
      <w:numFmt w:val="lowerRoman"/>
      <w:start w:val="5"/>
    </w:lvl>
  </w:abstractNum>
  <w:abstractNum w:abstractNumId="148">
    <w:nsid w:val="7B541FAB"/>
    <w:multiLevelType w:val="hybridMultilevel"/>
    <w:lvl w:ilvl="0">
      <w:lvlJc w:val="left"/>
      <w:lvlText w:val="%1."/>
      <w:numFmt w:val="lowerLetter"/>
      <w:start w:val="1"/>
    </w:lvl>
    <w:lvl w:ilvl="1">
      <w:lvlJc w:val="left"/>
      <w:lvlText w:val="%2."/>
      <w:numFmt w:val="lowerRoman"/>
      <w:start w:val="1"/>
    </w:lvl>
  </w:abstractNum>
  <w:abstractNum w:abstractNumId="149">
    <w:nsid w:val="2A79EC49"/>
    <w:multiLevelType w:val="hybridMultilevel"/>
    <w:lvl w:ilvl="0">
      <w:lvlJc w:val="left"/>
      <w:lvlText w:val="%1"/>
      <w:numFmt w:val="lowerLetter"/>
      <w:start w:val="1"/>
    </w:lvl>
    <w:lvl w:ilvl="1">
      <w:lvlJc w:val="left"/>
      <w:lvlText w:val="%2."/>
      <w:numFmt w:val="lowerLetter"/>
      <w:start w:val="35"/>
    </w:lvl>
  </w:abstractNum>
  <w:abstractNum w:abstractNumId="150">
    <w:nsid w:val="338125CF"/>
    <w:multiLevelType w:val="hybridMultilevel"/>
    <w:lvl w:ilvl="0">
      <w:lvlJc w:val="left"/>
      <w:lvlText w:val="%1."/>
      <w:numFmt w:val="lowerLetter"/>
      <w:start w:val="2"/>
    </w:lvl>
    <w:lvl w:ilvl="1">
      <w:lvlJc w:val="left"/>
      <w:lvlText w:val="%2."/>
      <w:numFmt w:val="lowerLetter"/>
      <w:start w:val="9"/>
    </w:lvl>
  </w:abstractNum>
  <w:abstractNum w:abstractNumId="151">
    <w:nsid w:val="47C7C971"/>
    <w:multiLevelType w:val="hybridMultilevel"/>
    <w:lvl w:ilvl="0">
      <w:lvlJc w:val="left"/>
      <w:lvlText w:val="%1"/>
      <w:numFmt w:val="lowerLetter"/>
      <w:start w:val="1"/>
    </w:lvl>
    <w:lvl w:ilvl="1">
      <w:lvlJc w:val="left"/>
      <w:lvlText w:val="%2."/>
      <w:numFmt w:val="lowerRoman"/>
      <w:start w:val="2"/>
    </w:lvl>
  </w:abstractNum>
  <w:abstractNum w:abstractNumId="152">
    <w:nsid w:val="46F8284B"/>
    <w:multiLevelType w:val="hybridMultilevel"/>
    <w:lvl w:ilvl="0">
      <w:lvlJc w:val="left"/>
      <w:lvlText w:val="%1."/>
      <w:numFmt w:val="lowerLetter"/>
      <w:start w:val="3"/>
    </w:lvl>
    <w:lvl w:ilvl="1">
      <w:lvlJc w:val="left"/>
      <w:lvlText w:val="%2."/>
      <w:numFmt w:val="lowerRoman"/>
      <w:start w:val="1"/>
    </w:lvl>
  </w:abstractNum>
  <w:abstractNum w:abstractNumId="153">
    <w:nsid w:val="4FA327CE"/>
    <w:multiLevelType w:val="hybridMultilevel"/>
    <w:lvl w:ilvl="0">
      <w:lvlJc w:val="left"/>
      <w:lvlText w:val="%1"/>
      <w:numFmt w:val="lowerLetter"/>
      <w:start w:val="1"/>
    </w:lvl>
    <w:lvl w:ilvl="1">
      <w:lvlJc w:val="left"/>
      <w:lvlText w:val="%2."/>
      <w:numFmt w:val="lowerRoman"/>
      <w:start w:val="4"/>
    </w:lvl>
  </w:abstractNum>
  <w:abstractNum w:abstractNumId="154">
    <w:nsid w:val="1873983A"/>
    <w:multiLevelType w:val="hybridMultilevel"/>
    <w:lvl w:ilvl="0">
      <w:lvlJc w:val="left"/>
      <w:lvlText w:val="%1."/>
      <w:numFmt w:val="lowerLetter"/>
      <w:start w:val="4"/>
    </w:lvl>
    <w:lvl w:ilvl="1">
      <w:lvlJc w:val="left"/>
      <w:lvlText w:val="%2."/>
      <w:numFmt w:val="lowerRoman"/>
      <w:start w:val="1"/>
    </w:lvl>
  </w:abstractNum>
  <w:abstractNum w:abstractNumId="155">
    <w:nsid w:val="3D2DD275"/>
    <w:multiLevelType w:val="hybridMultilevel"/>
    <w:lvl w:ilvl="0">
      <w:lvlJc w:val="left"/>
      <w:lvlText w:val="%1"/>
      <w:numFmt w:val="lowerLetter"/>
      <w:start w:val="1"/>
    </w:lvl>
    <w:lvl w:ilvl="1">
      <w:lvlJc w:val="left"/>
      <w:lvlText w:val="%2."/>
      <w:numFmt w:val="lowerRoman"/>
      <w:start w:val="4"/>
    </w:lvl>
  </w:abstractNum>
  <w:abstractNum w:abstractNumId="156">
    <w:nsid w:val="2E17ECA7"/>
    <w:multiLevelType w:val="hybridMultilevel"/>
    <w:lvl w:ilvl="0">
      <w:lvlJc w:val="left"/>
      <w:lvlText w:val="%1."/>
      <w:numFmt w:val="lowerLetter"/>
      <w:start w:val="5"/>
    </w:lvl>
    <w:lvl w:ilvl="1">
      <w:lvlJc w:val="left"/>
      <w:lvlText w:val="%2."/>
      <w:numFmt w:val="lowerRoman"/>
      <w:start w:val="1"/>
    </w:lvl>
  </w:abstractNum>
  <w:abstractNum w:abstractNumId="157">
    <w:nsid w:val="53B2564F"/>
    <w:multiLevelType w:val="hybridMultilevel"/>
    <w:lvl w:ilvl="0">
      <w:lvlJc w:val="left"/>
      <w:lvlText w:val="%1."/>
      <w:numFmt w:val="lowerRoman"/>
      <w:start w:val="4"/>
    </w:lvl>
  </w:abstractNum>
  <w:abstractNum w:abstractNumId="158">
    <w:nsid w:val="75509D76"/>
    <w:multiLevelType w:val="hybridMultilevel"/>
    <w:lvl w:ilvl="0">
      <w:lvlJc w:val="left"/>
      <w:lvlText w:val="%1."/>
      <w:numFmt w:val="lowerLetter"/>
      <w:start w:val="1"/>
    </w:lvl>
  </w:abstractNum>
  <w:abstractNum w:abstractNumId="159">
    <w:nsid w:val="1AF7F0EA"/>
    <w:multiLevelType w:val="hybridMultilevel"/>
    <w:lvl w:ilvl="0">
      <w:lvlJc w:val="left"/>
      <w:lvlText w:val="%1."/>
      <w:numFmt w:val="lowerLetter"/>
      <w:start w:val="3"/>
    </w:lvl>
  </w:abstractNum>
  <w:abstractNum w:abstractNumId="160">
    <w:nsid w:val="4DA32C7E"/>
    <w:multiLevelType w:val="hybridMultilevel"/>
    <w:lvl w:ilvl="0">
      <w:lvlJc w:val="left"/>
      <w:lvlText w:val="%1."/>
      <w:numFmt w:val="lowerLetter"/>
      <w:start w:val="1"/>
    </w:lvl>
  </w:abstractNum>
  <w:abstractNum w:abstractNumId="161">
    <w:nsid w:val="6EC68664"/>
    <w:multiLevelType w:val="hybridMultilevel"/>
    <w:lvl w:ilvl="0">
      <w:lvlJc w:val="left"/>
      <w:lvlText w:val="%1."/>
      <w:numFmt w:val="lowerLetter"/>
      <w:start w:val="3"/>
    </w:lvl>
  </w:abstractNum>
  <w:abstractNum w:abstractNumId="162">
    <w:nsid w:val="E0D31FF"/>
    <w:multiLevelType w:val="hybridMultilevel"/>
    <w:lvl w:ilvl="0">
      <w:lvlJc w:val="left"/>
      <w:lvlText w:val="%1."/>
      <w:numFmt w:val="lowerLetter"/>
      <w:start w:val="3"/>
    </w:lvl>
  </w:abstractNum>
  <w:abstractNum w:abstractNumId="163">
    <w:nsid w:val="2FD0AD81"/>
    <w:multiLevelType w:val="hybridMultilevel"/>
    <w:lvl w:ilvl="0">
      <w:lvlJc w:val="left"/>
      <w:lvlText w:val="%1."/>
      <w:numFmt w:val="lowerLetter"/>
      <w:start w:val="1"/>
    </w:lvl>
    <w:lvl w:ilvl="1">
      <w:lvlJc w:val="left"/>
      <w:lvlText w:val="%2."/>
      <w:numFmt w:val="lowerRoman"/>
      <w:start w:val="1"/>
    </w:lvl>
  </w:abstractNum>
  <w:abstractNum w:abstractNumId="164">
    <w:nsid w:val="1978EBEB"/>
    <w:multiLevelType w:val="hybridMultilevel"/>
    <w:lvl w:ilvl="0">
      <w:lvlJc w:val="left"/>
      <w:lvlText w:val="%1."/>
      <w:numFmt w:val="lowerRoman"/>
      <w:start w:val="2"/>
    </w:lvl>
  </w:abstractNum>
  <w:abstractNum w:abstractNumId="165">
    <w:nsid w:val="52C12C61"/>
    <w:multiLevelType w:val="hybridMultilevel"/>
    <w:lvl w:ilvl="0">
      <w:lvlJc w:val="left"/>
      <w:lvlText w:val="%1."/>
      <w:numFmt w:val="lowerLetter"/>
      <w:start w:val="1"/>
    </w:lvl>
    <w:lvl w:ilvl="1">
      <w:lvlJc w:val="left"/>
      <w:lvlText w:val="%2."/>
      <w:numFmt w:val="lowerRoman"/>
      <w:start w:val="1"/>
    </w:lvl>
  </w:abstractNum>
  <w:abstractNum w:abstractNumId="166">
    <w:nsid w:val="4BDD53FD"/>
    <w:multiLevelType w:val="hybridMultilevel"/>
    <w:lvl w:ilvl="0">
      <w:lvlJc w:val="left"/>
      <w:lvlText w:val="%1"/>
      <w:numFmt w:val="lowerLetter"/>
      <w:start w:val="1"/>
    </w:lvl>
    <w:lvl w:ilvl="1">
      <w:lvlJc w:val="left"/>
      <w:lvlText w:val="%2."/>
      <w:numFmt w:val="lowerLetter"/>
      <w:start w:val="22"/>
    </w:lvl>
  </w:abstractNum>
  <w:abstractNum w:abstractNumId="167">
    <w:nsid w:val="569951FE"/>
    <w:multiLevelType w:val="hybridMultilevel"/>
    <w:lvl w:ilvl="0">
      <w:lvlJc w:val="left"/>
      <w:lvlText w:val="%1."/>
      <w:numFmt w:val="lowerLetter"/>
      <w:start w:val="2"/>
    </w:lvl>
    <w:lvl w:ilvl="1">
      <w:lvlJc w:val="left"/>
      <w:lvlText w:val="%2."/>
      <w:numFmt w:val="lowerLetter"/>
      <w:start w:val="9"/>
    </w:lvl>
  </w:abstractNum>
  <w:abstractNum w:abstractNumId="168">
    <w:nsid w:val="4C54E2C3"/>
    <w:multiLevelType w:val="hybridMultilevel"/>
    <w:lvl w:ilvl="0">
      <w:lvlJc w:val="left"/>
      <w:lvlText w:val="%1."/>
      <w:numFmt w:val="lowerRoman"/>
      <w:start w:val="2"/>
    </w:lvl>
    <w:lvl w:ilvl="1">
      <w:lvlJc w:val="left"/>
      <w:lvlText w:val="(%2)"/>
      <w:numFmt w:val="decimal"/>
      <w:start w:val="1"/>
    </w:lvl>
  </w:abstractNum>
  <w:abstractNum w:abstractNumId="169">
    <w:nsid w:val="788BD9B"/>
    <w:multiLevelType w:val="hybridMultilevel"/>
    <w:lvl w:ilvl="0">
      <w:lvlJc w:val="left"/>
      <w:lvlText w:val="%1"/>
      <w:numFmt w:val="lowerRoman"/>
      <w:start w:val="1"/>
    </w:lvl>
    <w:lvl w:ilvl="1">
      <w:lvlJc w:val="left"/>
      <w:lvlText w:val="(%2)"/>
      <w:numFmt w:val="decimal"/>
      <w:start w:val="10"/>
    </w:lvl>
  </w:abstractNum>
  <w:abstractNum w:abstractNumId="170">
    <w:nsid w:val="47CAA567"/>
    <w:multiLevelType w:val="hybridMultilevel"/>
    <w:lvl w:ilvl="0">
      <w:lvlJc w:val="left"/>
      <w:lvlText w:val="%1."/>
      <w:numFmt w:val="lowerRoman"/>
      <w:start w:val="4"/>
    </w:lvl>
  </w:abstractNum>
  <w:abstractNum w:abstractNumId="171">
    <w:nsid w:val="48249DBF"/>
    <w:multiLevelType w:val="hybridMultilevel"/>
    <w:lvl w:ilvl="0">
      <w:lvlJc w:val="left"/>
      <w:lvlText w:val="%1."/>
      <w:numFmt w:val="lowerLetter"/>
      <w:start w:val="1"/>
    </w:lvl>
    <w:lvl w:ilvl="1">
      <w:lvlJc w:val="left"/>
      <w:lvlText w:val="%2."/>
      <w:numFmt w:val="lowerRoman"/>
      <w:start w:val="1"/>
    </w:lvl>
  </w:abstractNum>
  <w:abstractNum w:abstractNumId="172">
    <w:nsid w:val="1F0E5D0D"/>
    <w:multiLevelType w:val="hybridMultilevel"/>
    <w:lvl w:ilvl="0">
      <w:lvlJc w:val="left"/>
      <w:lvlText w:val="%1."/>
      <w:numFmt w:val="lowerRoman"/>
      <w:start w:val="3"/>
    </w:lvl>
  </w:abstractNum>
  <w:abstractNum w:abstractNumId="173">
    <w:nsid w:val="26BAAE9"/>
    <w:multiLevelType w:val="hybridMultilevel"/>
    <w:lvl w:ilvl="0">
      <w:lvlJc w:val="left"/>
      <w:lvlText w:val="%1."/>
      <w:numFmt w:val="lowerLetter"/>
      <w:start w:val="1"/>
    </w:lvl>
  </w:abstractNum>
  <w:abstractNum w:abstractNumId="174">
    <w:nsid w:val="2C02FE8C"/>
    <w:multiLevelType w:val="hybridMultilevel"/>
    <w:lvl w:ilvl="0">
      <w:lvlJc w:val="left"/>
      <w:lvlText w:val="%1."/>
      <w:numFmt w:val="lowerLetter"/>
      <w:start w:val="3"/>
    </w:lvl>
    <w:lvl w:ilvl="1">
      <w:lvlJc w:val="left"/>
      <w:lvlText w:val="%2."/>
      <w:numFmt w:val="lowerRoman"/>
      <w:start w:val="1"/>
    </w:lvl>
  </w:abstractNum>
  <w:abstractNum w:abstractNumId="175">
    <w:nsid w:val="129517E"/>
    <w:multiLevelType w:val="hybridMultilevel"/>
    <w:lvl w:ilvl="0">
      <w:lvlJc w:val="left"/>
      <w:lvlText w:val="%1"/>
      <w:numFmt w:val="lowerLetter"/>
      <w:start w:val="1"/>
    </w:lvl>
    <w:lvl w:ilvl="1">
      <w:lvlJc w:val="left"/>
      <w:lvlText w:val="%2."/>
      <w:numFmt w:val="lowerRoman"/>
      <w:start w:val="1"/>
    </w:lvl>
  </w:abstractNum>
  <w:abstractNum w:abstractNumId="176">
    <w:nsid w:val="763B8C4E"/>
    <w:multiLevelType w:val="hybridMultilevel"/>
    <w:lvl w:ilvl="0">
      <w:lvlJc w:val="left"/>
      <w:lvlText w:val="%1."/>
      <w:numFmt w:val="lowerLetter"/>
      <w:start w:val="6"/>
    </w:lvl>
    <w:lvl w:ilvl="1">
      <w:lvlJc w:val="left"/>
      <w:lvlText w:val="%2"/>
      <w:numFmt w:val="lowerRoman"/>
      <w:start w:val="1"/>
    </w:lvl>
  </w:abstractNum>
  <w:abstractNum w:abstractNumId="177">
    <w:nsid w:val="4CFB8D32"/>
    <w:multiLevelType w:val="hybridMultilevel"/>
    <w:lvl w:ilvl="0">
      <w:lvlJc w:val="left"/>
      <w:lvlText w:val="%1."/>
      <w:numFmt w:val="lowerLetter"/>
      <w:start w:val="1"/>
    </w:lvl>
  </w:abstractNum>
  <w:abstractNum w:abstractNumId="178">
    <w:nsid w:val="62A5D5BD"/>
    <w:multiLevelType w:val="hybridMultilevel"/>
    <w:lvl w:ilvl="0">
      <w:lvlJc w:val="left"/>
      <w:lvlText w:val="%1."/>
      <w:numFmt w:val="lowerLetter"/>
      <w:start w:val="2"/>
    </w:lvl>
    <w:lvl w:ilvl="1">
      <w:lvlJc w:val="left"/>
      <w:lvlText w:val="%2."/>
      <w:numFmt w:val="lowerRoman"/>
      <w:start w:val="1"/>
    </w:lvl>
  </w:abstractNum>
  <w:abstractNum w:abstractNumId="179">
    <w:nsid w:val="718FABF9"/>
    <w:multiLevelType w:val="hybridMultilevel"/>
    <w:lvl w:ilvl="0">
      <w:lvlJc w:val="left"/>
      <w:lvlText w:val="%1"/>
      <w:numFmt w:val="lowerLetter"/>
      <w:start w:val="1"/>
    </w:lvl>
    <w:lvl w:ilvl="1">
      <w:lvlJc w:val="left"/>
      <w:lvlText w:val="%2."/>
      <w:numFmt w:val="lowerRoman"/>
      <w:start w:val="2"/>
    </w:lvl>
  </w:abstractNum>
  <w:abstractNum w:abstractNumId="180">
    <w:nsid w:val="7775797C"/>
    <w:multiLevelType w:val="hybridMultilevel"/>
    <w:lvl w:ilvl="0">
      <w:lvlJc w:val="left"/>
      <w:lvlText w:val="%1."/>
      <w:numFmt w:val="lowerLetter"/>
      <w:start w:val="4"/>
    </w:lvl>
    <w:lvl w:ilvl="1">
      <w:lvlJc w:val="left"/>
      <w:lvlText w:val="%2"/>
      <w:numFmt w:val="lowerRoman"/>
      <w:start w:val="1"/>
    </w:lvl>
  </w:abstractNum>
  <w:abstractNum w:abstractNumId="181">
    <w:nsid w:val="1626FB8C"/>
    <w:multiLevelType w:val="hybridMultilevel"/>
    <w:lvl w:ilvl="0">
      <w:lvlJc w:val="left"/>
      <w:lvlText w:val="%1."/>
      <w:numFmt w:val="lowerLetter"/>
      <w:start w:val="1"/>
    </w:lvl>
  </w:abstractNum>
  <w:abstractNum w:abstractNumId="182">
    <w:nsid w:val="3957756A"/>
    <w:multiLevelType w:val="hybridMultilevel"/>
    <w:lvl w:ilvl="0">
      <w:lvlJc w:val="left"/>
      <w:lvlText w:val="%1"/>
      <w:numFmt w:val="lowerLetter"/>
      <w:start w:val="1"/>
    </w:lvl>
    <w:lvl w:ilvl="1">
      <w:lvlJc w:val="left"/>
      <w:lvlText w:val="(%2)"/>
      <w:numFmt w:val="decimal"/>
      <w:start w:val="30"/>
    </w:lvl>
  </w:abstractNum>
  <w:abstractNum w:abstractNumId="183">
    <w:nsid w:val="3E6DA1C7"/>
    <w:multiLevelType w:val="hybridMultilevel"/>
    <w:lvl w:ilvl="0">
      <w:lvlJc w:val="left"/>
      <w:lvlText w:val="%1."/>
      <w:numFmt w:val="lowerLetter"/>
      <w:start w:val="1"/>
    </w:lvl>
    <w:lvl w:ilvl="1">
      <w:lvlJc w:val="left"/>
      <w:lvlText w:val="%2"/>
      <w:numFmt w:val="decimal"/>
      <w:start w:val="1"/>
    </w:lvl>
  </w:abstractNum>
  <w:abstractNum w:abstractNumId="184">
    <w:nsid w:val="65CA235B"/>
    <w:multiLevelType w:val="hybridMultilevel"/>
    <w:lvl w:ilvl="0">
      <w:lvlJc w:val="left"/>
      <w:lvlText w:val="%1."/>
      <w:numFmt w:val="lowerLetter"/>
      <w:start w:val="1"/>
    </w:lvl>
  </w:abstractNum>
  <w:abstractNum w:abstractNumId="185">
    <w:nsid w:val="51CB0DA4"/>
    <w:multiLevelType w:val="hybridMultilevel"/>
    <w:lvl w:ilvl="0">
      <w:lvlJc w:val="left"/>
      <w:lvlText w:val="%1."/>
      <w:numFmt w:val="lowerLetter"/>
      <w:start w:val="1"/>
    </w:lvl>
    <w:lvl w:ilvl="1">
      <w:lvlJc w:val="left"/>
      <w:lvlText w:val="%2."/>
      <w:numFmt w:val="lowerRoman"/>
      <w:start w:val="1"/>
    </w:lvl>
  </w:abstractNum>
  <w:abstractNum w:abstractNumId="186">
    <w:nsid w:val="7B9B743C"/>
    <w:multiLevelType w:val="hybridMultilevel"/>
    <w:lvl w:ilvl="0">
      <w:lvlJc w:val="left"/>
      <w:lvlText w:val="%1."/>
      <w:numFmt w:val="lowerLetter"/>
      <w:start w:val="1"/>
    </w:lvl>
  </w:abstractNum>
  <w:abstractNum w:abstractNumId="187">
    <w:nsid w:val="13E21002"/>
    <w:multiLevelType w:val="hybridMultilevel"/>
    <w:lvl w:ilvl="0">
      <w:lvlJc w:val="left"/>
      <w:lvlText w:val="%1."/>
      <w:numFmt w:val="lowerLetter"/>
      <w:start w:val="3"/>
    </w:lvl>
  </w:abstractNum>
  <w:abstractNum w:abstractNumId="188">
    <w:nsid w:val="257D63F4"/>
    <w:multiLevelType w:val="hybridMultilevel"/>
    <w:lvl w:ilvl="0">
      <w:lvlJc w:val="left"/>
      <w:lvlText w:val="%1."/>
      <w:numFmt w:val="lowerLetter"/>
      <w:start w:val="1"/>
    </w:lvl>
    <w:lvl w:ilvl="1">
      <w:lvlJc w:val="left"/>
      <w:lvlText w:val="%2."/>
      <w:numFmt w:val="lowerRoman"/>
      <w:start w:val="1"/>
    </w:lvl>
  </w:abstractNum>
  <w:abstractNum w:abstractNumId="189">
    <w:nsid w:val="70EC11B2"/>
    <w:multiLevelType w:val="hybridMultilevel"/>
    <w:lvl w:ilvl="0">
      <w:lvlJc w:val="left"/>
      <w:lvlText w:val="%1."/>
      <w:numFmt w:val="lowerLetter"/>
      <w:start w:val="1"/>
    </w:lvl>
    <w:lvl w:ilvl="1">
      <w:lvlJc w:val="left"/>
      <w:lvlText w:val="%2."/>
      <w:numFmt w:val="lowerRoman"/>
      <w:start w:val="1"/>
    </w:lvl>
  </w:abstractNum>
  <w:abstractNum w:abstractNumId="190">
    <w:nsid w:val="2EDA00ED"/>
    <w:multiLevelType w:val="hybridMultilevel"/>
    <w:lvl w:ilvl="0">
      <w:lvlJc w:val="left"/>
      <w:lvlText w:val="%1."/>
      <w:numFmt w:val="lowerRoman"/>
      <w:start w:val="3"/>
    </w:lvl>
  </w:abstractNum>
  <w:abstractNum w:abstractNumId="191">
    <w:nsid w:val="73209072"/>
    <w:multiLevelType w:val="hybridMultilevel"/>
    <w:lvl w:ilvl="0">
      <w:lvlJc w:val="left"/>
      <w:lvlText w:val="%1."/>
      <w:numFmt w:val="lowerRoman"/>
      <w:start w:val="1"/>
    </w:lvl>
  </w:abstractNum>
  <w:abstractNum w:abstractNumId="192">
    <w:nsid w:val="5FB29816"/>
    <w:multiLevelType w:val="hybridMultilevel"/>
    <w:lvl w:ilvl="0">
      <w:lvlJc w:val="left"/>
      <w:lvlText w:val="%1."/>
      <w:numFmt w:val="lowerLetter"/>
      <w:start w:val="2"/>
    </w:lvl>
    <w:lvl w:ilvl="1">
      <w:lvlJc w:val="left"/>
      <w:lvlText w:val="%2."/>
      <w:numFmt w:val="lowerRoman"/>
      <w:start w:val="1"/>
    </w:lvl>
  </w:abstractNum>
  <w:abstractNum w:abstractNumId="193">
    <w:nsid w:val="3CE732E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94">
    <w:nsid w:val="22F13DF3"/>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195">
    <w:nsid w:val="792B8401"/>
    <w:multiLevelType w:val="hybridMultilevel"/>
    <w:lvl w:ilvl="0">
      <w:lvlJc w:val="left"/>
      <w:lvlText w:val="%1."/>
      <w:numFmt w:val="lowerRoman"/>
      <w:start w:val="3"/>
    </w:lvl>
  </w:abstractNum>
  <w:abstractNum w:abstractNumId="196">
    <w:nsid w:val="FA85F4D"/>
    <w:multiLevelType w:val="hybridMultilevel"/>
    <w:lvl w:ilvl="0">
      <w:lvlJc w:val="left"/>
      <w:lvlText w:val="%1."/>
      <w:numFmt w:val="lowerLetter"/>
      <w:start w:val="1"/>
    </w:lvl>
  </w:abstractNum>
  <w:abstractNum w:abstractNumId="197">
    <w:nsid w:val="6ECE91F0"/>
    <w:multiLevelType w:val="hybridMultilevel"/>
    <w:lvl w:ilvl="0">
      <w:lvlJc w:val="left"/>
      <w:lvlText w:val="%1."/>
      <w:numFmt w:val="lowerLetter"/>
      <w:start w:val="1"/>
    </w:lvl>
  </w:abstractNum>
  <w:abstractNum w:abstractNumId="198">
    <w:nsid w:val="4FC4D600"/>
    <w:multiLevelType w:val="hybridMultilevel"/>
    <w:lvl w:ilvl="0">
      <w:lvlJc w:val="left"/>
      <w:lvlText w:val="%1."/>
      <w:numFmt w:val="lowerLetter"/>
      <w:start w:val="2"/>
    </w:lvl>
    <w:lvl w:ilvl="1">
      <w:lvlJc w:val="left"/>
      <w:lvlText w:val="%2."/>
      <w:numFmt w:val="lowerRoman"/>
      <w:start w:val="1"/>
    </w:lvl>
  </w:abstractNum>
  <w:abstractNum w:abstractNumId="199">
    <w:nsid w:val="5BFD4210"/>
    <w:multiLevelType w:val="hybridMultilevel"/>
    <w:lvl w:ilvl="0">
      <w:lvlJc w:val="left"/>
      <w:lvlText w:val="%1."/>
      <w:numFmt w:val="lowerLetter"/>
      <w:start w:val="8"/>
    </w:lvl>
  </w:abstractNum>
  <w:abstractNum w:abstractNumId="200">
    <w:nsid w:val="76574F8B"/>
    <w:multiLevelType w:val="hybridMultilevel"/>
    <w:lvl w:ilvl="0">
      <w:lvlJc w:val="left"/>
      <w:lvlText w:val="%1."/>
      <w:numFmt w:val="lowerLetter"/>
      <w:start w:val="1"/>
    </w:lvl>
  </w:abstractNum>
  <w:abstractNum w:abstractNumId="201">
    <w:nsid w:val="178F7B67"/>
    <w:multiLevelType w:val="hybridMultilevel"/>
    <w:lvl w:ilvl="0">
      <w:lvlJc w:val="left"/>
      <w:lvlText w:val="%1."/>
      <w:numFmt w:val="lowerLetter"/>
      <w:start w:val="7"/>
    </w:lvl>
  </w:abstractNum>
  <w:abstractNum w:abstractNumId="202">
    <w:nsid w:val="2421DFCF"/>
    <w:multiLevelType w:val="hybridMultilevel"/>
    <w:lvl w:ilvl="0">
      <w:lvlJc w:val="left"/>
      <w:lvlText w:val="%1."/>
      <w:numFmt w:val="lowerLetter"/>
      <w:start w:val="1"/>
    </w:lvl>
  </w:abstractNum>
  <w:abstractNum w:abstractNumId="203">
    <w:nsid w:val="1565AC99"/>
    <w:multiLevelType w:val="hybridMultilevel"/>
    <w:lvl w:ilvl="0">
      <w:lvlJc w:val="left"/>
      <w:lvlText w:val="%1."/>
      <w:numFmt w:val="lowerLetter"/>
      <w:start w:val="3"/>
    </w:lvl>
  </w:abstractNum>
  <w:abstractNum w:abstractNumId="204">
    <w:nsid w:val="19FB2650"/>
    <w:multiLevelType w:val="hybridMultilevel"/>
    <w:lvl w:ilvl="0">
      <w:lvlJc w:val="left"/>
      <w:lvlText w:val="%1."/>
      <w:numFmt w:val="upperLetter"/>
      <w:start w:val="1"/>
    </w:lvl>
  </w:abstractNum>
  <w:abstractNum w:abstractNumId="205">
    <w:nsid w:val="5024DE5B"/>
    <w:multiLevelType w:val="hybridMultilevel"/>
    <w:lvl w:ilvl="0">
      <w:lvlJc w:val="left"/>
      <w:lvlText w:val="%1."/>
      <w:numFmt w:val="upperLetter"/>
      <w:start w:val="2"/>
    </w:lvl>
  </w:abstractNum>
  <w:abstractNum w:abstractNumId="206">
    <w:nsid w:val="168EFE17"/>
    <w:multiLevelType w:val="hybridMultilevel"/>
    <w:lvl w:ilvl="0">
      <w:lvlJc w:val="left"/>
      <w:lvlText w:val="%1."/>
      <w:numFmt w:val="lowerRoman"/>
      <w:start w:val="1"/>
    </w:lvl>
  </w:abstractNum>
  <w:abstractNum w:abstractNumId="207">
    <w:nsid w:val="1036B29F"/>
    <w:multiLevelType w:val="hybridMultilevel"/>
    <w:lvl w:ilvl="0">
      <w:lvlJc w:val="left"/>
      <w:lvlText w:val="%1."/>
      <w:numFmt w:val="lowerRoman"/>
      <w:start w:val="3"/>
    </w:lvl>
  </w:abstractNum>
  <w:abstractNum w:abstractNumId="208">
    <w:nsid w:val="1D206B8E"/>
    <w:multiLevelType w:val="hybridMultilevel"/>
    <w:lvl w:ilvl="0">
      <w:lvlJc w:val="left"/>
      <w:lvlText w:val="%1."/>
      <w:numFmt w:val="lowerRoman"/>
      <w:start w:val="4"/>
    </w:lvl>
  </w:abstractNum>
  <w:abstractNum w:abstractNumId="209">
    <w:nsid w:val="7934D3D4"/>
    <w:multiLevelType w:val="hybridMultilevel"/>
    <w:lvl w:ilvl="0">
      <w:lvlJc w:val="left"/>
      <w:lvlText w:val="%1."/>
      <w:numFmt w:val="lowerRoman"/>
      <w:start w:val="5"/>
    </w:lvl>
  </w:abstractNum>
  <w:abstractNum w:abstractNumId="210">
    <w:nsid w:val="1C65E98"/>
    <w:multiLevelType w:val="hybridMultilevel"/>
    <w:lvl w:ilvl="0">
      <w:lvlJc w:val="left"/>
      <w:lvlText w:val="%1."/>
      <w:numFmt w:val="lowerRoman"/>
      <w:start w:val="6"/>
    </w:lvl>
  </w:abstractNum>
  <w:abstractNum w:abstractNumId="211">
    <w:nsid w:val="1495E50A"/>
    <w:multiLevelType w:val="hybridMultilevel"/>
    <w:lvl w:ilvl="0">
      <w:lvlJc w:val="left"/>
      <w:lvlText w:val="%1."/>
      <w:numFmt w:val="decimal"/>
      <w:start w:val="1"/>
    </w:lvl>
    <w:lvl w:ilvl="1">
      <w:lvlJc w:val="left"/>
      <w:lvlText w:val="%2"/>
      <w:numFmt w:val="lowerLetter"/>
      <w:start w:val="1"/>
    </w:lvl>
  </w:abstractNum>
  <w:abstractNum w:abstractNumId="212">
    <w:nsid w:val="F5BCF61"/>
    <w:multiLevelType w:val="hybridMultilevel"/>
    <w:lvl w:ilvl="0">
      <w:lvlJc w:val="left"/>
      <w:lvlText w:val="%1."/>
      <w:numFmt w:val="lowerLetter"/>
      <w:start w:val="2"/>
    </w:lvl>
  </w:abstractNum>
  <w:abstractNum w:abstractNumId="213">
    <w:nsid w:val="3B1DD403"/>
    <w:multiLevelType w:val="hybridMultilevel"/>
    <w:lvl w:ilvl="0">
      <w:lvlJc w:val="left"/>
      <w:lvlText w:val="%1."/>
      <w:numFmt w:val="lowerLetter"/>
      <w:start w:val="3"/>
    </w:lvl>
  </w:abstractNum>
  <w:abstractNum w:abstractNumId="214">
    <w:nsid w:val="530386D1"/>
    <w:multiLevelType w:val="hybridMultilevel"/>
    <w:lvl w:ilvl="0">
      <w:lvlJc w:val="left"/>
      <w:lvlText w:val="%1."/>
      <w:numFmt w:val="decimal"/>
      <w:start w:val="8"/>
    </w:lvl>
  </w:abstractNum>
  <w:abstractNum w:abstractNumId="215">
    <w:nsid w:val="7525F2BC"/>
    <w:multiLevelType w:val="hybridMultilevel"/>
    <w:lvl w:ilvl="0">
      <w:lvlJc w:val="left"/>
      <w:lvlText w:val="%1."/>
      <w:numFmt w:val="decimal"/>
      <w:start w:val="9"/>
    </w:lvl>
  </w:abstractNum>
  <w:abstractNum w:abstractNumId="216">
    <w:nsid w:val="CE8E1A7"/>
    <w:multiLevelType w:val="hybridMultilevel"/>
    <w:lvl w:ilvl="0">
      <w:lvlJc w:val="left"/>
      <w:lvlText w:val="%1."/>
      <w:numFmt w:val="decimal"/>
      <w:start w:val="10"/>
    </w:lvl>
    <w:lvl w:ilvl="1">
      <w:lvlJc w:val="left"/>
      <w:lvlText w:val="•"/>
      <w:numFmt w:val="bullet"/>
      <w:start w:val="1"/>
    </w:lvl>
  </w:abstractNum>
  <w:abstractNum w:abstractNumId="217">
    <w:nsid w:val="4E9EFB0D"/>
    <w:multiLevelType w:val="hybridMultilevel"/>
    <w:lvl w:ilvl="0">
      <w:lvlJc w:val="left"/>
      <w:lvlText w:val="%1."/>
      <w:numFmt w:val="decimal"/>
      <w:start w:val="11"/>
    </w:lvl>
    <w:lvl w:ilvl="1">
      <w:lvlJc w:val="left"/>
      <w:lvlText w:val="•"/>
      <w:numFmt w:val="bullet"/>
      <w:start w:val="1"/>
    </w:lvl>
  </w:abstractNum>
  <w:abstractNum w:abstractNumId="218">
    <w:nsid w:val="90802BE"/>
    <w:multiLevelType w:val="hybridMultilevel"/>
    <w:lvl w:ilvl="0">
      <w:lvlJc w:val="left"/>
      <w:lvlText w:val="%1."/>
      <w:numFmt w:val="decimal"/>
      <w:start w:val="13"/>
    </w:lvl>
  </w:abstractNum>
  <w:abstractNum w:abstractNumId="219">
    <w:nsid w:val="3266459B"/>
    <w:multiLevelType w:val="hybridMultilevel"/>
    <w:lvl w:ilvl="0">
      <w:lvlJc w:val="left"/>
      <w:lvlText w:val="%1."/>
      <w:numFmt w:val="decimal"/>
      <w:start w:val="14"/>
    </w:lvl>
  </w:abstractNum>
  <w:abstractNum w:abstractNumId="220">
    <w:nsid w:val="3F8B0CBF"/>
    <w:multiLevelType w:val="hybridMultilevel"/>
    <w:lvl w:ilvl="0">
      <w:lvlJc w:val="left"/>
      <w:lvlText w:val="%1."/>
      <w:numFmt w:val="lowerLetter"/>
      <w:start w:val="1"/>
    </w:lvl>
  </w:abstractNum>
  <w:abstractNum w:abstractNumId="221">
    <w:nsid w:val="37E203AB"/>
    <w:multiLevelType w:val="hybridMultilevel"/>
    <w:lvl w:ilvl="0">
      <w:lvlJc w:val="left"/>
      <w:lvlText w:val="%1."/>
      <w:numFmt w:val="lowerLetter"/>
      <w:start w:val="2"/>
    </w:lvl>
  </w:abstractNum>
  <w:abstractNum w:abstractNumId="222">
    <w:nsid w:val="2586D60E"/>
    <w:multiLevelType w:val="hybridMultilevel"/>
    <w:lvl w:ilvl="0">
      <w:lvlJc w:val="left"/>
      <w:lvlText w:val="%1."/>
      <w:numFmt w:val="lowerRoman"/>
      <w:start w:val="1"/>
    </w:lvl>
  </w:abstractNum>
  <w:abstractNum w:abstractNumId="223">
    <w:nsid w:val="1F3DA4D5"/>
    <w:multiLevelType w:val="hybridMultilevel"/>
    <w:lvl w:ilvl="0">
      <w:lvlJc w:val="left"/>
      <w:lvlText w:val="1"/>
      <w:numFmt w:val="bullet"/>
      <w:start w:val="1"/>
    </w:lvl>
  </w:abstractNum>
  <w:abstractNum w:abstractNumId="224">
    <w:nsid w:val="74C93698"/>
    <w:multiLevelType w:val="hybridMultilevel"/>
    <w:lvl w:ilvl="0">
      <w:lvlJc w:val="left"/>
      <w:lvlText w:val="2"/>
      <w:numFmt w:val="bullet"/>
      <w:start w:val="1"/>
    </w:lvl>
  </w:abstractNum>
  <w:abstractNum w:abstractNumId="225">
    <w:nsid w:val="48781401"/>
    <w:multiLevelType w:val="hybridMultilevel"/>
    <w:lvl w:ilvl="0">
      <w:lvlJc w:val="left"/>
      <w:lvlText w:val="3"/>
      <w:numFmt w:val="bullet"/>
      <w:start w:val="1"/>
    </w:lvl>
  </w:abstractNum>
  <w:abstractNum w:abstractNumId="226">
    <w:nsid w:val="186928D6"/>
    <w:multiLevelType w:val="hybridMultilevel"/>
    <w:lvl w:ilvl="0">
      <w:lvlJc w:val="left"/>
      <w:lvlText w:val="4"/>
      <w:numFmt w:val="bullet"/>
      <w:start w:val="1"/>
    </w:lvl>
  </w:abstractNum>
  <w:abstractNum w:abstractNumId="227">
    <w:nsid w:val="47195E5"/>
    <w:multiLevelType w:val="hybridMultilevel"/>
    <w:lvl w:ilvl="0">
      <w:lvlJc w:val="left"/>
      <w:lvlText w:val="•"/>
      <w:numFmt w:val="bullet"/>
      <w:start w:val="1"/>
    </w:lvl>
  </w:abstractNum>
  <w:abstractNum w:abstractNumId="228">
    <w:nsid w:val="3746A5F2"/>
    <w:multiLevelType w:val="hybridMultilevel"/>
    <w:lvl w:ilvl="0">
      <w:lvlJc w:val="left"/>
      <w:lvlText w:val="•"/>
      <w:numFmt w:val="bullet"/>
      <w:start w:val="1"/>
    </w:lvl>
  </w:abstractNum>
  <w:abstractNum w:abstractNumId="229">
    <w:nsid w:val="682DFED6"/>
    <w:multiLevelType w:val="hybridMultilevel"/>
    <w:lvl w:ilvl="0">
      <w:lvlJc w:val="left"/>
      <w:lvlText w:val="%1."/>
      <w:numFmt w:val="lowerRoman"/>
      <w:start w:val="2"/>
    </w:lvl>
  </w:abstractNum>
  <w:abstractNum w:abstractNumId="230">
    <w:nsid w:val="606ED7F6"/>
    <w:multiLevelType w:val="hybridMultilevel"/>
    <w:lvl w:ilvl="0">
      <w:lvlJc w:val="left"/>
      <w:lvlText w:val="%1"/>
      <w:numFmt w:val="lowerRoman"/>
      <w:start w:val="1"/>
    </w:lvl>
    <w:lvl w:ilvl="1">
      <w:lvlJc w:val="left"/>
      <w:lvlText w:val="[***]"/>
      <w:numFmt w:val="bullet"/>
      <w:start w:val="1"/>
    </w:lvl>
    <w:lvl w:ilvl="2">
      <w:lvlJc w:val="left"/>
      <w:lvlText w:val="%3."/>
      <w:numFmt w:val="upperLetter"/>
      <w:start w:val="1"/>
    </w:lvl>
  </w:abstractNum>
  <w:abstractNum w:abstractNumId="231">
    <w:nsid w:val="2D9DF57D"/>
    <w:multiLevelType w:val="hybridMultilevel"/>
    <w:lvl w:ilvl="0">
      <w:lvlJc w:val="left"/>
      <w:lvlText w:val="%1."/>
      <w:numFmt w:val="lowerRoman"/>
      <w:start w:val="4"/>
    </w:lvl>
    <w:lvl w:ilvl="1">
      <w:lvlJc w:val="left"/>
      <w:lvlText w:val="[***]"/>
      <w:numFmt w:val="bullet"/>
      <w:start w:val="1"/>
    </w:lvl>
    <w:lvl w:ilvl="2">
      <w:lvlJc w:val="left"/>
      <w:lvlText w:val="%3"/>
      <w:numFmt w:val="upperLetter"/>
      <w:start w:val="1"/>
    </w:lvl>
  </w:abstractNum>
  <w:abstractNum w:abstractNumId="232">
    <w:nsid w:val="7FBD7A3E"/>
    <w:multiLevelType w:val="hybridMultilevel"/>
    <w:lvl w:ilvl="0">
      <w:lvlJc w:val="left"/>
      <w:lvlText w:val="%1."/>
      <w:numFmt w:val="decimal"/>
      <w:start w:val="15"/>
    </w:lvl>
    <w:lvl w:ilvl="1">
      <w:lvlJc w:val="left"/>
      <w:lvlText w:val="%2"/>
      <w:numFmt w:val="lowerLetter"/>
      <w:start w:val="1"/>
    </w:lvl>
  </w:abstractNum>
  <w:abstractNum w:abstractNumId="233">
    <w:nsid w:val="490B7C5"/>
    <w:multiLevelType w:val="hybridMultilevel"/>
    <w:lvl w:ilvl="0">
      <w:lvlJc w:val="left"/>
      <w:lvlText w:val="%1."/>
      <w:numFmt w:val="decimal"/>
      <w:start w:val="16"/>
    </w:lvl>
  </w:abstractNum>
  <w:abstractNum w:abstractNumId="234">
    <w:nsid w:val="4303A216"/>
    <w:multiLevelType w:val="hybridMultilevel"/>
    <w:lvl w:ilvl="0">
      <w:lvlJc w:val="left"/>
      <w:lvlText w:val="%1."/>
      <w:numFmt w:val="decimal"/>
      <w:start w:val="1"/>
    </w:lvl>
    <w:lvl w:ilvl="1">
      <w:lvlJc w:val="left"/>
      <w:lvlText w:val="%2"/>
      <w:numFmt w:val="lowerLetter"/>
      <w:start w:val="1"/>
    </w:lvl>
  </w:abstractNum>
  <w:abstractNum w:abstractNumId="235">
    <w:nsid w:val="19B8A08E"/>
    <w:multiLevelType w:val="hybridMultilevel"/>
    <w:lvl w:ilvl="0">
      <w:lvlJc w:val="left"/>
      <w:lvlText w:val="%1."/>
      <w:numFmt w:val="lowerLetter"/>
      <w:start w:val="2"/>
    </w:lvl>
  </w:abstractNum>
  <w:abstractNum w:abstractNumId="236">
    <w:nsid w:val="54B59621"/>
    <w:multiLevelType w:val="hybridMultilevel"/>
    <w:lvl w:ilvl="0">
      <w:lvlJc w:val="left"/>
      <w:lvlText w:val="%1."/>
      <w:numFmt w:val="lowerLetter"/>
      <w:start w:val="3"/>
    </w:lvl>
  </w:abstractNum>
  <w:abstractNum w:abstractNumId="237">
    <w:nsid w:val="5992A02E"/>
    <w:multiLevelType w:val="hybridMultilevel"/>
    <w:lvl w:ilvl="0">
      <w:lvlJc w:val="left"/>
      <w:lvlText w:val="%1."/>
      <w:numFmt w:val="decimal"/>
      <w:start w:val="8"/>
    </w:lvl>
  </w:abstractNum>
  <w:abstractNum w:abstractNumId="238">
    <w:nsid w:val="29EF532D"/>
    <w:multiLevelType w:val="hybridMultilevel"/>
    <w:lvl w:ilvl="0">
      <w:lvlJc w:val="left"/>
      <w:lvlText w:val="%1."/>
      <w:numFmt w:val="decimal"/>
      <w:start w:val="9"/>
    </w:lvl>
  </w:abstractNum>
  <w:abstractNum w:abstractNumId="239">
    <w:nsid w:val="71D601AF"/>
    <w:multiLevelType w:val="hybridMultilevel"/>
    <w:lvl w:ilvl="0">
      <w:lvlJc w:val="left"/>
      <w:lvlText w:val="%1."/>
      <w:numFmt w:val="decimal"/>
      <w:start w:val="10"/>
    </w:lvl>
    <w:lvl w:ilvl="1">
      <w:lvlJc w:val="left"/>
      <w:lvlText w:val="•"/>
      <w:numFmt w:val="bullet"/>
      <w:start w:val="1"/>
    </w:lvl>
  </w:abstractNum>
  <w:abstractNum w:abstractNumId="240">
    <w:nsid w:val="52C77402"/>
    <w:multiLevelType w:val="hybridMultilevel"/>
    <w:lvl w:ilvl="0">
      <w:lvlJc w:val="left"/>
      <w:lvlText w:val="%1."/>
      <w:numFmt w:val="decimal"/>
      <w:start w:val="13"/>
    </w:lvl>
  </w:abstractNum>
  <w:abstractNum w:abstractNumId="241">
    <w:nsid w:val="2BB5B1C6"/>
    <w:multiLevelType w:val="hybridMultilevel"/>
    <w:lvl w:ilvl="0">
      <w:lvlJc w:val="left"/>
      <w:lvlText w:val="%1."/>
      <w:numFmt w:val="decimal"/>
      <w:start w:val="14"/>
    </w:lvl>
  </w:abstractNum>
  <w:abstractNum w:abstractNumId="242">
    <w:nsid w:val="66BE6B9"/>
    <w:multiLevelType w:val="hybridMultilevel"/>
    <w:lvl w:ilvl="0">
      <w:lvlJc w:val="left"/>
      <w:lvlText w:val="%1."/>
      <w:numFmt w:val="lowerLetter"/>
      <w:start w:val="1"/>
    </w:lvl>
  </w:abstractNum>
  <w:abstractNum w:abstractNumId="243">
    <w:nsid w:val="62234363"/>
    <w:multiLevelType w:val="hybridMultilevel"/>
    <w:lvl w:ilvl="0">
      <w:lvlJc w:val="left"/>
      <w:lvlText w:val="%1."/>
      <w:numFmt w:val="lowerLetter"/>
      <w:start w:val="2"/>
    </w:lvl>
  </w:abstractNum>
  <w:abstractNum w:abstractNumId="244">
    <w:nsid w:val="66D385C9"/>
    <w:multiLevelType w:val="hybridMultilevel"/>
    <w:lvl w:ilvl="0">
      <w:lvlJc w:val="left"/>
      <w:lvlText w:val="%1."/>
      <w:numFmt w:val="lowerRoman"/>
      <w:start w:val="1"/>
    </w:lvl>
  </w:abstractNum>
  <w:abstractNum w:abstractNumId="245">
    <w:nsid w:val="596F6D8A"/>
    <w:multiLevelType w:val="hybridMultilevel"/>
    <w:lvl w:ilvl="0">
      <w:lvlJc w:val="left"/>
      <w:lvlText w:val="%1."/>
      <w:numFmt w:val="lowerRoman"/>
      <w:start w:val="2"/>
    </w:lvl>
    <w:lvl w:ilvl="1">
      <w:lvlJc w:val="left"/>
      <w:lvlText w:val="%2."/>
      <w:numFmt w:val="upperLetter"/>
      <w:start w:val="1"/>
    </w:lvl>
  </w:abstractNum>
  <w:abstractNum w:abstractNumId="246">
    <w:nsid w:val="574936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47">
    <w:nsid w:val="73BC67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248">
    <w:nsid w:val="280E6897"/>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9">
    <w:nsid w:val="605138DE"/>
    <w:multiLevelType w:val="hybridMultilevel"/>
    <w:lvl w:ilvl="0">
      <w:lvlJc w:val="left"/>
      <w:lvlText w:val="%1."/>
      <w:numFmt w:val="decimal"/>
      <w:start w:val="16"/>
    </w:lvl>
  </w:abstractNum>
  <w:abstractNum w:abstractNumId="250">
    <w:nsid w:val="2622AD0C"/>
    <w:multiLevelType w:val="hybridMultilevel"/>
    <w:lvl w:ilvl="0">
      <w:lvlJc w:val="left"/>
      <w:lvlText w:val="%1."/>
      <w:numFmt w:val="decimal"/>
      <w:start w:val="1"/>
    </w:lvl>
  </w:abstractNum>
  <w:abstractNum w:abstractNumId="251">
    <w:nsid w:val="67997556"/>
    <w:multiLevelType w:val="hybridMultilevel"/>
    <w:lvl w:ilvl="0">
      <w:lvlJc w:val="left"/>
      <w:lvlText w:val="%1."/>
      <w:numFmt w:val="decimal"/>
      <w:start w:val="1"/>
    </w:lvl>
  </w:abstractNum>
  <w:abstractNum w:abstractNumId="252">
    <w:nsid w:val="18333C89"/>
    <w:multiLevelType w:val="hybridMultilevel"/>
    <w:lvl w:ilvl="0">
      <w:lvlJc w:val="left"/>
      <w:lvlText w:val="%1."/>
      <w:numFmt w:val="decimal"/>
      <w:start w:val="1"/>
    </w:lvl>
  </w:abstractNum>
  <w:abstractNum w:abstractNumId="253">
    <w:nsid w:val="4BA9831A"/>
    <w:multiLevelType w:val="hybridMultilevel"/>
    <w:lvl w:ilvl="0">
      <w:lvlJc w:val="left"/>
      <w:lvlText w:val="%1."/>
      <w:numFmt w:val="decimal"/>
      <w:start w:val="10"/>
    </w:lvl>
  </w:abstractNum>
  <w:abstractNum w:abstractNumId="254">
    <w:nsid w:val="6D71A2B"/>
    <w:multiLevelType w:val="hybridMultilevel"/>
    <w:lvl w:ilvl="0">
      <w:lvlJc w:val="left"/>
      <w:lvlText w:val="%1."/>
      <w:numFmt w:val="decimal"/>
      <w:start w:val="12"/>
    </w:lvl>
  </w:abstractNum>
  <w:abstractNum w:abstractNumId="255">
    <w:nsid w:val="CFC7321"/>
    <w:multiLevelType w:val="hybridMultilevel"/>
    <w:lvl w:ilvl="0">
      <w:lvlJc w:val="left"/>
      <w:lvlText w:val="%1."/>
      <w:numFmt w:val="decimal"/>
      <w:start w:val="16"/>
    </w:lvl>
  </w:abstractNum>
  <w:abstractNum w:abstractNumId="256">
    <w:nsid w:val="1421971B"/>
    <w:multiLevelType w:val="hybridMultilevel"/>
    <w:lvl w:ilvl="0">
      <w:lvlJc w:val="left"/>
      <w:lvlText w:val="%1."/>
      <w:numFmt w:val="decimal"/>
      <w:start w:val="20"/>
    </w:lvl>
  </w:abstractNum>
  <w:abstractNum w:abstractNumId="257">
    <w:nsid w:val="1F404301"/>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258">
    <w:nsid w:val="116E0907"/>
    <w:multiLevelType w:val="hybridMultilevel"/>
    <w:lvl w:ilvl="0">
      <w:lvlJc w:val="left"/>
      <w:lvlText w:val="%1."/>
      <w:numFmt w:val="decimal"/>
      <w:start w:val="26"/>
    </w:lvl>
    <w:lvl w:ilvl="1">
      <w:lvlJc w:val="left"/>
      <w:lvlText w:val="•"/>
      <w:numFmt w:val="bullet"/>
      <w:start w:val="1"/>
    </w:lvl>
  </w:abstractNum>
  <w:abstractNum w:abstractNumId="259">
    <w:nsid w:val="4B683D0D"/>
    <w:multiLevelType w:val="hybridMultilevel"/>
    <w:lvl w:ilvl="0">
      <w:lvlJc w:val="left"/>
      <w:lvlText w:val="%1."/>
      <w:numFmt w:val="decimal"/>
      <w:start w:val="27"/>
    </w:lvl>
  </w:abstractNum>
  <w:abstractNum w:abstractNumId="260">
    <w:nsid w:val="76E41D8"/>
    <w:multiLevelType w:val="hybridMultilevel"/>
    <w:lvl w:ilvl="0">
      <w:lvlJc w:val="left"/>
      <w:lvlText w:val="%1."/>
      <w:numFmt w:val="decimal"/>
      <w:start w:val="32"/>
    </w:lvl>
  </w:abstractNum>
  <w:abstractNum w:abstractNumId="261">
    <w:nsid w:val="71DCE0FD"/>
    <w:multiLevelType w:val="hybridMultilevel"/>
    <w:lvl w:ilvl="0">
      <w:lvlJc w:val="left"/>
      <w:lvlText w:val="%1."/>
      <w:numFmt w:val="decimal"/>
      <w:start w:val="33"/>
    </w:lvl>
    <w:lvl w:ilvl="1">
      <w:lvlJc w:val="left"/>
      <w:lvlText w:val="%2."/>
      <w:numFmt w:val="lowerLetter"/>
      <w:start w:val="1"/>
    </w:lvl>
  </w:abstractNum>
  <w:abstractNum w:abstractNumId="262">
    <w:nsid w:val="7906328B"/>
    <w:multiLevelType w:val="hybridMultilevel"/>
    <w:lvl w:ilvl="0">
      <w:lvlJc w:val="left"/>
      <w:lvlText w:val="%1."/>
      <w:numFmt w:val="decimal"/>
      <w:start w:val="35"/>
    </w:lvl>
    <w:lvl w:ilvl="1">
      <w:lvlJc w:val="left"/>
      <w:lvlText w:val="%2."/>
      <w:numFmt w:val="lowerLetter"/>
      <w:start w:val="1"/>
    </w:lvl>
    <w:lvl w:ilvl="2">
      <w:lvlJc w:val="left"/>
      <w:lvlText w:val="%3."/>
      <w:numFmt w:val="decimal"/>
      <w:start w:val="1"/>
    </w:lvl>
  </w:abstractNum>
  <w:abstractNum w:abstractNumId="263">
    <w:nsid w:val="72BBC16"/>
    <w:multiLevelType w:val="hybridMultilevel"/>
    <w:lvl w:ilvl="0">
      <w:lvlJc w:val="left"/>
      <w:lvlText w:val="%1."/>
      <w:numFmt w:val="decimal"/>
      <w:start w:val="37"/>
    </w:lvl>
  </w:abstractNum>
  <w:abstractNum w:abstractNumId="264">
    <w:nsid w:val="766D98C2"/>
    <w:multiLevelType w:val="hybridMultilevel"/>
    <w:lvl w:ilvl="0">
      <w:lvlJc w:val="left"/>
      <w:lvlText w:val="%1."/>
      <w:numFmt w:val="decimal"/>
      <w:start w:val="38"/>
    </w:lvl>
    <w:lvl w:ilvl="1">
      <w:lvlJc w:val="left"/>
      <w:lvlText w:val="%2."/>
      <w:numFmt w:val="lowerLetter"/>
      <w:start w:val="1"/>
    </w:lvl>
  </w:abstractNum>
  <w:abstractNum w:abstractNumId="265">
    <w:nsid w:val="3C09D4A1"/>
    <w:multiLevelType w:val="hybridMultilevel"/>
    <w:lvl w:ilvl="0">
      <w:lvlJc w:val="left"/>
      <w:lvlText w:val="%1."/>
      <w:numFmt w:val="decimal"/>
      <w:start w:val="42"/>
    </w:lvl>
  </w:abstractNum>
  <w:abstractNum w:abstractNumId="266">
    <w:nsid w:val="20E45CA4"/>
    <w:multiLevelType w:val="hybridMultilevel"/>
    <w:lvl w:ilvl="0">
      <w:lvlJc w:val="left"/>
      <w:lvlText w:val="%1."/>
      <w:numFmt w:val="decimal"/>
      <w:start w:val="46"/>
    </w:lvl>
  </w:abstractNum>
  <w:abstractNum w:abstractNumId="267">
    <w:nsid w:val="4B232EE3"/>
    <w:multiLevelType w:val="hybridMultilevel"/>
    <w:lvl w:ilvl="0">
      <w:lvlJc w:val="left"/>
      <w:lvlText w:val="%1."/>
      <w:numFmt w:val="decimal"/>
      <w:start w:val="47"/>
    </w:lvl>
  </w:abstractNum>
  <w:abstractNum w:abstractNumId="268">
    <w:nsid w:val="159C74CF"/>
    <w:multiLevelType w:val="hybridMultilevel"/>
    <w:lvl w:ilvl="0">
      <w:lvlJc w:val="left"/>
      <w:lvlText w:val="%1."/>
      <w:numFmt w:val="decimal"/>
      <w:start w:val="48"/>
    </w:lvl>
    <w:lvl w:ilvl="1">
      <w:lvlJc w:val="left"/>
      <w:lvlText w:val="%2."/>
      <w:numFmt w:val="lowerLetter"/>
      <w:start w:val="1"/>
    </w:lvl>
  </w:abstractNum>
  <w:abstractNum w:abstractNumId="269">
    <w:nsid w:val="4AD3AFD2"/>
    <w:multiLevelType w:val="hybridMultilevel"/>
    <w:lvl w:ilvl="0">
      <w:lvlJc w:val="left"/>
      <w:lvlText w:val="%1."/>
      <w:numFmt w:val="decimal"/>
      <w:start w:val="49"/>
    </w:lvl>
  </w:abstractNum>
  <w:abstractNum w:abstractNumId="270">
    <w:nsid w:val="3CF93092"/>
    <w:multiLevelType w:val="hybridMultilevel"/>
    <w:lvl w:ilvl="0">
      <w:lvlJc w:val="left"/>
      <w:lvlText w:val="•"/>
      <w:numFmt w:val="bullet"/>
      <w:start w:val="1"/>
    </w:lvl>
  </w:abstractNum>
  <w:abstractNum w:abstractNumId="271">
    <w:nsid w:val="6863E8D2"/>
    <w:multiLevelType w:val="hybridMultilevel"/>
    <w:lvl w:ilvl="0">
      <w:lvlJc w:val="left"/>
      <w:lvlText w:val="•"/>
      <w:numFmt w:val="bullet"/>
      <w:start w:val="1"/>
    </w:lvl>
  </w:abstractNum>
  <w:abstractNum w:abstractNumId="272">
    <w:nsid w:val="76896198"/>
    <w:multiLevelType w:val="hybridMultilevel"/>
    <w:lvl w:ilvl="0">
      <w:lvlJc w:val="left"/>
      <w:lvlText w:val="%1."/>
      <w:numFmt w:val="decimal"/>
      <w:start w:val="1"/>
    </w:lvl>
  </w:abstractNum>
  <w:abstractNum w:abstractNumId="273">
    <w:nsid w:val="4365174B"/>
    <w:multiLevelType w:val="hybridMultilevel"/>
    <w:lvl w:ilvl="0">
      <w:lvlJc w:val="left"/>
      <w:lvlText w:val="1"/>
      <w:numFmt w:val="bullet"/>
      <w:start w:val="1"/>
    </w:lvl>
  </w:abstractNum>
  <w:abstractNum w:abstractNumId="274">
    <w:nsid w:val="4A872C35"/>
    <w:multiLevelType w:val="hybridMultilevel"/>
    <w:lvl w:ilvl="0">
      <w:lvlJc w:val="left"/>
      <w:lvlText w:val="2"/>
      <w:numFmt w:val="bullet"/>
      <w:start w:val="1"/>
    </w:lvl>
    <w:lvl w:ilvl="1">
      <w:lvlJc w:val="left"/>
      <w:lvlText w:val="%2."/>
      <w:numFmt w:val="lowerLetter"/>
      <w:start w:val="1"/>
    </w:lvl>
  </w:abstractNum>
  <w:abstractNum w:abstractNumId="275">
    <w:nsid w:val="5D5CE761"/>
    <w:multiLevelType w:val="hybridMultilevel"/>
    <w:lvl w:ilvl="0">
      <w:lvlJc w:val="left"/>
      <w:lvlText w:val="3"/>
      <w:numFmt w:val="bullet"/>
      <w:start w:val="1"/>
    </w:lvl>
  </w:abstractNum>
  <w:abstractNum w:abstractNumId="276">
    <w:nsid w:val="1CD484D5"/>
    <w:multiLevelType w:val="hybridMultilevel"/>
    <w:lvl w:ilvl="0">
      <w:lvlJc w:val="left"/>
      <w:lvlText w:val="4"/>
      <w:numFmt w:val="bullet"/>
      <w:start w:val="1"/>
    </w:lvl>
  </w:abstractNum>
  <w:abstractNum w:abstractNumId="277">
    <w:nsid w:val="21D06255"/>
    <w:multiLevelType w:val="hybridMultilevel"/>
    <w:lvl w:ilvl="0">
      <w:lvlJc w:val="left"/>
      <w:lvlText w:val="5"/>
      <w:numFmt w:val="bullet"/>
      <w:start w:val="1"/>
    </w:lvl>
  </w:abstractNum>
  <w:abstractNum w:abstractNumId="278">
    <w:nsid w:val="51194ED1"/>
    <w:multiLevelType w:val="hybridMultilevel"/>
    <w:lvl w:ilvl="0">
      <w:lvlJc w:val="left"/>
      <w:lvlText w:val="6"/>
      <w:numFmt w:val="bullet"/>
      <w:start w:val="1"/>
    </w:lvl>
  </w:abstractNum>
  <w:abstractNum w:abstractNumId="279">
    <w:nsid w:val="44E2ED6C"/>
    <w:multiLevelType w:val="hybridMultilevel"/>
    <w:lvl w:ilvl="0">
      <w:lvlJc w:val="left"/>
      <w:lvlText w:val="7"/>
      <w:numFmt w:val="bullet"/>
      <w:start w:val="1"/>
    </w:lvl>
  </w:abstractNum>
  <w:abstractNum w:abstractNumId="280">
    <w:nsid w:val="2219B33"/>
    <w:multiLevelType w:val="hybridMultilevel"/>
    <w:lvl w:ilvl="0">
      <w:lvlJc w:val="left"/>
      <w:lvlText w:val="8"/>
      <w:numFmt w:val="bullet"/>
      <w:start w:val="1"/>
    </w:lvl>
  </w:abstractNum>
  <w:abstractNum w:abstractNumId="281">
    <w:nsid w:val="773BFBDD"/>
    <w:multiLevelType w:val="hybridMultilevel"/>
    <w:lvl w:ilvl="0">
      <w:lvlJc w:val="left"/>
      <w:lvlText w:val="(%1)"/>
      <w:numFmt w:val="lowerRoman"/>
      <w:start w:val="1"/>
    </w:lvl>
  </w:abstractNum>
  <w:abstractNum w:abstractNumId="282">
    <w:nsid w:val="2C7C62C2"/>
    <w:multiLevelType w:val="hybridMultilevel"/>
    <w:lvl w:ilvl="0">
      <w:lvlJc w:val="left"/>
      <w:lvlText w:val="%1"/>
      <w:numFmt w:val="decimal"/>
      <w:start w:val="10"/>
    </w:lvl>
    <w:lvl w:ilvl="1">
      <w:lvlJc w:val="left"/>
      <w:lvlText w:val="•"/>
      <w:numFmt w:val="bullet"/>
      <w:start w:val="1"/>
    </w:lvl>
  </w:abstractNum>
  <w:abstractNum w:abstractNumId="283">
    <w:nsid w:val="1A54D7BC"/>
    <w:multiLevelType w:val="hybridMultilevel"/>
    <w:lvl w:ilvl="0">
      <w:lvlJc w:val="left"/>
      <w:lvlText w:val="%1"/>
      <w:numFmt w:val="decimal"/>
      <w:start w:val="16"/>
    </w:lvl>
  </w:abstractNum>
  <w:abstractNum w:abstractNumId="284">
    <w:nsid w:val="42E57EF7"/>
    <w:multiLevelType w:val="hybridMultilevel"/>
    <w:lvl w:ilvl="0">
      <w:lvlJc w:val="left"/>
      <w:lvlText w:val="%1"/>
      <w:numFmt w:val="decimal"/>
      <w:start w:val="17"/>
    </w:lvl>
  </w:abstractNum>
  <w:abstractNum w:abstractNumId="285">
    <w:nsid w:val="33537CED"/>
    <w:multiLevelType w:val="hybridMultilevel"/>
    <w:lvl w:ilvl="0">
      <w:lvlJc w:val="left"/>
      <w:lvlText w:val="%1"/>
      <w:numFmt w:val="decimal"/>
      <w:start w:val="25"/>
    </w:lvl>
    <w:lvl w:ilvl="1">
      <w:lvlJc w:val="left"/>
      <w:lvlText w:val="•"/>
      <w:numFmt w:val="bullet"/>
      <w:start w:val="1"/>
    </w:lvl>
  </w:abstractNum>
  <w:abstractNum w:abstractNumId="286">
    <w:nsid w:val="27514ADE"/>
    <w:multiLevelType w:val="hybridMultilevel"/>
    <w:lvl w:ilvl="0">
      <w:lvlJc w:val="left"/>
      <w:lvlText w:val="1"/>
      <w:numFmt w:val="bullet"/>
      <w:start w:val="1"/>
    </w:lvl>
  </w:abstractNum>
  <w:abstractNum w:abstractNumId="287">
    <w:nsid w:val="57071613"/>
    <w:multiLevelType w:val="hybridMultilevel"/>
    <w:lvl w:ilvl="0">
      <w:lvlJc w:val="left"/>
      <w:lvlText w:val="2"/>
      <w:numFmt w:val="bullet"/>
      <w:start w:val="1"/>
    </w:lvl>
    <w:lvl w:ilvl="1">
      <w:lvlJc w:val="left"/>
      <w:lvlText w:val="%2."/>
      <w:numFmt w:val="lowerLetter"/>
      <w:start w:val="1"/>
    </w:lvl>
  </w:abstractNum>
  <w:abstractNum w:abstractNumId="288">
    <w:nsid w:val="5293BFEF"/>
    <w:multiLevelType w:val="hybridMultilevel"/>
    <w:lvl w:ilvl="0">
      <w:lvlJc w:val="left"/>
      <w:lvlText w:val="3"/>
      <w:numFmt w:val="bullet"/>
      <w:start w:val="1"/>
    </w:lvl>
    <w:lvl w:ilvl="1">
      <w:lvlJc w:val="left"/>
      <w:lvlText w:val="•"/>
      <w:numFmt w:val="bullet"/>
      <w:start w:val="1"/>
    </w:lvl>
  </w:abstractNum>
  <w:abstractNum w:abstractNumId="289">
    <w:nsid w:val="38BF53E5"/>
    <w:multiLevelType w:val="hybridMultilevel"/>
    <w:lvl w:ilvl="0">
      <w:lvlJc w:val="left"/>
      <w:lvlText w:val="4"/>
      <w:numFmt w:val="bullet"/>
      <w:start w:val="1"/>
    </w:lvl>
  </w:abstractNum>
  <w:abstractNum w:abstractNumId="290">
    <w:nsid w:val="226F5320"/>
    <w:multiLevelType w:val="hybridMultilevel"/>
    <w:lvl w:ilvl="0">
      <w:lvlJc w:val="left"/>
      <w:lvlText w:val="\endash "/>
      <w:numFmt w:val="bullet"/>
      <w:start w:val="1"/>
    </w:lvl>
  </w:abstractNum>
  <w:abstractNum w:abstractNumId="291">
    <w:nsid w:val="5A0201C7"/>
    <w:multiLevelType w:val="hybridMultilevel"/>
    <w:lvl w:ilvl="0">
      <w:lvlJc w:val="left"/>
      <w:lvlText w:val="%1"/>
      <w:numFmt w:val="decimal"/>
      <w:start w:val="1"/>
    </w:lvl>
    <w:lvl w:ilvl="1">
      <w:lvlJc w:val="left"/>
      <w:lvlText w:val="%2."/>
      <w:numFmt w:val="upperLetter"/>
      <w:start w:val="35"/>
    </w:lvl>
    <w:lvl w:ilvl="2">
      <w:lvlJc w:val="left"/>
      <w:lvlText w:val="%3"/>
      <w:numFmt w:val="lowerLetter"/>
      <w:start w:val="1"/>
    </w:lvl>
  </w:abstractNum>
  <w:abstractNum w:abstractNumId="292">
    <w:nsid w:val="2A9C34E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293">
    <w:nsid w:val="1B7585AB"/>
    <w:multiLevelType w:val="hybridMultilevel"/>
    <w:lvl w:ilvl="0">
      <w:lvlJc w:val="left"/>
      <w:lvlText w:val="%1"/>
      <w:numFmt w:val="decimal"/>
      <w:start w:val="1"/>
    </w:lvl>
    <w:lvl w:ilvl="1">
      <w:lvlJc w:val="left"/>
      <w:lvlText w:val="%2."/>
      <w:numFmt w:val="lowerLetter"/>
      <w:start w:val="2"/>
    </w:lvl>
  </w:abstractNum>
  <w:abstractNum w:abstractNumId="294">
    <w:nsid w:val="612DBDDD"/>
    <w:multiLevelType w:val="hybridMultilevel"/>
    <w:lvl w:ilvl="0">
      <w:lvlJc w:val="left"/>
      <w:lvlText w:val="%1."/>
      <w:numFmt w:val="decimal"/>
      <w:start w:val="3"/>
    </w:lvl>
    <w:lvl w:ilvl="1">
      <w:lvlJc w:val="left"/>
      <w:lvlText w:val="%2"/>
      <w:numFmt w:val="lowerLetter"/>
      <w:start w:val="1"/>
    </w:lvl>
  </w:abstractNum>
  <w:abstractNum w:abstractNumId="295">
    <w:nsid w:val="2109CDA4"/>
    <w:multiLevelType w:val="hybridMultilevel"/>
    <w:lvl w:ilvl="0">
      <w:lvlJc w:val="left"/>
      <w:lvlText w:val="%1."/>
      <w:numFmt w:val="lowerLetter"/>
      <w:start w:val="1"/>
    </w:lvl>
  </w:abstractNum>
  <w:abstractNum w:abstractNumId="296">
    <w:nsid w:val="577F5A4D"/>
    <w:multiLevelType w:val="hybridMultilevel"/>
    <w:lvl w:ilvl="0">
      <w:lvlJc w:val="left"/>
      <w:lvlText w:val="%1"/>
      <w:numFmt w:val="decimal"/>
      <w:start w:val="1"/>
    </w:lvl>
    <w:lvl w:ilvl="1">
      <w:lvlJc w:val="left"/>
      <w:lvlText w:val="%2."/>
      <w:numFmt w:val="lowerLetter"/>
      <w:start w:val="8"/>
    </w:lvl>
  </w:abstractNum>
  <w:abstractNum w:abstractNumId="297">
    <w:nsid w:val="2121A81"/>
    <w:multiLevelType w:val="hybridMultilevel"/>
    <w:lvl w:ilvl="0">
      <w:lvlJc w:val="left"/>
      <w:lvlText w:val="%1."/>
      <w:numFmt w:val="decimal"/>
      <w:start w:val="4"/>
    </w:lvl>
    <w:lvl w:ilvl="1">
      <w:lvlJc w:val="left"/>
      <w:lvlText w:val="%2."/>
      <w:numFmt w:val="lowerLetter"/>
      <w:start w:val="1"/>
    </w:lvl>
  </w:abstractNum>
  <w:abstractNum w:abstractNumId="298">
    <w:nsid w:val="6C2CFC88"/>
    <w:multiLevelType w:val="hybridMultilevel"/>
    <w:lvl w:ilvl="0">
      <w:lvlJc w:val="left"/>
      <w:lvlText w:val="%1."/>
      <w:numFmt w:val="decimal"/>
      <w:start w:val="1"/>
    </w:lvl>
  </w:abstractNum>
  <w:abstractNum w:abstractNumId="299">
    <w:nsid w:val="6D1BCF1C"/>
    <w:multiLevelType w:val="hybridMultilevel"/>
    <w:lvl w:ilvl="0">
      <w:lvlJc w:val="left"/>
      <w:lvlText w:val="%1."/>
      <w:numFmt w:val="decimal"/>
      <w:start w:val="2"/>
    </w:lvl>
  </w:abstractNum>
  <w:abstractNum w:abstractNumId="300">
    <w:nsid w:val="4CE5CA53"/>
    <w:multiLevelType w:val="hybridMultilevel"/>
    <w:lvl w:ilvl="0">
      <w:lvlJc w:val="left"/>
      <w:lvlText w:val="%1."/>
      <w:numFmt w:val="lowerLetter"/>
      <w:start w:val="1"/>
    </w:lvl>
  </w:abstractNum>
  <w:abstractNum w:abstractNumId="301">
    <w:nsid w:val="29262D1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302">
    <w:nsid w:val="557FB7E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03">
    <w:nsid w:val="436F2BEB"/>
    <w:multiLevelType w:val="hybridMultilevel"/>
    <w:lvl w:ilvl="0">
      <w:lvlJc w:val="left"/>
      <w:lvlText w:val="%1"/>
      <w:numFmt w:val="lowerLetter"/>
      <w:start w:val="1"/>
    </w:lvl>
    <w:lvl w:ilvl="1">
      <w:lvlJc w:val="left"/>
      <w:lvlText w:val="%2."/>
      <w:numFmt w:val="lowerLetter"/>
      <w:start w:val="35"/>
    </w:lvl>
  </w:abstractNum>
  <w:abstractNum w:abstractNumId="304">
    <w:nsid w:val="6C8B4466"/>
    <w:multiLevelType w:val="hybridMultilevel"/>
    <w:lvl w:ilvl="0">
      <w:lvlJc w:val="left"/>
      <w:lvlText w:val="%1."/>
      <w:numFmt w:val="lowerLetter"/>
      <w:start w:val="3"/>
    </w:lvl>
    <w:lvl w:ilvl="1">
      <w:lvlJc w:val="left"/>
      <w:lvlText w:val="%2."/>
      <w:numFmt w:val="lowerLetter"/>
      <w:start w:val="9"/>
    </w:lvl>
  </w:abstractNum>
  <w:abstractNum w:abstractNumId="305">
    <w:nsid w:val="2006E424"/>
    <w:multiLevelType w:val="hybridMultilevel"/>
    <w:lvl w:ilvl="0">
      <w:lvlJc w:val="left"/>
      <w:lvlText w:val="%1."/>
      <w:numFmt w:val="lowerRoman"/>
      <w:start w:val="2"/>
    </w:lvl>
  </w:abstractNum>
  <w:abstractNum w:abstractNumId="306">
    <w:nsid w:val="20CC134C"/>
    <w:multiLevelType w:val="hybridMultilevel"/>
    <w:lvl w:ilvl="0">
      <w:lvlJc w:val="left"/>
      <w:lvlText w:val="•"/>
      <w:numFmt w:val="bullet"/>
      <w:start w:val="1"/>
    </w:lvl>
  </w:abstractNum>
  <w:abstractNum w:abstractNumId="307">
    <w:nsid w:val="95FC93B"/>
    <w:multiLevelType w:val="hybridMultilevel"/>
    <w:lvl w:ilvl="0">
      <w:lvlJc w:val="left"/>
      <w:lvlText w:val="•"/>
      <w:numFmt w:val="bullet"/>
      <w:start w:val="1"/>
    </w:lvl>
  </w:abstractNum>
  <w:abstractNum w:abstractNumId="308">
    <w:nsid w:val="41D74679"/>
    <w:multiLevelType w:val="hybridMultilevel"/>
    <w:lvl w:ilvl="0">
      <w:lvlJc w:val="left"/>
      <w:lvlText w:val="•"/>
      <w:numFmt w:val="bullet"/>
      <w:start w:val="1"/>
    </w:lvl>
  </w:abstractNum>
  <w:abstractNum w:abstractNumId="309">
    <w:nsid w:val="71E5621E"/>
    <w:multiLevelType w:val="hybridMultilevel"/>
    <w:lvl w:ilvl="0">
      <w:lvlJc w:val="left"/>
      <w:lvlText w:val="•"/>
      <w:numFmt w:val="bullet"/>
      <w:start w:val="1"/>
    </w:lvl>
  </w:abstractNum>
  <w:abstractNum w:abstractNumId="310">
    <w:nsid w:val="4E42B6A8"/>
    <w:multiLevelType w:val="hybridMultilevel"/>
    <w:lvl w:ilvl="0">
      <w:lvlJc w:val="left"/>
      <w:lvlText w:val="•"/>
      <w:numFmt w:val="bullet"/>
      <w:start w:val="1"/>
    </w:lvl>
  </w:abstractNum>
  <w:abstractNum w:abstractNumId="311">
    <w:nsid w:val="43F8E1AC"/>
    <w:multiLevelType w:val="hybridMultilevel"/>
    <w:lvl w:ilvl="0">
      <w:lvlJc w:val="left"/>
      <w:lvlText w:val="•"/>
      <w:numFmt w:val="bullet"/>
      <w:start w:val="1"/>
    </w:lvl>
  </w:abstractNum>
  <w:abstractNum w:abstractNumId="312">
    <w:nsid w:val="69215DFB"/>
    <w:multiLevelType w:val="hybridMultilevel"/>
    <w:lvl w:ilvl="0">
      <w:lvlJc w:val="left"/>
      <w:lvlText w:val="∎"/>
      <w:numFmt w:val="bullet"/>
      <w:start w:val="1"/>
    </w:lvl>
  </w:abstractNum>
  <w:abstractNum w:abstractNumId="313">
    <w:nsid w:val="7ABF196A"/>
    <w:multiLevelType w:val="hybridMultilevel"/>
    <w:lvl w:ilvl="0">
      <w:lvlJc w:val="left"/>
      <w:lvlText w:val="%1."/>
      <w:numFmt w:val="decimal"/>
      <w:start w:val="1"/>
    </w:lvl>
  </w:abstractNum>
  <w:abstractNum w:abstractNumId="314">
    <w:nsid w:val="5E4DB968"/>
    <w:multiLevelType w:val="hybridMultilevel"/>
    <w:lvl w:ilvl="0">
      <w:lvlJc w:val="left"/>
      <w:lvlText w:val="%1."/>
      <w:numFmt w:val="decimal"/>
      <w:start w:val="2"/>
    </w:lvl>
    <w:lvl w:ilvl="1">
      <w:lvlJc w:val="left"/>
      <w:lvlText w:val="%2."/>
      <w:numFmt w:val="lowerLetter"/>
      <w:start w:val="1"/>
    </w:lvl>
  </w:abstractNum>
  <w:abstractNum w:abstractNumId="315">
    <w:nsid w:val="2C06DCF3"/>
    <w:multiLevelType w:val="hybridMultilevel"/>
    <w:lvl w:ilvl="0">
      <w:lvlJc w:val="left"/>
      <w:lvlText w:val="%1."/>
      <w:numFmt w:val="decimal"/>
      <w:start w:val="8"/>
    </w:lvl>
    <w:lvl w:ilvl="1">
      <w:lvlJc w:val="left"/>
      <w:lvlText w:val="%2."/>
      <w:numFmt w:val="lowerLetter"/>
      <w:start w:val="1"/>
    </w:lvl>
  </w:abstractNum>
  <w:abstractNum w:abstractNumId="316">
    <w:nsid w:val="2E129658"/>
    <w:multiLevelType w:val="hybridMultilevel"/>
    <w:lvl w:ilvl="0">
      <w:lvlJc w:val="left"/>
      <w:lvlText w:val="%1."/>
      <w:numFmt w:val="decimal"/>
      <w:start w:val="1"/>
    </w:lvl>
    <w:lvl w:ilvl="1">
      <w:lvlJc w:val="left"/>
      <w:lvlText w:val="%2."/>
      <w:numFmt w:val="lowerLetter"/>
      <w:start w:val="1"/>
    </w:lvl>
  </w:abstractNum>
  <w:abstractNum w:abstractNumId="317">
    <w:nsid w:val="59F0446"/>
    <w:multiLevelType w:val="hybridMultilevel"/>
    <w:lvl w:ilvl="0">
      <w:lvlJc w:val="left"/>
      <w:lvlText w:val="%1."/>
      <w:numFmt w:val="decimal"/>
      <w:start w:val="4"/>
    </w:lvl>
    <w:lvl w:ilvl="1">
      <w:lvlJc w:val="left"/>
      <w:lvlText w:val="%2."/>
      <w:numFmt w:val="lowerLetter"/>
      <w:start w:val="1"/>
    </w:lvl>
  </w:abstractNum>
  <w:abstractNum w:abstractNumId="318">
    <w:nsid w:val="30DF306"/>
    <w:multiLevelType w:val="hybridMultilevel"/>
    <w:lvl w:ilvl="0">
      <w:lvlJc w:val="left"/>
      <w:lvlText w:val="%1."/>
      <w:numFmt w:val="decimal"/>
      <w:start w:val="9"/>
    </w:lvl>
  </w:abstractNum>
  <w:abstractNum w:abstractNumId="319">
    <w:nsid w:val="A65647"/>
    <w:multiLevelType w:val="hybridMultilevel"/>
    <w:lvl w:ilvl="0">
      <w:lvlJc w:val="left"/>
      <w:lvlText w:val="%1."/>
      <w:numFmt w:val="decimal"/>
      <w:start w:val="1"/>
    </w:lvl>
  </w:abstractNum>
  <w:abstractNum w:abstractNumId="320">
    <w:nsid w:val="3E5E582B"/>
    <w:multiLevelType w:val="hybridMultilevel"/>
    <w:lvl w:ilvl="0">
      <w:lvlJc w:val="left"/>
      <w:lvlText w:val="%1."/>
      <w:numFmt w:val="decimal"/>
      <w:start w:val="2"/>
    </w:lvl>
    <w:lvl w:ilvl="1">
      <w:lvlJc w:val="left"/>
      <w:lvlText w:val="%2."/>
      <w:numFmt w:val="lowerLetter"/>
      <w:start w:val="1"/>
    </w:lvl>
  </w:abstractNum>
  <w:abstractNum w:abstractNumId="321">
    <w:nsid w:val="257D4626"/>
    <w:multiLevelType w:val="hybridMultilevel"/>
    <w:lvl w:ilvl="0">
      <w:lvlJc w:val="left"/>
      <w:lvlText w:val="%1"/>
      <w:numFmt w:val="decimal"/>
      <w:start w:val="1"/>
    </w:lvl>
    <w:lvl w:ilvl="1">
      <w:lvlJc w:val="left"/>
      <w:lvlText w:val="%2."/>
      <w:numFmt w:val="lowerLetter"/>
      <w:start w:val="4"/>
    </w:lvl>
  </w:abstractNum>
  <w:abstractNum w:abstractNumId="322">
    <w:nsid w:val="5AA8580E"/>
    <w:multiLevelType w:val="hybridMultilevel"/>
    <w:lvl w:ilvl="0">
      <w:lvlJc w:val="left"/>
      <w:lvlText w:val="%1."/>
      <w:numFmt w:val="decimal"/>
      <w:start w:val="9"/>
    </w:lvl>
    <w:lvl w:ilvl="1">
      <w:lvlJc w:val="left"/>
      <w:lvlText w:val="%2"/>
      <w:numFmt w:val="lowerLetter"/>
      <w:start w:val="1"/>
    </w:lvl>
  </w:abstractNum>
  <w:abstractNum w:abstractNumId="323">
    <w:nsid w:val="68FA8D0D"/>
    <w:multiLevelType w:val="hybridMultilevel"/>
    <w:lvl w:ilvl="0">
      <w:lvlJc w:val="left"/>
      <w:lvlText w:val="(%1)"/>
      <w:numFmt w:val="lowerLetter"/>
      <w:start w:val="2"/>
    </w:lvl>
  </w:abstractNum>
  <w:abstractNum w:abstractNumId="324">
    <w:nsid w:val="40F2CBD2"/>
    <w:multiLevelType w:val="hybridMultilevel"/>
    <w:lvl w:ilvl="0">
      <w:lvlJc w:val="left"/>
      <w:lvlText w:val="%1"/>
      <w:numFmt w:val="lowerLetter"/>
      <w:start w:val="1"/>
    </w:lvl>
    <w:lvl w:ilvl="1">
      <w:lvlJc w:val="left"/>
      <w:lvlText w:val="(%2)"/>
      <w:numFmt w:val="lowerLetter"/>
      <w:start w:val="1"/>
    </w:lvl>
  </w:abstractNum>
  <w:abstractNum w:abstractNumId="325">
    <w:nsid w:val="3BD615EB"/>
    <w:multiLevelType w:val="hybridMultilevel"/>
    <w:lvl w:ilvl="0">
      <w:lvlJc w:val="left"/>
      <w:lvlText w:val="(%1)"/>
      <w:numFmt w:val="lowerLetter"/>
      <w:start w:val="9"/>
    </w:lvl>
    <w:lvl w:ilvl="1">
      <w:lvlJc w:val="left"/>
      <w:lvlText w:val="(%2)"/>
      <w:numFmt w:val="lowerLetter"/>
      <w:start w:val="3"/>
    </w:lvl>
  </w:abstractNum>
  <w:abstractNum w:abstractNumId="326">
    <w:nsid w:val="A045AB2"/>
    <w:multiLevelType w:val="hybridMultilevel"/>
    <w:lvl w:ilvl="0">
      <w:lvlJc w:val="left"/>
      <w:lvlText w:val="(%1)"/>
      <w:numFmt w:val="lowerRoman"/>
      <w:start w:val="2"/>
    </w:lvl>
  </w:abstractNum>
  <w:abstractNum w:abstractNumId="327">
    <w:nsid w:val="1872261F"/>
    <w:multiLevelType w:val="hybridMultilevel"/>
    <w:lvl w:ilvl="0">
      <w:lvlJc w:val="left"/>
      <w:lvlText w:val="(%1)"/>
      <w:numFmt w:val="lowerLetter"/>
      <w:start w:val="2"/>
    </w:lvl>
  </w:abstractNum>
  <w:abstractNum w:abstractNumId="328">
    <w:nsid w:val="3DE8306C"/>
    <w:multiLevelType w:val="hybridMultilevel"/>
    <w:lvl w:ilvl="0">
      <w:lvlJc w:val="left"/>
      <w:lvlText w:val="(%1)"/>
      <w:numFmt w:val="lowerLetter"/>
      <w:start w:val="1"/>
    </w:lvl>
  </w:abstractNum>
  <w:abstractNum w:abstractNumId="329">
    <w:nsid w:val="7631573A"/>
    <w:multiLevelType w:val="hybridMultilevel"/>
    <w:lvl w:ilvl="0">
      <w:lvlJc w:val="left"/>
      <w:lvlText w:val="(%1)"/>
      <w:numFmt w:val="lowerLetter"/>
      <w:start w:val="2"/>
    </w:lvl>
  </w:abstractNum>
  <w:abstractNum w:abstractNumId="330">
    <w:nsid w:val="58DF53B"/>
    <w:multiLevelType w:val="hybridMultilevel"/>
    <w:lvl w:ilvl="0">
      <w:lvlJc w:val="left"/>
      <w:lvlText w:val="(%1)"/>
      <w:numFmt w:val="lowerLetter"/>
      <w:start w:val="1"/>
    </w:lvl>
  </w:abstractNum>
  <w:abstractNum w:abstractNumId="331">
    <w:nsid w:val="ACDFAC0"/>
    <w:multiLevelType w:val="hybridMultilevel"/>
    <w:lvl w:ilvl="0">
      <w:lvlJc w:val="left"/>
      <w:lvlText w:val="(%1)"/>
      <w:numFmt w:val="lowerLetter"/>
      <w:start w:val="1"/>
    </w:lvl>
  </w:abstractNum>
  <w:abstractNum w:abstractNumId="332">
    <w:nsid w:val="1F578454"/>
    <w:multiLevelType w:val="hybridMultilevel"/>
    <w:lvl w:ilvl="0">
      <w:lvlJc w:val="left"/>
      <w:lvlText w:val="%1"/>
      <w:numFmt w:val="upperLetter"/>
      <w:start w:val="1"/>
    </w:lvl>
    <w:lvl w:ilvl="1">
      <w:lvlJc w:val="left"/>
      <w:lvlText w:val="(%2)"/>
      <w:numFmt w:val="lowerLetter"/>
      <w:start w:val="2"/>
    </w:lvl>
  </w:abstractNum>
  <w:abstractNum w:abstractNumId="333">
    <w:nsid w:val="5B0DAD2A"/>
    <w:multiLevelType w:val="hybridMultilevel"/>
    <w:lvl w:ilvl="0">
      <w:lvlJc w:val="left"/>
      <w:lvlText w:val="(%1)"/>
      <w:numFmt w:val="upperLetter"/>
      <w:start w:val="2"/>
    </w:lvl>
    <w:lvl w:ilvl="1">
      <w:lvlJc w:val="left"/>
      <w:lvlText w:val="(%2)"/>
      <w:numFmt w:val="lowerLetter"/>
      <w:start w:val="3"/>
    </w:lvl>
  </w:abstractNum>
  <w:abstractNum w:abstractNumId="334">
    <w:nsid w:val="4E3D26AB"/>
    <w:multiLevelType w:val="hybridMultilevel"/>
    <w:lvl w:ilvl="0">
      <w:lvlJc w:val="left"/>
      <w:lvlText w:val="(%1)"/>
      <w:numFmt w:val="lowerRoman"/>
      <w:start w:val="2"/>
    </w:lvl>
  </w:abstractNum>
  <w:abstractNum w:abstractNumId="335">
    <w:nsid w:val="BE2C8BA"/>
    <w:multiLevelType w:val="hybridMultilevel"/>
    <w:lvl w:ilvl="0">
      <w:lvlJc w:val="left"/>
      <w:lvlText w:val="%1"/>
      <w:numFmt w:val="lowerLetter"/>
      <w:start w:val="1"/>
    </w:lvl>
    <w:lvl w:ilvl="1">
      <w:lvlJc w:val="left"/>
      <w:lvlText w:val="(%2)"/>
      <w:numFmt w:val="lowerLetter"/>
      <w:start w:val="2"/>
    </w:lvl>
  </w:abstractNum>
  <w:abstractNum w:abstractNumId="336">
    <w:nsid w:val="7B14914E"/>
    <w:multiLevelType w:val="hybridMultilevel"/>
    <w:lvl w:ilvl="0">
      <w:lvlJc w:val="left"/>
      <w:lvlText w:val="(%1)"/>
      <w:numFmt w:val="lowerLetter"/>
      <w:start w:val="9"/>
    </w:lvl>
    <w:lvl w:ilvl="1">
      <w:lvlJc w:val="left"/>
      <w:lvlText w:val="%2"/>
      <w:numFmt w:val="lowerLetter"/>
      <w:start w:val="1"/>
    </w:lvl>
  </w:abstractNum>
  <w:abstractNum w:abstractNumId="337">
    <w:nsid w:val="6F0939F8"/>
    <w:multiLevelType w:val="hybridMultilevel"/>
    <w:lvl w:ilvl="0">
      <w:lvlJc w:val="left"/>
      <w:lvlText w:val="(%1)"/>
      <w:numFmt w:val="lowerLetter"/>
      <w:start w:val="4"/>
    </w:lvl>
  </w:abstractNum>
  <w:abstractNum w:abstractNumId="338">
    <w:nsid w:val="154291F6"/>
    <w:multiLevelType w:val="hybridMultilevel"/>
    <w:lvl w:ilvl="0">
      <w:lvlJc w:val="left"/>
      <w:lvlText w:val="(%1)"/>
      <w:numFmt w:val="lowerRoman"/>
      <w:start w:val="1"/>
    </w:lvl>
  </w:abstractNum>
  <w:abstractNum w:abstractNumId="339">
    <w:nsid w:val="3CEBD7C7"/>
    <w:multiLevelType w:val="hybridMultilevel"/>
    <w:lvl w:ilvl="0">
      <w:lvlJc w:val="left"/>
      <w:lvlText w:val="%1"/>
      <w:numFmt w:val="lowerLetter"/>
      <w:start w:val="1"/>
    </w:lvl>
    <w:lvl w:ilvl="1">
      <w:lvlJc w:val="left"/>
      <w:lvlText w:val="(%2)"/>
      <w:numFmt w:val="lowerLetter"/>
      <w:start w:val="2"/>
    </w:lvl>
  </w:abstractNum>
  <w:abstractNum w:abstractNumId="340">
    <w:nsid w:val="60EE9C16"/>
    <w:multiLevelType w:val="hybridMultilevel"/>
    <w:lvl w:ilvl="0">
      <w:lvlJc w:val="left"/>
      <w:lvlText w:val="(%1)"/>
      <w:numFmt w:val="lowerLetter"/>
      <w:start w:val="35"/>
    </w:lvl>
    <w:lvl w:ilvl="1">
      <w:lvlJc w:val="left"/>
      <w:lvlText w:val="(%2)"/>
      <w:numFmt w:val="lowerLetter"/>
      <w:start w:val="3"/>
    </w:lvl>
  </w:abstractNum>
  <w:abstractNum w:abstractNumId="341">
    <w:nsid w:val="6385489E"/>
    <w:multiLevelType w:val="hybridMultilevel"/>
    <w:lvl w:ilvl="0">
      <w:lvlJc w:val="left"/>
      <w:lvlText w:val="(%1)"/>
      <w:numFmt w:val="lowerLetter"/>
      <w:start w:val="4"/>
    </w:lvl>
  </w:abstractNum>
  <w:abstractNum w:abstractNumId="342">
    <w:nsid w:val="E4B973"/>
    <w:multiLevelType w:val="hybridMultilevel"/>
    <w:lvl w:ilvl="0">
      <w:lvlJc w:val="left"/>
      <w:lvlText w:val="(%1)"/>
      <w:numFmt w:val="lowerLetter"/>
      <w:start w:val="6"/>
    </w:lvl>
  </w:abstractNum>
  <w:abstractNum w:abstractNumId="343">
    <w:nsid w:val="4A0FFA11"/>
    <w:multiLevelType w:val="hybridMultilevel"/>
    <w:lvl w:ilvl="0">
      <w:lvlJc w:val="left"/>
      <w:lvlText w:val="%1"/>
      <w:numFmt w:val="lowerLetter"/>
      <w:start w:val="1"/>
    </w:lvl>
    <w:lvl w:ilvl="1">
      <w:lvlJc w:val="left"/>
      <w:lvlText w:val="(%2)"/>
      <w:numFmt w:val="lowerLetter"/>
      <w:start w:val="7"/>
    </w:lvl>
  </w:abstractNum>
  <w:abstractNum w:abstractNumId="344">
    <w:nsid w:val="5E446208"/>
    <w:multiLevelType w:val="hybridMultilevel"/>
    <w:lvl w:ilvl="0">
      <w:lvlJc w:val="left"/>
      <w:lvlText w:val="(%1)"/>
      <w:numFmt w:val="lowerLetter"/>
      <w:start w:val="9"/>
    </w:lvl>
    <w:lvl w:ilvl="1">
      <w:lvlJc w:val="left"/>
      <w:lvlText w:val="%2"/>
      <w:numFmt w:val="lowerLetter"/>
      <w:start w:val="1"/>
    </w:lvl>
  </w:abstractNum>
  <w:abstractNum w:abstractNumId="345">
    <w:nsid w:val="5F3272DB"/>
    <w:multiLevelType w:val="hybridMultilevel"/>
    <w:lvl w:ilvl="0">
      <w:lvlJc w:val="left"/>
      <w:lvlText w:val="(%1)"/>
      <w:numFmt w:val="lowerLetter"/>
      <w:start w:val="10"/>
    </w:lvl>
  </w:abstractNum>
  <w:abstractNum w:abstractNumId="346">
    <w:nsid w:val="7616D704"/>
    <w:multiLevelType w:val="hybridMultilevel"/>
    <w:lvl w:ilvl="0">
      <w:lvlJc w:val="left"/>
      <w:lvlText w:val="(%1)"/>
      <w:numFmt w:val="lowerLetter"/>
      <w:start w:val="12"/>
    </w:lvl>
  </w:abstractNum>
  <w:abstractNum w:abstractNumId="347">
    <w:nsid w:val="C56F860"/>
    <w:multiLevelType w:val="hybridMultilevel"/>
    <w:lvl w:ilvl="0">
      <w:lvlJc w:val="left"/>
      <w:lvlText w:val="(%1)"/>
      <w:numFmt w:val="lowerLetter"/>
      <w:start w:val="3"/>
    </w:lvl>
    <w:lvl w:ilvl="1">
      <w:lvlJc w:val="left"/>
      <w:lvlText w:val="(%2)"/>
      <w:numFmt w:val="lowerLetter"/>
      <w:start w:val="9"/>
    </w:lvl>
  </w:abstractNum>
  <w:abstractNum w:abstractNumId="348">
    <w:nsid w:val="64D17722"/>
    <w:multiLevelType w:val="hybridMultilevel"/>
    <w:lvl w:ilvl="0">
      <w:lvlJc w:val="left"/>
      <w:lvlText w:val="(%1)"/>
      <w:numFmt w:val="lowerRoman"/>
      <w:start w:val="2"/>
    </w:lvl>
  </w:abstractNum>
  <w:abstractNum w:abstractNumId="349">
    <w:nsid w:val="7924CA0A"/>
    <w:multiLevelType w:val="hybridMultilevel"/>
    <w:lvl w:ilvl="0">
      <w:lvlJc w:val="left"/>
      <w:lvlText w:val="(%1)"/>
      <w:numFmt w:val="lowerLetter"/>
      <w:start w:val="4"/>
    </w:lvl>
  </w:abstractNum>
  <w:abstractNum w:abstractNumId="350">
    <w:nsid w:val="CFD4EA7"/>
    <w:multiLevelType w:val="hybridMultilevel"/>
    <w:lvl w:ilvl="0">
      <w:lvlJc w:val="left"/>
      <w:lvlText w:val="(%1)"/>
      <w:numFmt w:val="lowerLetter"/>
      <w:start w:val="5"/>
    </w:lvl>
  </w:abstractNum>
  <w:abstractNum w:abstractNumId="351">
    <w:nsid w:val="232FCF4D"/>
    <w:multiLevelType w:val="hybridMultilevel"/>
    <w:lvl w:ilvl="0">
      <w:lvlJc w:val="left"/>
      <w:lvlText w:val="(%1)"/>
      <w:numFmt w:val="lowerLetter"/>
      <w:start w:val="11"/>
    </w:lvl>
  </w:abstractNum>
  <w:abstractNum w:abstractNumId="352">
    <w:nsid w:val="1EA21031"/>
    <w:multiLevelType w:val="hybridMultilevel"/>
    <w:lvl w:ilvl="0">
      <w:lvlJc w:val="left"/>
      <w:lvlText w:val="(%1)"/>
      <w:numFmt w:val="lowerLetter"/>
      <w:start w:val="2"/>
    </w:lvl>
  </w:abstractNum>
  <w:abstractNum w:abstractNumId="353">
    <w:nsid w:val="67A5A6B5"/>
    <w:multiLevelType w:val="hybridMultilevel"/>
    <w:lvl w:ilvl="0">
      <w:lvlJc w:val="left"/>
      <w:lvlText w:val="(%1)"/>
      <w:numFmt w:val="lowerLetter"/>
      <w:start w:val="2"/>
    </w:lvl>
  </w:abstractNum>
  <w:abstractNum w:abstractNumId="354">
    <w:nsid w:val="C2A5C5B"/>
    <w:multiLevelType w:val="hybridMultilevel"/>
    <w:lvl w:ilvl="0">
      <w:lvlJc w:val="left"/>
      <w:lvlText w:val="(%1)"/>
      <w:numFmt w:val="lowerLetter"/>
      <w:start w:val="3"/>
    </w:lvl>
    <w:lvl w:ilvl="1">
      <w:lvlJc w:val="left"/>
      <w:lvlText w:val="(%2)"/>
      <w:numFmt w:val="lowerRoman"/>
      <w:start w:val="1"/>
    </w:lvl>
  </w:abstractNum>
  <w:abstractNum w:abstractNumId="355">
    <w:nsid w:val="5F94DC03"/>
    <w:multiLevelType w:val="hybridMultilevel"/>
    <w:lvl w:ilvl="0">
      <w:lvlJc w:val="left"/>
      <w:lvlText w:val="(%1)"/>
      <w:numFmt w:val="lowerLetter"/>
      <w:start w:val="4"/>
    </w:lvl>
  </w:abstractNum>
  <w:abstractNum w:abstractNumId="356">
    <w:nsid w:val="237BBCA0"/>
    <w:multiLevelType w:val="hybridMultilevel"/>
    <w:lvl w:ilvl="0">
      <w:lvlJc w:val="left"/>
      <w:lvlText w:val="(%1)"/>
      <w:numFmt w:val="lowerLetter"/>
      <w:start w:val="6"/>
    </w:lvl>
  </w:abstractNum>
  <w:abstractNum w:abstractNumId="357">
    <w:nsid w:val="162EB70D"/>
    <w:multiLevelType w:val="hybridMultilevel"/>
    <w:lvl w:ilvl="0">
      <w:lvlJc w:val="left"/>
      <w:lvlText w:val="(%1)"/>
      <w:numFmt w:val="lowerLetter"/>
      <w:start w:val="2"/>
    </w:lvl>
  </w:abstractNum>
  <w:abstractNum w:abstractNumId="358">
    <w:nsid w:val="78070222"/>
    <w:multiLevelType w:val="hybridMultilevel"/>
    <w:lvl w:ilvl="0">
      <w:lvlJc w:val="left"/>
      <w:lvlText w:val="(%1)"/>
      <w:numFmt w:val="lowerLetter"/>
      <w:start w:val="4"/>
    </w:lvl>
  </w:abstractNum>
  <w:abstractNum w:abstractNumId="359">
    <w:nsid w:val="6163ED0D"/>
    <w:multiLevelType w:val="hybridMultilevel"/>
    <w:lvl w:ilvl="0">
      <w:lvlJc w:val="left"/>
      <w:lvlText w:val="(%1)"/>
      <w:numFmt w:val="lowerLetter"/>
      <w:start w:val="5"/>
    </w:lvl>
  </w:abstractNum>
  <w:abstractNum w:abstractNumId="360">
    <w:nsid w:val="C600E47"/>
    <w:multiLevelType w:val="hybridMultilevel"/>
    <w:lvl w:ilvl="0">
      <w:lvlJc w:val="left"/>
      <w:lvlText w:val="(%1)"/>
      <w:numFmt w:val="lowerLetter"/>
      <w:start w:val="2"/>
    </w:lvl>
  </w:abstractNum>
  <w:abstractNum w:abstractNumId="361">
    <w:nsid w:val="7D94F75D"/>
    <w:multiLevelType w:val="hybridMultilevel"/>
    <w:lvl w:ilvl="0">
      <w:lvlJc w:val="left"/>
      <w:lvlText w:val="(%1)"/>
      <w:numFmt w:val="lowerLetter"/>
      <w:start w:val="4"/>
    </w:lvl>
  </w:abstractNum>
  <w:abstractNum w:abstractNumId="362">
    <w:nsid w:val="6C31E7CD"/>
    <w:multiLevelType w:val="hybridMultilevel"/>
    <w:lvl w:ilvl="0">
      <w:lvlJc w:val="left"/>
      <w:lvlText w:val="(%1)"/>
      <w:numFmt w:val="lowerLetter"/>
      <w:start w:val="2"/>
    </w:lvl>
  </w:abstractNum>
  <w:abstractNum w:abstractNumId="363">
    <w:nsid w:val="2BB7929B"/>
    <w:multiLevelType w:val="hybridMultilevel"/>
    <w:lvl w:ilvl="0">
      <w:lvlJc w:val="left"/>
      <w:lvlText w:val="(%1)"/>
      <w:numFmt w:val="lowerLetter"/>
      <w:start w:val="2"/>
    </w:lvl>
  </w:abstractNum>
  <w:abstractNum w:abstractNumId="364">
    <w:nsid w:val="58A2A487"/>
    <w:multiLevelType w:val="hybridMultilevel"/>
    <w:lvl w:ilvl="0">
      <w:lvlJc w:val="left"/>
      <w:lvlText w:val="(%1)"/>
      <w:numFmt w:val="lowerLetter"/>
      <w:start w:val="4"/>
    </w:lvl>
  </w:abstractNum>
  <w:abstractNum w:abstractNumId="365">
    <w:nsid w:val="3A6F0E78"/>
    <w:multiLevelType w:val="hybridMultilevel"/>
    <w:lvl w:ilvl="0">
      <w:lvlJc w:val="left"/>
      <w:lvlText w:val="(%1)"/>
      <w:numFmt w:val="lowerLetter"/>
      <w:start w:val="2"/>
    </w:lvl>
  </w:abstractNum>
  <w:abstractNum w:abstractNumId="366">
    <w:nsid w:val="379A5B56"/>
    <w:multiLevelType w:val="hybridMultilevel"/>
    <w:lvl w:ilvl="0">
      <w:lvlJc w:val="left"/>
      <w:lvlText w:val="(%1)"/>
      <w:numFmt w:val="lowerLetter"/>
      <w:start w:val="3"/>
    </w:lvl>
  </w:abstractNum>
  <w:abstractNum w:abstractNumId="367">
    <w:nsid w:val="53B735D5"/>
    <w:multiLevelType w:val="hybridMultilevel"/>
    <w:lvl w:ilvl="0">
      <w:lvlJc w:val="left"/>
      <w:lvlText w:val="(%1)"/>
      <w:numFmt w:val="lowerLetter"/>
      <w:start w:val="2"/>
    </w:lvl>
  </w:abstractNum>
  <w:abstractNum w:abstractNumId="368">
    <w:nsid w:val="29784870"/>
    <w:multiLevelType w:val="hybridMultilevel"/>
    <w:lvl w:ilvl="0">
      <w:lvlJc w:val="left"/>
      <w:lvlText w:val="%1"/>
      <w:numFmt w:val="lowerLetter"/>
      <w:start w:val="1"/>
    </w:lvl>
    <w:lvl w:ilvl="1">
      <w:lvlJc w:val="left"/>
      <w:lvlText w:val="(%2)"/>
      <w:numFmt w:val="lowerLetter"/>
      <w:start w:val="3"/>
    </w:lvl>
  </w:abstractNum>
  <w:abstractNum w:abstractNumId="369">
    <w:nsid w:val="4CDCED4C"/>
    <w:multiLevelType w:val="hybridMultilevel"/>
    <w:lvl w:ilvl="0">
      <w:lvlJc w:val="left"/>
      <w:lvlText w:val="(%1)"/>
      <w:numFmt w:val="lowerLetter"/>
      <w:start w:val="35"/>
    </w:lvl>
    <w:lvl w:ilvl="1">
      <w:lvlJc w:val="left"/>
      <w:lvlText w:val="(%2)"/>
      <w:numFmt w:val="lowerLetter"/>
      <w:start w:val="7"/>
    </w:lvl>
  </w:abstractNum>
  <w:abstractNum w:abstractNumId="370">
    <w:nsid w:val="10A30D9C"/>
    <w:multiLevelType w:val="hybridMultilevel"/>
    <w:lvl w:ilvl="0">
      <w:lvlJc w:val="left"/>
      <w:lvlText w:val="(%1)"/>
      <w:numFmt w:val="lowerLetter"/>
      <w:start w:val="35"/>
    </w:lvl>
    <w:lvl w:ilvl="1">
      <w:lvlJc w:val="left"/>
      <w:lvlText w:val="(%2)"/>
      <w:numFmt w:val="lowerLetter"/>
      <w:start w:val="8"/>
    </w:lvl>
  </w:abstractNum>
  <w:abstractNum w:abstractNumId="371">
    <w:nsid w:val="A66E486"/>
    <w:multiLevelType w:val="hybridMultilevel"/>
    <w:lvl w:ilvl="0">
      <w:lvlJc w:val="left"/>
      <w:lvlText w:val="(%1)"/>
      <w:numFmt w:val="lowerRoman"/>
      <w:start w:val="1"/>
    </w:lvl>
    <w:lvl w:ilvl="1">
      <w:lvlJc w:val="left"/>
      <w:lvlText w:val="(%2)"/>
      <w:numFmt w:val="lowerRoman"/>
      <w:start w:val="1"/>
    </w:lvl>
  </w:abstractNum>
  <w:abstractNum w:abstractNumId="372">
    <w:nsid w:val="306235EA"/>
    <w:multiLevelType w:val="hybridMultilevel"/>
    <w:lvl w:ilvl="0">
      <w:lvlJc w:val="left"/>
      <w:lvlText w:val="(%1)"/>
      <w:numFmt w:val="lowerRoman"/>
      <w:start w:val="1"/>
    </w:lvl>
  </w:abstractNum>
  <w:abstractNum w:abstractNumId="373">
    <w:nsid w:val="1187C70F"/>
    <w:multiLevelType w:val="hybridMultilevel"/>
    <w:lvl w:ilvl="0">
      <w:lvlJc w:val="left"/>
      <w:lvlText w:val="(%1)"/>
      <w:numFmt w:val="decimal"/>
      <w:start w:val="2"/>
    </w:lvl>
    <w:lvl w:ilvl="1">
      <w:lvlJc w:val="left"/>
      <w:lvlText w:val="(%2)"/>
      <w:numFmt w:val="lowerLetter"/>
      <w:start w:val="2"/>
    </w:lvl>
  </w:abstractNum>
  <w:abstractNum w:abstractNumId="374">
    <w:nsid w:val="5476DE98"/>
    <w:multiLevelType w:val="hybridMultilevel"/>
    <w:lvl w:ilvl="0">
      <w:lvlJc w:val="left"/>
      <w:lvlText w:val="(%1)"/>
      <w:numFmt w:val="lowerRoman"/>
      <w:start w:val="1"/>
    </w:lvl>
  </w:abstractNum>
  <w:abstractNum w:abstractNumId="375">
    <w:nsid w:val="EA697F2"/>
    <w:multiLevelType w:val="hybridMultilevel"/>
    <w:lvl w:ilvl="0">
      <w:lvlJc w:val="left"/>
      <w:lvlText w:val="%1"/>
      <w:numFmt w:val="lowerLetter"/>
      <w:start w:val="1"/>
    </w:lvl>
    <w:lvl w:ilvl="1">
      <w:lvlJc w:val="left"/>
      <w:lvlText w:val="(%2)"/>
      <w:numFmt w:val="lowerLetter"/>
      <w:start w:val="2"/>
    </w:lvl>
  </w:abstractNum>
  <w:abstractNum w:abstractNumId="376">
    <w:nsid w:val="70BA39EB"/>
    <w:multiLevelType w:val="hybridMultilevel"/>
    <w:lvl w:ilvl="0">
      <w:lvlJc w:val="left"/>
      <w:lvlText w:val="(%1)"/>
      <w:numFmt w:val="lowerLetter"/>
      <w:start w:val="2"/>
    </w:lvl>
    <w:lvl w:ilvl="1">
      <w:lvlJc w:val="left"/>
      <w:lvlText w:val="%2"/>
      <w:numFmt w:val="lowerLetter"/>
      <w:start w:val="1"/>
    </w:lvl>
  </w:abstractNum>
  <w:abstractNum w:abstractNumId="377">
    <w:nsid w:val="4A8DB59C"/>
    <w:multiLevelType w:val="hybridMultilevel"/>
    <w:lvl w:ilvl="0">
      <w:lvlJc w:val="left"/>
      <w:lvlText w:val="(%1)"/>
      <w:numFmt w:val="lowerLetter"/>
      <w:start w:val="4"/>
    </w:lvl>
  </w:abstractNum>
  <w:abstractNum w:abstractNumId="378">
    <w:nsid w:val="1AFD9053"/>
    <w:multiLevelType w:val="hybridMultilevel"/>
    <w:lvl w:ilvl="0">
      <w:lvlJc w:val="left"/>
      <w:lvlText w:val="(%1)"/>
      <w:numFmt w:val="lowerLetter"/>
      <w:start w:val="61"/>
    </w:lvl>
    <w:lvl w:ilvl="1">
      <w:lvlJc w:val="left"/>
      <w:lvlText w:val="(%2)"/>
      <w:numFmt w:val="lowerLetter"/>
      <w:start w:val="2"/>
    </w:lvl>
  </w:abstractNum>
  <w:abstractNum w:abstractNumId="379">
    <w:nsid w:val="558BB10D"/>
    <w:multiLevelType w:val="hybridMultilevel"/>
    <w:lvl w:ilvl="0">
      <w:lvlJc w:val="left"/>
      <w:lvlText w:val="(%1)"/>
      <w:numFmt w:val="lowerRoman"/>
      <w:start w:val="2"/>
    </w:lvl>
  </w:abstractNum>
  <w:abstractNum w:abstractNumId="380">
    <w:nsid w:val="43B27FA7"/>
    <w:multiLevelType w:val="hybridMultilevel"/>
    <w:lvl w:ilvl="0">
      <w:lvlJc w:val="left"/>
      <w:lvlText w:val="(%1)"/>
      <w:numFmt w:val="lowerLetter"/>
      <w:start w:val="4"/>
    </w:lvl>
    <w:lvl w:ilvl="1">
      <w:lvlJc w:val="left"/>
      <w:lvlText w:val="(%2)"/>
      <w:numFmt w:val="lowerLetter"/>
      <w:start w:val="35"/>
    </w:lvl>
  </w:abstractNum>
  <w:abstractNum w:abstractNumId="381">
    <w:nsid w:val="27FADEFA"/>
    <w:multiLevelType w:val="hybridMultilevel"/>
    <w:lvl w:ilvl="0">
      <w:lvlJc w:val="left"/>
      <w:lvlText w:val="%1"/>
      <w:numFmt w:val="lowerLetter"/>
      <w:start w:val="1"/>
    </w:lvl>
    <w:lvl w:ilvl="1">
      <w:lvlJc w:val="left"/>
      <w:lvlText w:val="(%2)"/>
      <w:numFmt w:val="lowerLetter"/>
      <w:start w:val="61"/>
    </w:lvl>
  </w:abstractNum>
  <w:abstractNum w:abstractNumId="382">
    <w:nsid w:val="78BB805A"/>
    <w:multiLevelType w:val="hybridMultilevel"/>
    <w:lvl w:ilvl="0">
      <w:lvlJc w:val="left"/>
      <w:lvlText w:val="(%1)"/>
      <w:numFmt w:val="lowerLetter"/>
      <w:start w:val="6"/>
    </w:lvl>
    <w:lvl w:ilvl="1">
      <w:lvlJc w:val="left"/>
      <w:lvlText w:val="%2"/>
      <w:numFmt w:val="lowerLetter"/>
      <w:start w:val="1"/>
    </w:lvl>
  </w:abstractNum>
  <w:abstractNum w:abstractNumId="383">
    <w:nsid w:val="62548FD8"/>
    <w:multiLevelType w:val="hybridMultilevel"/>
    <w:lvl w:ilvl="0">
      <w:lvlJc w:val="left"/>
      <w:lvlText w:val="(%1)"/>
      <w:numFmt w:val="lowerRoman"/>
      <w:start w:val="1"/>
    </w:lvl>
  </w:abstractNum>
  <w:abstractNum w:abstractNumId="384">
    <w:nsid w:val="FA085B0"/>
    <w:multiLevelType w:val="hybridMultilevel"/>
    <w:lvl w:ilvl="0">
      <w:lvlJc w:val="left"/>
      <w:lvlText w:val="(%1)"/>
      <w:numFmt w:val="lowerLetter"/>
      <w:start w:val="2"/>
    </w:lvl>
  </w:abstractNum>
  <w:abstractNum w:abstractNumId="385">
    <w:nsid w:val="4E5DCB5"/>
    <w:multiLevelType w:val="hybridMultilevel"/>
    <w:lvl w:ilvl="0">
      <w:lvlJc w:val="left"/>
      <w:lvlText w:val="(%1)"/>
      <w:numFmt w:val="lowerLetter"/>
      <w:start w:val="5"/>
    </w:lvl>
  </w:abstractNum>
  <w:abstractNum w:abstractNumId="386">
    <w:nsid w:val="41E96BDB"/>
    <w:multiLevelType w:val="hybridMultilevel"/>
    <w:lvl w:ilvl="0">
      <w:lvlJc w:val="left"/>
      <w:lvlText w:val="(%1)"/>
      <w:numFmt w:val="lowerLetter"/>
      <w:start w:val="2"/>
    </w:lvl>
  </w:abstractNum>
  <w:abstractNum w:abstractNumId="387">
    <w:nsid w:val="331C4250"/>
    <w:multiLevelType w:val="hybridMultilevel"/>
    <w:lvl w:ilvl="0">
      <w:lvlJc w:val="left"/>
      <w:lvlText w:val="(%1)"/>
      <w:numFmt w:val="lowerLetter"/>
      <w:start w:val="24"/>
    </w:lvl>
    <w:lvl w:ilvl="1">
      <w:lvlJc w:val="left"/>
      <w:lvlText w:val="(%2)"/>
      <w:numFmt w:val="lowerLetter"/>
      <w:start w:val="3"/>
    </w:lvl>
  </w:abstractNum>
  <w:abstractNum w:abstractNumId="388">
    <w:nsid w:val="1B1493C2"/>
    <w:multiLevelType w:val="hybridMultilevel"/>
    <w:lvl w:ilvl="0">
      <w:lvlJc w:val="left"/>
      <w:lvlText w:val="(%1)"/>
      <w:numFmt w:val="lowerLetter"/>
      <w:start w:val="1"/>
    </w:lvl>
  </w:abstractNum>
  <w:abstractNum w:abstractNumId="389">
    <w:nsid w:val="39F06DF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90">
    <w:nsid w:val="14802F5D"/>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91">
    <w:nsid w:val="2774A209"/>
    <w:multiLevelType w:val="hybridMultilevel"/>
    <w:lvl w:ilvl="0">
      <w:lvlJc w:val="left"/>
      <w:lvlText w:val="(%1)"/>
      <w:numFmt w:val="lowerLetter"/>
      <w:start w:val="4"/>
    </w:lvl>
  </w:abstractNum>
  <w:abstractNum w:abstractNumId="392">
    <w:nsid w:val="3785655A"/>
    <w:multiLevelType w:val="hybridMultilevel"/>
    <w:lvl w:ilvl="0">
      <w:lvlJc w:val="left"/>
      <w:lvlText w:val="(%1)"/>
      <w:numFmt w:val="lowerLetter"/>
      <w:start w:val="2"/>
    </w:lvl>
  </w:abstractNum>
  <w:abstractNum w:abstractNumId="393">
    <w:nsid w:val="B2172A"/>
    <w:multiLevelType w:val="hybridMultilevel"/>
    <w:lvl w:ilvl="0">
      <w:lvlJc w:val="left"/>
      <w:lvlText w:val="(%1)"/>
      <w:numFmt w:val="lowerLetter"/>
      <w:start w:val="2"/>
    </w:lvl>
  </w:abstractNum>
  <w:abstractNum w:abstractNumId="394">
    <w:nsid w:val="532C34A5"/>
    <w:multiLevelType w:val="hybridMultilevel"/>
    <w:lvl w:ilvl="0">
      <w:lvlJc w:val="left"/>
      <w:lvlText w:val="(%1)"/>
      <w:numFmt w:val="lowerLetter"/>
      <w:start w:val="2"/>
    </w:lvl>
  </w:abstractNum>
  <w:abstractNum w:abstractNumId="395">
    <w:nsid w:val="102809E2"/>
    <w:multiLevelType w:val="hybridMultilevel"/>
    <w:lvl w:ilvl="0">
      <w:lvlJc w:val="left"/>
      <w:lvlText w:val="(%1)"/>
      <w:numFmt w:val="lowerLetter"/>
      <w:start w:val="2"/>
    </w:lvl>
  </w:abstractNum>
  <w:abstractNum w:abstractNumId="396">
    <w:nsid w:val="3B2125A3"/>
    <w:multiLevelType w:val="hybridMultilevel"/>
    <w:lvl w:ilvl="0">
      <w:lvlJc w:val="left"/>
      <w:lvlText w:val="(%1)"/>
      <w:numFmt w:val="lowerLetter"/>
      <w:start w:val="2"/>
    </w:lvl>
  </w:abstractNum>
  <w:abstractNum w:abstractNumId="397">
    <w:nsid w:val="AC68FFB"/>
    <w:multiLevelType w:val="hybridMultilevel"/>
    <w:lvl w:ilvl="0">
      <w:lvlJc w:val="left"/>
      <w:lvlText w:val="(%1)"/>
      <w:numFmt w:val="lowerLetter"/>
      <w:start w:val="1"/>
    </w:lvl>
  </w:abstractNum>
  <w:abstractNum w:abstractNumId="398">
    <w:nsid w:val="63DF3FB7"/>
    <w:multiLevelType w:val="hybridMultilevel"/>
    <w:lvl w:ilvl="0">
      <w:lvlJc w:val="left"/>
      <w:lvlText w:val="(%1)"/>
      <w:numFmt w:val="lowerLetter"/>
      <w:start w:val="6"/>
    </w:lvl>
  </w:abstractNum>
  <w:abstractNum w:abstractNumId="399">
    <w:nsid w:val="64996E13"/>
    <w:multiLevelType w:val="hybridMultilevel"/>
    <w:lvl w:ilvl="0">
      <w:lvlJc w:val="left"/>
      <w:lvlText w:val="(%1)"/>
      <w:numFmt w:val="lowerLetter"/>
      <w:start w:val="1"/>
    </w:lvl>
  </w:abstractNum>
  <w:abstractNum w:abstractNumId="400">
    <w:nsid w:val="57A37D47"/>
    <w:multiLevelType w:val="hybridMultilevel"/>
    <w:lvl w:ilvl="0">
      <w:lvlJc w:val="left"/>
      <w:lvlText w:val="(%1)"/>
      <w:numFmt w:val="lowerLetter"/>
      <w:start w:val="1"/>
    </w:lvl>
  </w:abstractNum>
  <w:abstractNum w:abstractNumId="401">
    <w:nsid w:val="74824D54"/>
    <w:multiLevelType w:val="hybridMultilevel"/>
    <w:lvl w:ilvl="0">
      <w:lvlJc w:val="left"/>
      <w:lvlText w:val="(%1)"/>
      <w:numFmt w:val="lowerLetter"/>
      <w:start w:val="1"/>
    </w:lvl>
  </w:abstractNum>
  <w:abstractNum w:abstractNumId="402">
    <w:nsid w:val="6F00529A"/>
    <w:multiLevelType w:val="hybridMultilevel"/>
    <w:lvl w:ilvl="0">
      <w:lvlJc w:val="left"/>
      <w:lvlText w:val="%1"/>
      <w:numFmt w:val="lowerLetter"/>
      <w:start w:val="1"/>
    </w:lvl>
    <w:lvl w:ilvl="1">
      <w:lvlJc w:val="left"/>
      <w:lvlText w:val="(%2)"/>
      <w:numFmt w:val="lowerLetter"/>
      <w:start w:val="2"/>
    </w:lvl>
  </w:abstractNum>
  <w:abstractNum w:abstractNumId="403">
    <w:nsid w:val="805B331"/>
    <w:multiLevelType w:val="hybridMultilevel"/>
    <w:lvl w:ilvl="0">
      <w:lvlJc w:val="left"/>
      <w:lvlText w:val="(%1)"/>
      <w:numFmt w:val="lowerLetter"/>
      <w:start w:val="9"/>
    </w:lvl>
    <w:lvl w:ilvl="1">
      <w:lvlJc w:val="left"/>
      <w:lvlText w:val="(%2)"/>
      <w:numFmt w:val="lowerLetter"/>
      <w:start w:val="4"/>
    </w:lvl>
  </w:abstractNum>
  <w:abstractNum w:abstractNumId="404">
    <w:nsid w:val="60A1463"/>
    <w:multiLevelType w:val="hybridMultilevel"/>
    <w:lvl w:ilvl="0">
      <w:lvlJc w:val="left"/>
      <w:lvlText w:val="(%1)"/>
      <w:numFmt w:val="lowerLetter"/>
      <w:start w:val="1"/>
    </w:lvl>
  </w:abstractNum>
  <w:abstractNum w:abstractNumId="405">
    <w:nsid w:val="43773132"/>
    <w:multiLevelType w:val="hybridMultilevel"/>
    <w:lvl w:ilvl="0">
      <w:lvlJc w:val="left"/>
      <w:lvlText w:val="(%1)"/>
      <w:numFmt w:val="lowerLetter"/>
      <w:start w:val="1"/>
    </w:lvl>
  </w:abstractNum>
  <w:abstractNum w:abstractNumId="406">
    <w:nsid w:val="16AC4B23"/>
    <w:multiLevelType w:val="hybridMultilevel"/>
    <w:lvl w:ilvl="0">
      <w:lvlJc w:val="left"/>
      <w:lvlText w:val="(%1)"/>
      <w:numFmt w:val="lowerLetter"/>
      <w:start w:val="1"/>
    </w:lvl>
  </w:abstractNum>
  <w:abstractNum w:abstractNumId="407">
    <w:nsid w:val="76C44E4E"/>
    <w:multiLevelType w:val="hybridMultilevel"/>
    <w:lvl w:ilvl="0">
      <w:lvlJc w:val="left"/>
      <w:lvlText w:val="(%1)"/>
      <w:numFmt w:val="lowerLetter"/>
      <w:start w:val="7"/>
    </w:lvl>
  </w:abstractNum>
  <w:abstractNum w:abstractNumId="408">
    <w:nsid w:val="E04E6CE"/>
    <w:multiLevelType w:val="hybridMultilevel"/>
    <w:lvl w:ilvl="0">
      <w:lvlJc w:val="left"/>
      <w:lvlText w:val="(%1)"/>
      <w:numFmt w:val="lowerLetter"/>
      <w:start w:val="1"/>
    </w:lvl>
  </w:abstractNum>
  <w:abstractNum w:abstractNumId="409">
    <w:nsid w:val="31A9DB76"/>
    <w:multiLevelType w:val="hybridMultilevel"/>
    <w:lvl w:ilvl="0">
      <w:lvlJc w:val="left"/>
      <w:lvlText w:val="(%1)"/>
      <w:numFmt w:val="lowerLetter"/>
      <w:start w:val="6"/>
    </w:lvl>
  </w:abstractNum>
  <w:abstractNum w:abstractNumId="410">
    <w:nsid w:val="4C4FFF5B"/>
    <w:multiLevelType w:val="hybridMultilevel"/>
    <w:lvl w:ilvl="0">
      <w:lvlJc w:val="left"/>
      <w:lvlText w:val="(%1)"/>
      <w:numFmt w:val="lowerRoman"/>
      <w:start w:val="3"/>
    </w:lvl>
  </w:abstractNum>
  <w:abstractNum w:abstractNumId="411">
    <w:nsid w:val="51B76675"/>
    <w:multiLevelType w:val="hybridMultilevel"/>
    <w:lvl w:ilvl="0">
      <w:lvlJc w:val="left"/>
      <w:lvlText w:val="(%1)"/>
      <w:numFmt w:val="lowerLetter"/>
      <w:start w:val="2"/>
    </w:lvl>
  </w:abstractNum>
  <w:abstractNum w:abstractNumId="412">
    <w:nsid w:val="59A4BA71"/>
    <w:multiLevelType w:val="hybridMultilevel"/>
    <w:lvl w:ilvl="0">
      <w:lvlJc w:val="left"/>
      <w:lvlText w:val="(%1)"/>
      <w:numFmt w:val="lowerLetter"/>
      <w:start w:val="1"/>
    </w:lvl>
  </w:abstractNum>
  <w:abstractNum w:abstractNumId="413">
    <w:nsid w:val="450B7FB6"/>
    <w:multiLevelType w:val="hybridMultilevel"/>
    <w:lvl w:ilvl="0">
      <w:lvlJc w:val="left"/>
      <w:lvlText w:val="%1"/>
      <w:numFmt w:val="lowerLetter"/>
      <w:start w:val="1"/>
    </w:lvl>
    <w:lvl w:ilvl="1">
      <w:lvlJc w:val="left"/>
      <w:lvlText w:val="(%2)"/>
      <w:numFmt w:val="lowerLetter"/>
      <w:start w:val="8"/>
    </w:lvl>
  </w:abstractNum>
  <w:abstractNum w:abstractNumId="414">
    <w:nsid w:val="340BF64D"/>
    <w:multiLevelType w:val="hybridMultilevel"/>
    <w:lvl w:ilvl="0">
      <w:lvlJc w:val="left"/>
      <w:lvlText w:val="(%1)"/>
      <w:numFmt w:val="lowerLetter"/>
      <w:start w:val="24"/>
    </w:lvl>
    <w:lvl w:ilvl="1">
      <w:lvlJc w:val="left"/>
      <w:lvlText w:val="%2"/>
      <w:numFmt w:val="lowerLetter"/>
      <w:start w:val="1"/>
    </w:lvl>
  </w:abstractNum>
  <w:abstractNum w:abstractNumId="415">
    <w:nsid w:val="69454021"/>
    <w:multiLevelType w:val="hybridMultilevel"/>
    <w:lvl w:ilvl="0">
      <w:lvlJc w:val="left"/>
      <w:lvlText w:val="(%1)"/>
      <w:numFmt w:val="lowerLetter"/>
      <w:start w:val="12"/>
    </w:lvl>
  </w:abstractNum>
  <w:abstractNum w:abstractNumId="416">
    <w:nsid w:val="49F15C6B"/>
    <w:multiLevelType w:val="hybridMultilevel"/>
    <w:lvl w:ilvl="0">
      <w:lvlJc w:val="left"/>
      <w:lvlText w:val="(%1)"/>
      <w:numFmt w:val="lowerLetter"/>
      <w:start w:val="2"/>
    </w:lvl>
  </w:abstractNum>
  <w:abstractNum w:abstractNumId="417">
    <w:nsid w:val="75F56228"/>
    <w:multiLevelType w:val="hybridMultilevel"/>
    <w:lvl w:ilvl="0">
      <w:lvlJc w:val="left"/>
      <w:lvlText w:val="(%1)"/>
      <w:numFmt w:val="lowerRoman"/>
      <w:start w:val="1"/>
    </w:lvl>
  </w:abstractNum>
  <w:abstractNum w:abstractNumId="418">
    <w:nsid w:val="1C618271"/>
    <w:multiLevelType w:val="hybridMultilevel"/>
    <w:lvl w:ilvl="0">
      <w:lvlJc w:val="left"/>
      <w:lvlText w:val="(%1)"/>
      <w:numFmt w:val="lowerLetter"/>
      <w:start w:val="1"/>
    </w:lvl>
  </w:abstractNum>
  <w:abstractNum w:abstractNumId="419">
    <w:nsid w:val="6505F02E"/>
    <w:multiLevelType w:val="hybridMultilevel"/>
    <w:lvl w:ilvl="0">
      <w:lvlJc w:val="left"/>
      <w:lvlText w:val="(%1)"/>
      <w:numFmt w:val="lowerLetter"/>
      <w:start w:val="2"/>
    </w:lvl>
  </w:abstractNum>
  <w:abstractNum w:abstractNumId="420">
    <w:nsid w:val="2FE5D025"/>
    <w:multiLevelType w:val="hybridMultilevel"/>
    <w:lvl w:ilvl="0">
      <w:lvlJc w:val="left"/>
      <w:lvlText w:val="%1"/>
      <w:numFmt w:val="decimal"/>
      <w:start w:val="1"/>
    </w:lvl>
    <w:lvl w:ilvl="1">
      <w:lvlJc w:val="left"/>
      <w:lvlText w:val="(%2)"/>
      <w:numFmt w:val="lowerRoman"/>
      <w:start w:val="1"/>
    </w:lvl>
  </w:abstractNum>
  <w:abstractNum w:abstractNumId="421">
    <w:nsid w:val="30E1B1CF"/>
    <w:multiLevelType w:val="hybridMultilevel"/>
    <w:lvl w:ilvl="0">
      <w:lvlJc w:val="left"/>
      <w:lvlText w:val="(%1)"/>
      <w:numFmt w:val="decimal"/>
      <w:start w:val="201"/>
    </w:lvl>
    <w:lvl w:ilvl="1">
      <w:lvlJc w:val="left"/>
      <w:lvlText w:val="(%2)"/>
      <w:numFmt w:val="lowerRoman"/>
      <w:start w:val="4"/>
    </w:lvl>
  </w:abstractNum>
  <w:abstractNum w:abstractNumId="422">
    <w:nsid w:val="C7A9237"/>
    <w:multiLevelType w:val="hybridMultilevel"/>
    <w:lvl w:ilvl="0">
      <w:lvlJc w:val="left"/>
      <w:lvlText w:val="(%1)"/>
      <w:numFmt w:val="lowerLetter"/>
      <w:start w:val="2"/>
    </w:lvl>
  </w:abstractNum>
  <w:abstractNum w:abstractNumId="423">
    <w:nsid w:val="676B3580"/>
    <w:multiLevelType w:val="hybridMultilevel"/>
    <w:lvl w:ilvl="0">
      <w:lvlJc w:val="left"/>
      <w:lvlText w:val="(%1)"/>
      <w:numFmt w:val="lowerLetter"/>
      <w:start w:val="3"/>
    </w:lvl>
  </w:abstractNum>
  <w:abstractNum w:abstractNumId="424">
    <w:nsid w:val="3193C8F9"/>
    <w:multiLevelType w:val="hybridMultilevel"/>
    <w:lvl w:ilvl="0">
      <w:lvlJc w:val="left"/>
      <w:lvlText w:val="(%1)"/>
      <w:numFmt w:val="lowerLetter"/>
      <w:start w:val="2"/>
    </w:lvl>
  </w:abstractNum>
  <w:abstractNum w:abstractNumId="425">
    <w:nsid w:val="5FA6C6DC"/>
    <w:multiLevelType w:val="hybridMultilevel"/>
    <w:lvl w:ilvl="0">
      <w:lvlJc w:val="left"/>
      <w:lvlText w:val="(%1)"/>
      <w:numFmt w:val="upperLetter"/>
      <w:start w:val="8"/>
    </w:lvl>
  </w:abstractNum>
  <w:abstractNum w:abstractNumId="426">
    <w:nsid w:val="77933F62"/>
    <w:multiLevelType w:val="hybridMultilevel"/>
    <w:lvl w:ilvl="0">
      <w:lvlJc w:val="left"/>
      <w:lvlText w:val="(%1)"/>
      <w:numFmt w:val="lowerLetter"/>
      <w:start w:val="2"/>
    </w:lvl>
  </w:abstractNum>
  <w:abstractNum w:abstractNumId="427">
    <w:nsid w:val="6CB4EE9C"/>
    <w:multiLevelType w:val="hybridMultilevel"/>
    <w:lvl w:ilvl="0">
      <w:lvlJc w:val="left"/>
      <w:lvlText w:val="(%1)"/>
      <w:numFmt w:val="lowerLetter"/>
      <w:start w:val="3"/>
    </w:lvl>
  </w:abstractNum>
  <w:abstractNum w:abstractNumId="428">
    <w:nsid w:val="6A6D56D7"/>
    <w:multiLevelType w:val="hybridMultilevel"/>
    <w:lvl w:ilvl="0">
      <w:lvlJc w:val="left"/>
      <w:lvlText w:val="(%1)"/>
      <w:numFmt w:val="lowerLetter"/>
      <w:start w:val="2"/>
    </w:lvl>
  </w:abstractNum>
  <w:abstractNum w:abstractNumId="429">
    <w:nsid w:val="5B727F19"/>
    <w:multiLevelType w:val="hybridMultilevel"/>
    <w:lvl w:ilvl="0">
      <w:lvlJc w:val="left"/>
      <w:lvlText w:val="(%1)"/>
      <w:numFmt w:val="upperLetter"/>
      <w:start w:val="1"/>
    </w:lvl>
  </w:abstractNum>
  <w:abstractNum w:abstractNumId="430">
    <w:nsid w:val="514E5CB0"/>
    <w:multiLevelType w:val="hybridMultilevel"/>
    <w:lvl w:ilvl="0">
      <w:lvlJc w:val="left"/>
      <w:lvlText w:val="(%1)"/>
      <w:numFmt w:val="upperLetter"/>
      <w:start w:val="2"/>
    </w:lvl>
    <w:lvl w:ilvl="1">
      <w:lvlJc w:val="left"/>
      <w:lvlText w:val="(%2)"/>
      <w:numFmt w:val="lowerRoman"/>
      <w:start w:val="2"/>
    </w:lvl>
  </w:abstractNum>
  <w:abstractNum w:abstractNumId="431">
    <w:nsid w:val="4210D41E"/>
    <w:multiLevelType w:val="hybridMultilevel"/>
    <w:lvl w:ilvl="0">
      <w:lvlJc w:val="left"/>
      <w:lvlText w:val="(%1)"/>
      <w:numFmt w:val="upperLetter"/>
      <w:start w:val="1"/>
    </w:lvl>
  </w:abstractNum>
  <w:abstractNum w:abstractNumId="432">
    <w:nsid w:val="4FF4CC6D"/>
    <w:multiLevelType w:val="hybridMultilevel"/>
    <w:lvl w:ilvl="0">
      <w:lvlJc w:val="left"/>
      <w:lvlText w:val="%1"/>
      <w:numFmt w:val="lowerRoman"/>
      <w:start w:val="1"/>
    </w:lvl>
    <w:lvl w:ilvl="1">
      <w:lvlJc w:val="left"/>
      <w:lvlText w:val="(%2)"/>
      <w:numFmt w:val="upperLetter"/>
      <w:start w:val="6"/>
    </w:lvl>
  </w:abstractNum>
  <w:abstractNum w:abstractNumId="433">
    <w:nsid w:val="404EAF4A"/>
    <w:multiLevelType w:val="hybridMultilevel"/>
    <w:lvl w:ilvl="0">
      <w:lvlJc w:val="left"/>
      <w:lvlText w:val="(%1)"/>
      <w:numFmt w:val="lowerRoman"/>
      <w:start w:val="10"/>
    </w:lvl>
    <w:lvl w:ilvl="1">
      <w:lvlJc w:val="left"/>
      <w:lvlText w:val="(%2)"/>
      <w:numFmt w:val="upperLetter"/>
      <w:start w:val="7"/>
    </w:lvl>
  </w:abstractNum>
  <w:abstractNum w:abstractNumId="434">
    <w:nsid w:val="4A16874F"/>
    <w:multiLevelType w:val="hybridMultilevel"/>
    <w:lvl w:ilvl="0">
      <w:lvlJc w:val="left"/>
      <w:lvlText w:val="(%1)"/>
      <w:numFmt w:val="lowerLetter"/>
      <w:start w:val="3"/>
    </w:lvl>
  </w:abstractNum>
  <w:abstractNum w:abstractNumId="435">
    <w:nsid w:val="55FEE0D1"/>
    <w:multiLevelType w:val="hybridMultilevel"/>
    <w:lvl w:ilvl="0">
      <w:lvlJc w:val="left"/>
      <w:lvlText w:val="%1"/>
      <w:numFmt w:val="lowerLetter"/>
      <w:start w:val="1"/>
    </w:lvl>
    <w:lvl w:ilvl="1">
      <w:lvlJc w:val="left"/>
      <w:lvlText w:val="(%2)"/>
      <w:numFmt w:val="lowerLetter"/>
      <w:start w:val="5"/>
    </w:lvl>
  </w:abstractNum>
  <w:abstractNum w:abstractNumId="436">
    <w:nsid w:val="3C5E07C"/>
    <w:multiLevelType w:val="hybridMultilevel"/>
    <w:lvl w:ilvl="0">
      <w:lvlJc w:val="left"/>
      <w:lvlText w:val="(%1)"/>
      <w:numFmt w:val="lowerLetter"/>
      <w:start w:val="61"/>
    </w:lvl>
    <w:lvl w:ilvl="1">
      <w:lvlJc w:val="left"/>
      <w:lvlText w:val="(%2)"/>
      <w:numFmt w:val="lowerLetter"/>
      <w:start w:val="7"/>
    </w:lvl>
  </w:abstractNum>
  <w:abstractNum w:abstractNumId="437">
    <w:nsid w:val="60C2D273"/>
    <w:multiLevelType w:val="hybridMultilevel"/>
    <w:lvl w:ilvl="0">
      <w:lvlJc w:val="left"/>
      <w:lvlText w:val="(%1)"/>
      <w:numFmt w:val="lowerLetter"/>
      <w:start w:val="9"/>
    </w:lvl>
  </w:abstractNum>
  <w:abstractNum w:abstractNumId="438">
    <w:nsid w:val="4CC32F1F"/>
    <w:multiLevelType w:val="hybridMultilevel"/>
    <w:lvl w:ilvl="0">
      <w:lvlJc w:val="left"/>
      <w:lvlText w:val="(%1)"/>
      <w:numFmt w:val="lowerLetter"/>
      <w:start w:val="2"/>
    </w:lvl>
  </w:abstractNum>
  <w:abstractNum w:abstractNumId="439">
    <w:nsid w:val="11CAC74A"/>
    <w:multiLevelType w:val="hybridMultilevel"/>
    <w:lvl w:ilvl="0">
      <w:lvlJc w:val="left"/>
      <w:lvlText w:val="(%1)"/>
      <w:numFmt w:val="lowerLetter"/>
      <w:start w:val="3"/>
    </w:lvl>
  </w:abstractNum>
  <w:abstractNum w:abstractNumId="440">
    <w:nsid w:val="126CADE9"/>
    <w:multiLevelType w:val="hybridMultilevel"/>
    <w:lvl w:ilvl="0">
      <w:lvlJc w:val="left"/>
      <w:lvlText w:val="(%1)"/>
      <w:numFmt w:val="lowerLetter"/>
      <w:start w:val="7"/>
    </w:lvl>
  </w:abstractNum>
  <w:abstractNum w:abstractNumId="441">
    <w:nsid w:val="19132E7B"/>
    <w:multiLevelType w:val="hybridMultilevel"/>
    <w:lvl w:ilvl="0">
      <w:lvlJc w:val="left"/>
      <w:lvlText w:val="(%1)"/>
      <w:numFmt w:val="lowerLetter"/>
      <w:start w:val="2"/>
    </w:lvl>
  </w:abstractNum>
  <w:abstractNum w:abstractNumId="442">
    <w:nsid w:val="63822DC0"/>
    <w:multiLevelType w:val="hybridMultilevel"/>
    <w:lvl w:ilvl="0">
      <w:lvlJc w:val="left"/>
      <w:lvlText w:val="(%1)"/>
      <w:numFmt w:val="lowerLetter"/>
      <w:start w:val="2"/>
    </w:lvl>
  </w:abstractNum>
  <w:abstractNum w:abstractNumId="443">
    <w:nsid w:val="6C11685A"/>
    <w:multiLevelType w:val="hybridMultilevel"/>
    <w:lvl w:ilvl="0">
      <w:lvlJc w:val="left"/>
      <w:lvlText w:val="(%1)"/>
      <w:numFmt w:val="lowerLetter"/>
      <w:start w:val="1"/>
    </w:lvl>
  </w:abstractNum>
  <w:abstractNum w:abstractNumId="444">
    <w:nsid w:val="5E1EAE31"/>
    <w:multiLevelType w:val="hybridMultilevel"/>
    <w:lvl w:ilvl="0">
      <w:lvlJc w:val="left"/>
      <w:lvlText w:val="(%1)"/>
      <w:numFmt w:val="lowerLetter"/>
      <w:start w:val="2"/>
    </w:lvl>
    <w:lvl w:ilvl="1">
      <w:lvlJc w:val="left"/>
      <w:lvlText w:val="(%2)"/>
      <w:numFmt w:val="lowerRoman"/>
      <w:start w:val="1"/>
    </w:lvl>
  </w:abstractNum>
  <w:abstractNum w:abstractNumId="445">
    <w:nsid w:val="178E240D"/>
    <w:multiLevelType w:val="hybridMultilevel"/>
    <w:lvl w:ilvl="0">
      <w:lvlJc w:val="left"/>
      <w:lvlText w:val="%1"/>
      <w:numFmt w:val="upperLetter"/>
      <w:start w:val="1"/>
    </w:lvl>
    <w:lvl w:ilvl="1">
      <w:lvlJc w:val="left"/>
      <w:lvlText w:val="(%2)"/>
      <w:numFmt w:val="lowerRoman"/>
      <w:start w:val="1"/>
    </w:lvl>
  </w:abstractNum>
  <w:abstractNum w:abstractNumId="446">
    <w:nsid w:val="5556A87B"/>
    <w:multiLevelType w:val="hybridMultilevel"/>
    <w:lvl w:ilvl="0">
      <w:lvlJc w:val="left"/>
      <w:lvlText w:val="(%1)"/>
      <w:numFmt w:val="upperLetter"/>
      <w:start w:val="4"/>
    </w:lvl>
    <w:lvl w:ilvl="1">
      <w:lvlJc w:val="left"/>
      <w:lvlText w:val="%2"/>
      <w:numFmt w:val="lowerRoman"/>
      <w:start w:val="1"/>
    </w:lvl>
  </w:abstractNum>
  <w:abstractNum w:abstractNumId="447">
    <w:nsid w:val="28100A9C"/>
    <w:multiLevelType w:val="hybridMultilevel"/>
    <w:lvl w:ilvl="0">
      <w:lvlJc w:val="left"/>
      <w:lvlText w:val="(%1)"/>
      <w:numFmt w:val="lowerLetter"/>
      <w:start w:val="2"/>
    </w:lvl>
    <w:lvl w:ilvl="1">
      <w:lvlJc w:val="left"/>
      <w:lvlText w:val="(%2)"/>
      <w:numFmt w:val="lowerRoman"/>
      <w:start w:val="1"/>
    </w:lvl>
  </w:abstractNum>
  <w:abstractNum w:abstractNumId="448">
    <w:nsid w:val="D838636"/>
    <w:multiLevelType w:val="hybridMultilevel"/>
    <w:lvl w:ilvl="0">
      <w:lvlJc w:val="left"/>
      <w:lvlText w:val="*"/>
      <w:numFmt w:val="bullet"/>
      <w:start w:val="1"/>
    </w:lvl>
  </w:abstractNum>
  <w:abstractNum w:abstractNumId="449">
    <w:nsid w:val="71B82AED"/>
    <w:multiLevelType w:val="hybridMultilevel"/>
    <w:lvl w:ilvl="0">
      <w:lvlJc w:val="left"/>
      <w:lvlText w:val="%1."/>
      <w:numFmt w:val="decimal"/>
      <w:start w:val="1"/>
    </w:lvl>
    <w:lvl w:ilvl="1">
      <w:lvlJc w:val="left"/>
      <w:lvlText w:val="(%2)"/>
      <w:numFmt w:val="lowerLetter"/>
      <w:start w:val="1"/>
    </w:lvl>
  </w:abstractNum>
  <w:abstractNum w:abstractNumId="450">
    <w:nsid w:val="D15FACA"/>
    <w:multiLevelType w:val="hybridMultilevel"/>
    <w:lvl w:ilvl="0">
      <w:lvlJc w:val="left"/>
      <w:lvlText w:val="%1."/>
      <w:numFmt w:val="decimal"/>
      <w:start w:val="1"/>
    </w:lvl>
    <w:lvl w:ilvl="1">
      <w:lvlJc w:val="left"/>
      <w:lvlText w:val="(%2)"/>
      <w:numFmt w:val="lowerLetter"/>
      <w:start w:val="1"/>
    </w:lvl>
  </w:abstractNum>
  <w:abstractNum w:abstractNumId="451">
    <w:nsid w:val="3D69565B"/>
    <w:multiLevelType w:val="hybridMultilevel"/>
    <w:lvl w:ilvl="0">
      <w:lvlJc w:val="left"/>
      <w:lvlText w:val="(%1)"/>
      <w:numFmt w:val="decimal"/>
      <w:start w:val="1"/>
    </w:lvl>
  </w:abstractNum>
  <w:abstractNum w:abstractNumId="452">
    <w:nsid w:val="2299DC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jpe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59"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2" Type="http://schemas.openxmlformats.org/officeDocument/2006/relationships/image" Target="media/image447.png"/><Relationship Id="rId463" Type="http://schemas.openxmlformats.org/officeDocument/2006/relationships/image" Target="media/image448.png"/><Relationship Id="rId464"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75" Type="http://schemas.openxmlformats.org/officeDocument/2006/relationships/image" Target="media/image460.png"/><Relationship Id="rId476" Type="http://schemas.openxmlformats.org/officeDocument/2006/relationships/image" Target="media/image461.png"/><Relationship Id="rId477" Type="http://schemas.openxmlformats.org/officeDocument/2006/relationships/image" Target="media/image462.png"/><Relationship Id="rId478" Type="http://schemas.openxmlformats.org/officeDocument/2006/relationships/image" Target="media/image463.png"/><Relationship Id="rId479" Type="http://schemas.openxmlformats.org/officeDocument/2006/relationships/image" Target="media/image464.pn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488" Type="http://schemas.openxmlformats.org/officeDocument/2006/relationships/image" Target="media/image473.png"/><Relationship Id="rId489" Type="http://schemas.openxmlformats.org/officeDocument/2006/relationships/image" Target="media/image474.png"/><Relationship Id="rId490" Type="http://schemas.openxmlformats.org/officeDocument/2006/relationships/image" Target="media/image475.png"/><Relationship Id="rId491" Type="http://schemas.openxmlformats.org/officeDocument/2006/relationships/image" Target="media/image476.png"/><Relationship Id="rId492" Type="http://schemas.openxmlformats.org/officeDocument/2006/relationships/image" Target="media/image477.png"/><Relationship Id="rId493" Type="http://schemas.openxmlformats.org/officeDocument/2006/relationships/image" Target="media/image478.png"/><Relationship Id="rId494" Type="http://schemas.openxmlformats.org/officeDocument/2006/relationships/image" Target="media/image479.png"/><Relationship Id="rId495" Type="http://schemas.openxmlformats.org/officeDocument/2006/relationships/image" Target="media/image480.png"/><Relationship Id="rId496" Type="http://schemas.openxmlformats.org/officeDocument/2006/relationships/image" Target="media/image481.png"/><Relationship Id="rId497" Type="http://schemas.openxmlformats.org/officeDocument/2006/relationships/image" Target="media/image482.png"/><Relationship Id="rId498"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505" Type="http://schemas.openxmlformats.org/officeDocument/2006/relationships/image" Target="media/image490.png"/><Relationship Id="rId506" Type="http://schemas.openxmlformats.org/officeDocument/2006/relationships/image" Target="media/image491.png"/><Relationship Id="rId507" Type="http://schemas.openxmlformats.org/officeDocument/2006/relationships/image" Target="media/image492.png"/><Relationship Id="rId508" Type="http://schemas.openxmlformats.org/officeDocument/2006/relationships/image" Target="media/image493.png"/><Relationship Id="rId509" Type="http://schemas.openxmlformats.org/officeDocument/2006/relationships/image" Target="media/image494.png"/><Relationship Id="rId510" Type="http://schemas.openxmlformats.org/officeDocument/2006/relationships/image" Target="media/image495.png"/><Relationship Id="rId511" Type="http://schemas.openxmlformats.org/officeDocument/2006/relationships/image" Target="media/image496.png"/><Relationship Id="rId512" Type="http://schemas.openxmlformats.org/officeDocument/2006/relationships/image" Target="media/image497.png"/><Relationship Id="rId513" Type="http://schemas.openxmlformats.org/officeDocument/2006/relationships/image" Target="media/image498.png"/><Relationship Id="rId514" Type="http://schemas.openxmlformats.org/officeDocument/2006/relationships/image" Target="media/image499.png"/><Relationship Id="rId515" Type="http://schemas.openxmlformats.org/officeDocument/2006/relationships/image" Target="media/image500.png"/><Relationship Id="rId516" Type="http://schemas.openxmlformats.org/officeDocument/2006/relationships/image" Target="media/image501.png"/><Relationship Id="rId94" Type="http://schemas.openxmlformats.org/officeDocument/2006/relationships/hyperlink" Target="http://www.sec.gov/Archives/edgar/data/1062579/000095012309001258/y74186exv99w1.htm" TargetMode="External"/><Relationship Id="rId95" Type="http://schemas.openxmlformats.org/officeDocument/2006/relationships/hyperlink" Target="http://www.sec.gov/Archives/edgar/data/1062579/000095012310111454/y86844exv1w2.htm" TargetMode="External"/><Relationship Id="rId96" Type="http://schemas.openxmlformats.org/officeDocument/2006/relationships/hyperlink" Target="http://www.sec.gov/Archives/edgar/data/1062579/000095012304011223/e01287a1exv99w3.txt" TargetMode="External"/><Relationship Id="rId97" Type="http://schemas.openxmlformats.org/officeDocument/2006/relationships/hyperlink" Target="http://www.sec.gov/Archives/edgar/data/1062579/000119312514436532/d751483dex4b2.htm" TargetMode="External"/><Relationship Id="rId98" Type="http://schemas.openxmlformats.org/officeDocument/2006/relationships/hyperlink" Target="http://www.sec.gov/Archives/edgar/data/1062579/000119312515400204/d949903dex4b3.htm" TargetMode="External"/><Relationship Id="rId99" Type="http://schemas.openxmlformats.org/officeDocument/2006/relationships/hyperlink" Target="http://www.sec.gov/Archives/edgar/data/1062579/000119312514441401/d837762dex991.htm" TargetMode="External"/><Relationship Id="rId100" Type="http://schemas.openxmlformats.org/officeDocument/2006/relationships/hyperlink" Target="http://www.sec.gov/Archives/edgar/data/1062579/000119312516790829/d159244dex4b5.htm" TargetMode="External"/><Relationship Id="rId101" Type="http://schemas.openxmlformats.org/officeDocument/2006/relationships/hyperlink" Target="http://www.sec.gov/Archives/edgar/data/1062579/000119312511350230/d272350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2019-12-06T10:34:35Z</dcterms:created>
  <dcterms:modified xsi:type="dcterms:W3CDTF">2019-12-06T10:34:35Z</dcterms:modified>
</cp:coreProperties>
</file>