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4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For the month of December 2022</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352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253365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8" w:lineRule="exact"/>
        <w:rPr>
          <w:sz w:val="24"/>
          <w:szCs w:val="24"/>
          <w:color w:val="auto"/>
        </w:rPr>
      </w:pPr>
    </w:p>
    <w:p>
      <w:pPr>
        <w:jc w:val="center"/>
        <w:ind w:right="-439"/>
        <w:spacing w:after="0"/>
        <w:rPr>
          <w:sz w:val="20"/>
          <w:szCs w:val="20"/>
          <w:color w:val="auto"/>
        </w:rPr>
      </w:pPr>
      <w:r>
        <w:rPr>
          <w:rFonts w:ascii="Arial" w:cs="Arial" w:eastAsia="Arial" w:hAnsi="Arial"/>
          <w:sz w:val="14"/>
          <w:szCs w:val="14"/>
          <w:b w:val="1"/>
          <w:bCs w:val="1"/>
          <w:color w:val="auto"/>
        </w:rPr>
        <w:t>625 Maryville Centre Drive, Suite 200, Saint Louis, Missouri 63141</w:t>
      </w:r>
    </w:p>
    <w:p>
      <w:pPr>
        <w:jc w:val="center"/>
        <w:ind w:right="-4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08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jc w:val="center"/>
        <w:ind w:right="-43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w:t>
      </w:r>
    </w:p>
    <w:p>
      <w:pPr>
        <w:sectPr>
          <w:pgSz w:w="11900" w:h="16838" w:orient="portrait"/>
          <w:cols w:equalWidth="0" w:num="1">
            <w:col w:w="10560"/>
          </w:cols>
          <w:pgMar w:left="440" w:top="382" w:right="899" w:bottom="1440" w:gutter="0" w:footer="0" w:header="0"/>
        </w:sectPr>
      </w:pPr>
    </w:p>
    <w:bookmarkStart w:id="1" w:name="page2"/>
    <w:bookmarkEnd w:id="1"/>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Shuky Sheffer, President &amp; Chief Executive Officer, Amdocs Management Limited (together with Amdocs Limited the “Company”) is scheduled to meet with investors on Tuesday, December 6, 2022 at the Nasdaq 47th Investor conference at The May Fair Hotel in London. The Company is filing this Form 6-K to furnish certain information to all investors that Mr. Sheffer intends to provide to investors in those meetings.</w:t>
      </w:r>
    </w:p>
    <w:p>
      <w:pPr>
        <w:spacing w:after="0" w:line="71" w:lineRule="exact"/>
        <w:rPr>
          <w:sz w:val="20"/>
          <w:szCs w:val="20"/>
          <w:color w:val="auto"/>
        </w:rPr>
      </w:pPr>
    </w:p>
    <w:p>
      <w:pPr>
        <w:ind w:left="960" w:right="120" w:hanging="424"/>
        <w:spacing w:after="0" w:line="25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previously disclosed, the Company entered into a definitive agreement to acquire MYCOM-OSI in May 2022. Recently, the Company and MYCOM-OSI mutually and amicably decided not to move forward with the planned acquisition following a longer than expected regulatory review process in the United Kingdom (that was still not complete). The definitive agreement has been terminated without any payments by either party to the other. This acquisition was not material and the decision not to pursue it is not expected to have an impact on the Company’s guidance.</w:t>
      </w:r>
    </w:p>
    <w:p>
      <w:pPr>
        <w:spacing w:after="0" w:line="93" w:lineRule="exact"/>
        <w:rPr>
          <w:rFonts w:ascii="Arial" w:cs="Arial" w:eastAsia="Arial" w:hAnsi="Arial"/>
          <w:sz w:val="18"/>
          <w:szCs w:val="18"/>
          <w:color w:val="auto"/>
        </w:rPr>
      </w:pPr>
    </w:p>
    <w:p>
      <w:pPr>
        <w:ind w:left="960" w:hanging="424"/>
        <w:spacing w:after="0" w:line="296" w:lineRule="auto"/>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Consistent with the Company’s retirement age policy and the Board’s commitment to board refreshment, Mr. Giora Yaron and Mr. James Kahn will not be nominated for election by the Board in the next annual general meeting of shareholders of the Company, which will take place in January 2023. The Board has decided to nominate Mr. Amos Genish for election to serve as a new director in the next annual general meeting of shareholders of the Company; Mr. Genish is the executive chairman of V.tal, a large fiber operator in Brazil. Mr. Genish also served as chief executive officer of Telecom Italia and is the former president and chief executive officer of Telefonica Brasil (Vivo).</w:t>
      </w:r>
    </w:p>
    <w:p>
      <w:pPr>
        <w:spacing w:after="0" w:line="66" w:lineRule="exact"/>
        <w:rPr>
          <w:rFonts w:ascii="Arial" w:cs="Arial" w:eastAsia="Arial" w:hAnsi="Arial"/>
          <w:sz w:val="16"/>
          <w:szCs w:val="16"/>
          <w:color w:val="auto"/>
        </w:rPr>
      </w:pPr>
    </w:p>
    <w:p>
      <w:pPr>
        <w:ind w:left="96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has determined that Ms. Sarah Ruth Davis is an “audit committee financial expert” as defined by rules promulgated by the SEC, resulting in the Company’s audit committee having two audit committee financial experts going forward.</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in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2022</w:t>
      </w:r>
    </w:p>
    <w:sectPr>
      <w:pgSz w:w="11900" w:h="16838" w:orient="portrait"/>
      <w:cols w:equalWidth="0" w:num="1">
        <w:col w:w="10260"/>
      </w:cols>
      <w:pgMar w:left="440"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2022-12-05T05:18:06Z</dcterms:created>
  <dcterms:modified xsi:type="dcterms:W3CDTF">2022-12-05T05:18:06Z</dcterms:modified>
</cp:coreProperties>
</file>