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w:t>
      </w:r>
      <w:r>
        <w:rPr>
          <w:rFonts w:ascii="Times New Roman" w:cs="Times New Roman" w:eastAsia="Times New Roman" w:hAnsi="Times New Roman"/>
          <w:sz w:val="10"/>
          <w:szCs w:val="10"/>
          <w:color w:val="auto"/>
        </w:rPr>
        <w:t>,</w:t>
      </w:r>
      <w:r>
        <w:rPr>
          <w:rFonts w:ascii="Times New Roman" w:cs="Times New Roman" w:eastAsia="Times New Roman" w:hAnsi="Times New Roman"/>
          <w:sz w:val="22"/>
          <w:szCs w:val="22"/>
          <w:b w:val="1"/>
          <w:bCs w:val="1"/>
          <w:color w:val="auto"/>
        </w:rPr>
        <w:t xml:space="preserve">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RULE 13a-16 OR 15d-16 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1-14840</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AMDOCS LIMITED</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Hirzel House, Smith Street,</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 Peter Port, Island of Guernsey, GY1 2NG</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625 Maryville Centre Drive, Suite 200 Saint Louis, Missouri 63141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9"/>
        <w:spacing w:after="0" w:line="207" w:lineRule="exact"/>
        <w:tabs>
          <w:tab w:leader="none" w:pos="3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pursuant to Rule 12g3-2(b) under the Securities Exchange Act of 1934:</w:t>
      </w:r>
    </w:p>
    <w:p>
      <w:pPr>
        <w:spacing w:after="0" w:line="166" w:lineRule="exact"/>
        <w:rPr>
          <w:sz w:val="24"/>
          <w:szCs w:val="24"/>
          <w:color w:val="auto"/>
        </w:rPr>
      </w:pPr>
    </w:p>
    <w:p>
      <w:pPr>
        <w:jc w:val="center"/>
        <w:ind w:right="-19"/>
        <w:spacing w:after="0" w:line="207" w:lineRule="exact"/>
        <w:tabs>
          <w:tab w:leader="none" w:pos="4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rPr>
              <w:t>AMDOCS LIMITED</w:t>
            </w:r>
          </w:p>
        </w:tc>
        <w:tc>
          <w:tcPr>
            <w:tcW w:w="19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rPr>
              <w:t>FORM 6-K</w:t>
            </w:r>
          </w:p>
        </w:tc>
        <w:tc>
          <w:tcPr>
            <w:tcW w:w="19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5"/>
          </w:tcPr>
          <w:p>
            <w:pPr>
              <w:jc w:val="center"/>
              <w:ind w:right="1740"/>
              <w:spacing w:after="0"/>
              <w:rPr>
                <w:sz w:val="20"/>
                <w:szCs w:val="20"/>
                <w:color w:val="auto"/>
              </w:rPr>
            </w:pPr>
            <w:r>
              <w:rPr>
                <w:rFonts w:ascii="Times New Roman" w:cs="Times New Roman" w:eastAsia="Times New Roman" w:hAnsi="Times New Roman"/>
                <w:sz w:val="18"/>
                <w:szCs w:val="18"/>
                <w:color w:val="auto"/>
                <w:w w:val="99"/>
              </w:rPr>
              <w:t>REPORT OF FOREIGN PRIVATE ISSUER</w:t>
            </w:r>
          </w:p>
        </w:tc>
        <w:tc>
          <w:tcPr>
            <w:tcW w:w="19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00" w:type="dxa"/>
            <w:vAlign w:val="bottom"/>
            <w:gridSpan w:val="6"/>
          </w:tcPr>
          <w:p>
            <w:pPr>
              <w:jc w:val="center"/>
              <w:ind w:right="126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1900" w:type="dxa"/>
            <w:vAlign w:val="bottom"/>
          </w:tcPr>
          <w:p>
            <w:pPr>
              <w:spacing w:after="0"/>
              <w:rPr>
                <w:sz w:val="24"/>
                <w:szCs w:val="24"/>
                <w:color w:val="auto"/>
              </w:rPr>
            </w:pPr>
          </w:p>
        </w:tc>
      </w:tr>
      <w:tr>
        <w:trPr>
          <w:trHeight w:val="216"/>
        </w:trPr>
        <w:tc>
          <w:tcPr>
            <w:tcW w:w="6580" w:type="dxa"/>
            <w:vAlign w:val="bottom"/>
            <w:gridSpan w:val="15"/>
          </w:tcPr>
          <w:p>
            <w:pPr>
              <w:jc w:val="center"/>
              <w:ind w:left="4450"/>
              <w:spacing w:after="0"/>
              <w:rPr>
                <w:sz w:val="20"/>
                <w:szCs w:val="20"/>
                <w:color w:val="auto"/>
              </w:rPr>
            </w:pPr>
            <w:r>
              <w:rPr>
                <w:rFonts w:ascii="Times New Roman" w:cs="Times New Roman" w:eastAsia="Times New Roman" w:hAnsi="Times New Roman"/>
                <w:sz w:val="18"/>
                <w:szCs w:val="18"/>
                <w:color w:val="auto"/>
                <w:w w:val="99"/>
              </w:rPr>
              <w:t>2026</w:t>
            </w:r>
          </w:p>
        </w:tc>
        <w:tc>
          <w:tcPr>
            <w:tcW w:w="23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2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w w:val="99"/>
              </w:rPr>
              <w:t>INDEX</w:t>
            </w:r>
          </w:p>
        </w:tc>
        <w:tc>
          <w:tcPr>
            <w:tcW w:w="1900" w:type="dxa"/>
            <w:vAlign w:val="bottom"/>
          </w:tcPr>
          <w:p>
            <w:pPr>
              <w:spacing w:after="0"/>
              <w:rPr>
                <w:sz w:val="20"/>
                <w:szCs w:val="20"/>
                <w:color w:val="auto"/>
              </w:rPr>
            </w:pPr>
          </w:p>
        </w:tc>
      </w:tr>
      <w:tr>
        <w:trPr>
          <w:trHeight w:val="392"/>
        </w:trPr>
        <w:tc>
          <w:tcPr>
            <w:tcW w:w="2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 FINANCIAL INFORMATION</w:t>
            </w:r>
          </w:p>
        </w:tc>
        <w:tc>
          <w:tcPr>
            <w:tcW w:w="6060" w:type="dxa"/>
            <w:vAlign w:val="bottom"/>
            <w:gridSpan w:val="8"/>
          </w:tcPr>
          <w:p>
            <w:pPr>
              <w:spacing w:after="0"/>
              <w:rPr>
                <w:sz w:val="24"/>
                <w:szCs w:val="24"/>
                <w:color w:val="auto"/>
              </w:rPr>
            </w:pPr>
          </w:p>
        </w:tc>
        <w:tc>
          <w:tcPr>
            <w:tcW w:w="19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80" w:type="dxa"/>
            <w:vAlign w:val="bottom"/>
          </w:tcPr>
          <w:p>
            <w:pPr>
              <w:spacing w:after="0"/>
              <w:rPr>
                <w:sz w:val="17"/>
                <w:szCs w:val="17"/>
                <w:color w:val="auto"/>
              </w:rPr>
            </w:pPr>
          </w:p>
        </w:tc>
        <w:tc>
          <w:tcPr>
            <w:tcW w:w="206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Financial Statements</w:t>
            </w:r>
          </w:p>
        </w:tc>
        <w:tc>
          <w:tcPr>
            <w:tcW w:w="6700" w:type="dxa"/>
            <w:vAlign w:val="bottom"/>
            <w:gridSpan w:val="12"/>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8"/>
        </w:trPr>
        <w:tc>
          <w:tcPr>
            <w:tcW w:w="180" w:type="dxa"/>
            <w:vAlign w:val="bottom"/>
          </w:tcPr>
          <w:p>
            <w:pPr>
              <w:spacing w:after="0"/>
              <w:rPr>
                <w:sz w:val="18"/>
                <w:szCs w:val="18"/>
                <w:color w:val="auto"/>
              </w:rPr>
            </w:pPr>
          </w:p>
        </w:tc>
        <w:tc>
          <w:tcPr>
            <w:tcW w:w="8760" w:type="dxa"/>
            <w:vAlign w:val="bottom"/>
            <w:gridSpan w:val="15"/>
          </w:tcPr>
          <w:p>
            <w:pPr>
              <w:ind w:left="200"/>
              <w:spacing w:after="0"/>
              <w:rPr>
                <w:sz w:val="20"/>
                <w:szCs w:val="20"/>
                <w:color w:val="auto"/>
              </w:rPr>
            </w:pPr>
            <w:r>
              <w:rPr>
                <w:rFonts w:ascii="Times New Roman" w:cs="Times New Roman" w:eastAsia="Times New Roman" w:hAnsi="Times New Roman"/>
                <w:sz w:val="18"/>
                <w:szCs w:val="18"/>
                <w:color w:val="auto"/>
              </w:rPr>
              <w:t>Unaudited Consolidated Financial Statements</w:t>
            </w:r>
          </w:p>
        </w:tc>
        <w:tc>
          <w:tcPr>
            <w:tcW w:w="1900" w:type="dxa"/>
            <w:vAlign w:val="bottom"/>
          </w:tcPr>
          <w:p>
            <w:pPr>
              <w:spacing w:after="0"/>
              <w:rPr>
                <w:sz w:val="18"/>
                <w:szCs w:val="18"/>
                <w:color w:val="auto"/>
              </w:rPr>
            </w:pPr>
          </w:p>
        </w:tc>
      </w:tr>
      <w:tr>
        <w:trPr>
          <w:trHeight w:val="194"/>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3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900" w:type="dxa"/>
            <w:vAlign w:val="bottom"/>
          </w:tcPr>
          <w:p>
            <w:pPr>
              <w:ind w:left="1720"/>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7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4580" w:type="dxa"/>
            <w:vAlign w:val="bottom"/>
            <w:gridSpan w:val="3"/>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5000" w:type="dxa"/>
            <w:vAlign w:val="bottom"/>
            <w:gridSpan w:val="5"/>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7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Item 2. Operating and Financial Review and Prospects</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21</w:t>
            </w: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89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PART II OTHER INFORMATION</w:t>
            </w: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30</w:t>
            </w:r>
          </w:p>
        </w:tc>
      </w:tr>
      <w:tr>
        <w:trPr>
          <w:trHeight w:val="20"/>
        </w:trPr>
        <w:tc>
          <w:tcPr>
            <w:tcW w:w="1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 Changes in Securities, Use of Proceeds and Issuer Purchases of Equity Securities</w:t>
            </w:r>
          </w:p>
        </w:tc>
        <w:tc>
          <w:tcPr>
            <w:tcW w:w="2360" w:type="dxa"/>
            <w:vAlign w:val="bottom"/>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30</w:t>
            </w:r>
          </w:p>
        </w:tc>
      </w:tr>
      <w:tr>
        <w:trPr>
          <w:trHeight w:val="196"/>
        </w:trPr>
        <w:tc>
          <w:tcPr>
            <w:tcW w:w="180" w:type="dxa"/>
            <w:vAlign w:val="bottom"/>
          </w:tcPr>
          <w:p>
            <w:pPr>
              <w:spacing w:after="0"/>
              <w:rPr>
                <w:sz w:val="17"/>
                <w:szCs w:val="17"/>
                <w:color w:val="auto"/>
              </w:rPr>
            </w:pPr>
          </w:p>
        </w:tc>
        <w:tc>
          <w:tcPr>
            <w:tcW w:w="210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2. Reports on Form 6-K</w:t>
            </w:r>
          </w:p>
        </w:tc>
        <w:tc>
          <w:tcPr>
            <w:tcW w:w="6660" w:type="dxa"/>
            <w:vAlign w:val="bottom"/>
            <w:gridSpan w:val="11"/>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30</w:t>
            </w:r>
          </w:p>
        </w:tc>
      </w:tr>
      <w:tr>
        <w:trPr>
          <w:trHeight w:val="196"/>
        </w:trPr>
        <w:tc>
          <w:tcPr>
            <w:tcW w:w="11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SIGNATURES</w:t>
            </w:r>
          </w:p>
        </w:tc>
        <w:tc>
          <w:tcPr>
            <w:tcW w:w="7820" w:type="dxa"/>
            <w:vAlign w:val="bottom"/>
            <w:gridSpan w:val="13"/>
          </w:tcPr>
          <w:p>
            <w:pPr>
              <w:spacing w:after="0"/>
              <w:rPr>
                <w:sz w:val="17"/>
                <w:szCs w:val="17"/>
                <w:color w:val="auto"/>
              </w:rPr>
            </w:pPr>
          </w:p>
        </w:tc>
        <w:tc>
          <w:tcPr>
            <w:tcW w:w="1900" w:type="dxa"/>
            <w:vAlign w:val="bottom"/>
          </w:tcPr>
          <w:p>
            <w:pPr>
              <w:ind w:left="1720"/>
              <w:spacing w:after="0" w:line="196" w:lineRule="exact"/>
              <w:rPr>
                <w:sz w:val="20"/>
                <w:szCs w:val="20"/>
                <w:color w:val="auto"/>
              </w:rPr>
            </w:pPr>
            <w:r>
              <w:rPr>
                <w:rFonts w:ascii="Times New Roman" w:cs="Times New Roman" w:eastAsia="Times New Roman" w:hAnsi="Times New Roman"/>
                <w:sz w:val="18"/>
                <w:szCs w:val="18"/>
                <w:color w:val="auto"/>
                <w:w w:val="88"/>
              </w:rPr>
              <w:t>31</w:t>
            </w:r>
          </w:p>
        </w:tc>
      </w:tr>
    </w:tbl>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any Registration Statement filed by the Registrant that by its terms automatically incorporates the Registrant's filings and submissions with the SEC under Sections 13(a), 13(c) or 15(d) of the Securities Exchange Act of 1934.</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7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jc w:val="right"/>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214,495</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324,999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935,751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364,347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1,592,137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738,836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768,557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182,088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2,985,826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2,890,680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684,535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6,363,870</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6,249,830</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344,106</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371,173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622,748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personnel costs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125,568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financing arrangements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118,861</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1,547,293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1,358,792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218,766</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140,776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647,211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646,901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382,672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2,940,447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2,779,150</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Preferred Shares — Authorized 25,000 shares; £0.01 par value; 0 shares issued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and outstanding</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Ordinary Shares — Authorized 700,000 shares; £0.01 par value; 291,821 and</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290,351 issued and 106,164 and 108,448 outstanding,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4,654,902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4,573,016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185,657 and 181,903 ordinary shares, respectively</w:t>
            </w:r>
          </w:p>
        </w:tc>
        <w:tc>
          <w:tcPr>
            <w:tcW w:w="2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(8,620,287)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(8,335,774)</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7,343,213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7,164,954</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3,382,292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3,429,453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41,227</w:t>
            </w:r>
          </w:p>
        </w:tc>
        <w:tc>
          <w:tcPr>
            <w:tcW w:w="100" w:type="dxa"/>
            <w:vAlign w:val="bottom"/>
          </w:tcPr>
          <w:p>
            <w:pPr>
              <w:spacing w:after="0"/>
              <w:rPr>
                <w:sz w:val="18"/>
                <w:szCs w:val="18"/>
                <w:color w:val="auto"/>
              </w:rPr>
            </w:pPr>
          </w:p>
        </w:tc>
      </w:tr>
      <w:tr>
        <w:trPr>
          <w:trHeight w:val="210"/>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3,423,423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3,470,680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6,363,870</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6,249,830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-4885690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-4885690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-4053840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-2108200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1,171,979</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1,128,203</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2,327,918</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2,238,258</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716,733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698,049</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1,444,456</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1,380,308</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81,796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168,979</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166,129</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153,677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134,625</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267,398</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256,712</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35,842</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31,757</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21,706</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6,783</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1,938,381</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1,841,689</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389,537</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396,569</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(17,228)</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(14,874)</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176,892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372,309</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381,695</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75,083</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65,842</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297,226</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315,853</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1,845</w:t>
            </w:r>
          </w:p>
        </w:tc>
        <w:tc>
          <w:tcPr>
            <w:tcW w:w="420" w:type="dxa"/>
            <w:vAlign w:val="bottom"/>
          </w:tcPr>
          <w:p>
            <w:pPr>
              <w:spacing w:after="0"/>
              <w:rPr>
                <w:sz w:val="17"/>
                <w:szCs w:val="17"/>
                <w:color w:val="auto"/>
              </w:rPr>
            </w:pP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1,477</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295,381</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314,376</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Amdocs Limited</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2.75</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2.80</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 attributable to Amdocs Limited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ordinary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1.096</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1.006</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-1628140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-1628140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-1628140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-1628140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-770890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-753745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-770890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-770890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-462280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-445135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-462280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-445135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-462280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-445135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-153670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-153670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15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5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Pr>
          <w:p>
            <w:pPr>
              <w:spacing w:after="0"/>
              <w:rPr>
                <w:sz w:val="12"/>
                <w:szCs w:val="12"/>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138,772</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164,001</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297,226</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315,853</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 , net of 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change in fair value of cash flow hedges(1)</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(19,246)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(22,813)</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(3,396)</w:t>
            </w:r>
          </w:p>
        </w:tc>
      </w:tr>
      <w:tr>
        <w:trPr>
          <w:trHeight w:val="216"/>
        </w:trPr>
        <w:tc>
          <w:tcPr>
            <w:tcW w:w="5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securities(2)</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2,810</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(19,246)</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(22,813)</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1500" w:type="dxa"/>
            <w:vAlign w:val="bottom"/>
            <w:shd w:val="clear" w:color="auto" w:fill="CFF0FC"/>
          </w:tcPr>
          <w:p>
            <w:pPr>
              <w:spacing w:after="0" w:line="20" w:lineRule="exact"/>
              <w:rPr>
                <w:sz w:val="1"/>
                <w:szCs w:val="1"/>
                <w:color w:val="auto"/>
              </w:rPr>
            </w:pPr>
          </w:p>
        </w:tc>
        <w:tc>
          <w:tcPr>
            <w:tcW w:w="4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274,413</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315,267</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957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1,845</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1,477</w:t>
            </w:r>
          </w:p>
        </w:tc>
      </w:tr>
      <w:tr>
        <w:trPr>
          <w:trHeight w:val="20"/>
        </w:trPr>
        <w:tc>
          <w:tcPr>
            <w:tcW w:w="1500" w:type="dxa"/>
            <w:vAlign w:val="bottom"/>
            <w:tcBorders>
              <w:top w:val="single" w:sz="8" w:color="CFF0FC"/>
            </w:tcBorders>
            <w:shd w:val="clear" w:color="auto" w:fill="CFF0FC"/>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000000"/>
          </w:tcPr>
          <w:p>
            <w:pPr>
              <w:spacing w:after="0" w:line="20" w:lineRule="exact"/>
              <w:rPr>
                <w:sz w:val="1"/>
                <w:szCs w:val="1"/>
                <w:color w:val="auto"/>
              </w:rPr>
            </w:pPr>
          </w:p>
        </w:tc>
        <w:tc>
          <w:tcPr>
            <w:tcW w:w="82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 attributable to Amdocs Limited</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118,569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159,506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272,568</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313,790</w:t>
            </w:r>
          </w:p>
        </w:tc>
      </w:tr>
      <w:tr>
        <w:trPr>
          <w:trHeight w:val="20"/>
        </w:trPr>
        <w:tc>
          <w:tcPr>
            <w:tcW w:w="15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500" w:type="dxa"/>
            <w:vAlign w:val="bottom"/>
            <w:tcBorders>
              <w:bottom w:val="single" w:sz="8" w:color="auto"/>
            </w:tcBorders>
          </w:tcPr>
          <w:p>
            <w:pPr>
              <w:spacing w:after="0"/>
              <w:rPr>
                <w:sz w:val="10"/>
                <w:szCs w:val="10"/>
                <w:color w:val="auto"/>
              </w:rPr>
            </w:pPr>
          </w:p>
        </w:tc>
        <w:tc>
          <w:tcPr>
            <w:tcW w:w="4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-591185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-591185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-591185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-282575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-264795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-264795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-282575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-264795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 w:lineRule="exact"/>
        <w:rPr>
          <w:sz w:val="20"/>
          <w:szCs w:val="20"/>
          <w:color w:val="auto"/>
        </w:rPr>
      </w:pPr>
    </w:p>
    <w:p>
      <w:pPr>
        <w:ind w:left="380" w:hanging="372"/>
        <w:spacing w:after="0" w:line="261"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of $696 and $710 for the three months ended March 31, 2026 and 2025, respectively, and of $800 and $191 for the six months ended March 31, 2026 and 2025, respectively.</w:t>
      </w:r>
    </w:p>
    <w:p>
      <w:pPr>
        <w:ind w:left="380" w:hanging="372"/>
        <w:spacing w:after="0"/>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impact for the three and six months ended March 31, 2026 and 2025.</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1600" w:type="dxa"/>
            <w:vAlign w:val="bottom"/>
            <w:gridSpan w:val="4"/>
            <w:vMerge w:val="restart"/>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100" w:type="dxa"/>
            <w:vAlign w:val="bottom"/>
          </w:tcPr>
          <w:p>
            <w:pPr>
              <w:spacing w:after="0"/>
              <w:rPr>
                <w:sz w:val="10"/>
                <w:szCs w:val="10"/>
                <w:color w:val="auto"/>
              </w:rPr>
            </w:pPr>
          </w:p>
        </w:tc>
        <w:tc>
          <w:tcPr>
            <w:tcW w:w="9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94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60" w:type="dxa"/>
            <w:vAlign w:val="bottom"/>
          </w:tcPr>
          <w:p>
            <w:pPr>
              <w:spacing w:after="0"/>
              <w:rPr>
                <w:sz w:val="10"/>
                <w:szCs w:val="10"/>
                <w:color w:val="auto"/>
              </w:rPr>
            </w:pPr>
          </w:p>
        </w:tc>
        <w:tc>
          <w:tcPr>
            <w:tcW w:w="96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100" w:type="dxa"/>
            <w:vAlign w:val="bottom"/>
          </w:tcPr>
          <w:p>
            <w:pPr>
              <w:spacing w:after="0"/>
              <w:rPr>
                <w:sz w:val="10"/>
                <w:szCs w:val="10"/>
                <w:color w:val="auto"/>
              </w:rPr>
            </w:pPr>
          </w:p>
        </w:tc>
        <w:tc>
          <w:tcPr>
            <w:tcW w:w="90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60" w:type="dxa"/>
            <w:vAlign w:val="bottom"/>
          </w:tcPr>
          <w:p>
            <w:pPr>
              <w:spacing w:after="0"/>
              <w:rPr>
                <w:sz w:val="10"/>
                <w:szCs w:val="10"/>
                <w:color w:val="auto"/>
              </w:rPr>
            </w:pPr>
          </w:p>
        </w:tc>
        <w:tc>
          <w:tcPr>
            <w:tcW w:w="8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70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86"/>
              <w:spacing w:after="0" w:line="11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7"/>
              </w:rPr>
              <w:t>Loss (1)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0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2025</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107,571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4,635</w:t>
            </w:r>
          </w:p>
        </w:tc>
        <w:tc>
          <w:tcPr>
            <w:tcW w:w="30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4,615,417</w:t>
            </w:r>
          </w:p>
        </w:tc>
        <w:tc>
          <w:tcPr>
            <w:tcW w:w="3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(8,481,942)</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19,068</w:t>
            </w:r>
          </w:p>
        </w:tc>
        <w:tc>
          <w:tcPr>
            <w:tcW w:w="120" w:type="dxa"/>
            <w:vAlign w:val="bottom"/>
            <w:shd w:val="clear" w:color="auto" w:fill="CFF0FC"/>
          </w:tcPr>
          <w:p>
            <w:pPr>
              <w:spacing w:after="0"/>
              <w:rPr>
                <w:sz w:val="10"/>
                <w:szCs w:val="10"/>
                <w:color w:val="auto"/>
              </w:rPr>
            </w:pPr>
          </w:p>
        </w:tc>
        <w:tc>
          <w:tcPr>
            <w:tcW w:w="20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7,265,827</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3,423,005</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42,115</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3,465,120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137,815</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137,815</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957</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138,772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(19,246)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9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(19,246)</w:t>
            </w:r>
          </w:p>
        </w:tc>
        <w:tc>
          <w:tcPr>
            <w:tcW w:w="10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(19,246)</w:t>
            </w:r>
          </w:p>
        </w:tc>
        <w:tc>
          <w:tcPr>
            <w:tcW w:w="0" w:type="dxa"/>
            <w:vAlign w:val="bottom"/>
          </w:tcPr>
          <w:p>
            <w:pPr>
              <w:spacing w:after="0"/>
              <w:rPr>
                <w:sz w:val="1"/>
                <w:szCs w:val="1"/>
                <w:color w:val="auto"/>
              </w:rPr>
            </w:pPr>
          </w:p>
        </w:tc>
      </w:tr>
      <w:tr>
        <w:trPr>
          <w:trHeight w:val="115"/>
        </w:trPr>
        <w:tc>
          <w:tcPr>
            <w:tcW w:w="2460" w:type="dxa"/>
            <w:vAlign w:val="bottom"/>
            <w:shd w:val="clear" w:color="auto" w:fill="CFF0FC"/>
          </w:tcPr>
          <w:p>
            <w:pPr>
              <w:ind w:left="8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92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118,569</w:t>
            </w: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957</w:t>
            </w: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119,526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9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(1,922)</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(138,345)</w:t>
            </w: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(138,345)</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(138,345)</w:t>
            </w:r>
          </w:p>
        </w:tc>
        <w:tc>
          <w:tcPr>
            <w:tcW w:w="0" w:type="dxa"/>
            <w:vAlign w:val="bottom"/>
          </w:tcPr>
          <w:p>
            <w:pPr>
              <w:spacing w:after="0"/>
              <w:rPr>
                <w:sz w:val="1"/>
                <w:szCs w:val="1"/>
                <w:color w:val="auto"/>
              </w:rPr>
            </w:pPr>
          </w:p>
        </w:tc>
      </w:tr>
      <w:tr>
        <w:trPr>
          <w:trHeight w:val="108"/>
        </w:trPr>
        <w:tc>
          <w:tcPr>
            <w:tcW w:w="24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Cash dividends declared ($0.569 per</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ordinary share)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(60,429)</w:t>
            </w:r>
          </w:p>
        </w:tc>
        <w:tc>
          <w:tcPr>
            <w:tcW w:w="60" w:type="dxa"/>
            <w:vAlign w:val="bottom"/>
          </w:tcPr>
          <w:p>
            <w:pPr>
              <w:spacing w:after="0"/>
              <w:rPr>
                <w:sz w:val="11"/>
                <w:szCs w:val="1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(60,429)</w:t>
            </w:r>
          </w:p>
        </w:tc>
        <w:tc>
          <w:tcPr>
            <w:tcW w:w="10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(60,429)</w:t>
            </w: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492</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9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4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 related</w:t>
            </w:r>
          </w:p>
        </w:tc>
        <w:tc>
          <w:tcPr>
            <w:tcW w:w="7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to employees</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37,999</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37,999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37,999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(1,941)</w:t>
            </w:r>
          </w:p>
        </w:tc>
        <w:tc>
          <w:tcPr>
            <w:tcW w:w="160" w:type="dxa"/>
            <w:vAlign w:val="bottom"/>
          </w:tcPr>
          <w:p>
            <w:pPr>
              <w:spacing w:after="0"/>
              <w:rPr>
                <w:sz w:val="10"/>
                <w:szCs w:val="10"/>
                <w:color w:val="auto"/>
              </w:rPr>
            </w:pPr>
          </w:p>
        </w:tc>
        <w:tc>
          <w:tcPr>
            <w:tcW w:w="8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(1,941)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2026</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106,164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4,642</w:t>
            </w:r>
          </w:p>
        </w:tc>
        <w:tc>
          <w:tcPr>
            <w:tcW w:w="30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4,654,902</w:t>
            </w:r>
          </w:p>
        </w:tc>
        <w:tc>
          <w:tcPr>
            <w:tcW w:w="3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(8,620,287)</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(178)</w:t>
            </w:r>
          </w:p>
        </w:tc>
        <w:tc>
          <w:tcPr>
            <w:tcW w:w="20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7,343,213</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3,382,292</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41,131</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3,423,423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246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Amdocs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1600" w:type="dxa"/>
            <w:vAlign w:val="bottom"/>
            <w:gridSpan w:val="4"/>
            <w:vMerge w:val="restart"/>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Limited</w:t>
            </w:r>
          </w:p>
        </w:tc>
        <w:tc>
          <w:tcPr>
            <w:tcW w:w="100" w:type="dxa"/>
            <w:vAlign w:val="bottom"/>
          </w:tcPr>
          <w:p>
            <w:pPr>
              <w:spacing w:after="0"/>
              <w:rPr>
                <w:sz w:val="10"/>
                <w:szCs w:val="10"/>
                <w:color w:val="auto"/>
              </w:rPr>
            </w:pPr>
          </w:p>
        </w:tc>
        <w:tc>
          <w:tcPr>
            <w:tcW w:w="90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0"/>
                <w:szCs w:val="10"/>
                <w:color w:val="auto"/>
              </w:rPr>
            </w:pPr>
          </w:p>
        </w:tc>
        <w:tc>
          <w:tcPr>
            <w:tcW w:w="1600" w:type="dxa"/>
            <w:vAlign w:val="bottom"/>
            <w:tcBorders>
              <w:bottom w:val="single" w:sz="8" w:color="auto"/>
            </w:tcBorders>
            <w:gridSpan w:val="4"/>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26"/>
              <w:spacing w:after="0" w:line="124"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340"/>
              <w:spacing w:after="0" w:line="124" w:lineRule="exact"/>
              <w:rPr>
                <w:sz w:val="20"/>
                <w:szCs w:val="20"/>
                <w:color w:val="auto"/>
              </w:rPr>
            </w:pPr>
            <w:r>
              <w:rPr>
                <w:rFonts w:ascii="Times New Roman" w:cs="Times New Roman" w:eastAsia="Times New Roman" w:hAnsi="Times New Roman"/>
                <w:sz w:val="11"/>
                <w:szCs w:val="11"/>
                <w:b w:val="1"/>
                <w:bCs w:val="1"/>
                <w:color w:val="auto"/>
              </w:rPr>
              <w:t>Treasury</w:t>
            </w:r>
          </w:p>
        </w:tc>
        <w:tc>
          <w:tcPr>
            <w:tcW w:w="94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400"/>
              <w:spacing w:after="0" w:line="124"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60" w:type="dxa"/>
            <w:vAlign w:val="bottom"/>
          </w:tcPr>
          <w:p>
            <w:pPr>
              <w:spacing w:after="0"/>
              <w:rPr>
                <w:sz w:val="10"/>
                <w:szCs w:val="10"/>
                <w:color w:val="auto"/>
              </w:rPr>
            </w:pPr>
          </w:p>
        </w:tc>
        <w:tc>
          <w:tcPr>
            <w:tcW w:w="96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6"/>
              </w:rPr>
              <w:t>Shareholders’</w:t>
            </w:r>
          </w:p>
        </w:tc>
        <w:tc>
          <w:tcPr>
            <w:tcW w:w="100" w:type="dxa"/>
            <w:vAlign w:val="bottom"/>
          </w:tcPr>
          <w:p>
            <w:pPr>
              <w:spacing w:after="0"/>
              <w:rPr>
                <w:sz w:val="10"/>
                <w:szCs w:val="10"/>
                <w:color w:val="auto"/>
              </w:rPr>
            </w:pPr>
          </w:p>
        </w:tc>
        <w:tc>
          <w:tcPr>
            <w:tcW w:w="90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160" w:type="dxa"/>
            <w:vAlign w:val="bottom"/>
          </w:tcPr>
          <w:p>
            <w:pPr>
              <w:spacing w:after="0"/>
              <w:rPr>
                <w:sz w:val="10"/>
                <w:szCs w:val="10"/>
                <w:color w:val="auto"/>
              </w:rPr>
            </w:pPr>
          </w:p>
        </w:tc>
        <w:tc>
          <w:tcPr>
            <w:tcW w:w="820" w:type="dxa"/>
            <w:vAlign w:val="bottom"/>
            <w:gridSpan w:val="2"/>
          </w:tcPr>
          <w:p>
            <w:pPr>
              <w:jc w:val="center"/>
              <w:ind w:right="30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2460" w:type="dxa"/>
            <w:vAlign w:val="bottom"/>
          </w:tcPr>
          <w:p>
            <w:pPr>
              <w:spacing w:after="0"/>
              <w:rPr>
                <w:sz w:val="10"/>
                <w:szCs w:val="10"/>
                <w:color w:val="auto"/>
              </w:rPr>
            </w:pPr>
          </w:p>
        </w:tc>
        <w:tc>
          <w:tcPr>
            <w:tcW w:w="70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0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86"/>
              <w:spacing w:after="0" w:line="11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9"/>
              </w:rPr>
              <w:t>(Loss) (1)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0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4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2024</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112,163</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4,610</w:t>
            </w:r>
          </w:p>
        </w:tc>
        <w:tc>
          <w:tcPr>
            <w:tcW w:w="30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4,464,706</w:t>
            </w:r>
          </w:p>
        </w:tc>
        <w:tc>
          <w:tcPr>
            <w:tcW w:w="3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(7,928,917)</w:t>
            </w: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(1,259)</w:t>
            </w:r>
          </w:p>
        </w:tc>
        <w:tc>
          <w:tcPr>
            <w:tcW w:w="20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6,925,123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3,464,263</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41,597</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3,505,860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92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163,243</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163,243</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758</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164,001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96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(3,737)</w:t>
            </w:r>
          </w:p>
        </w:tc>
        <w:tc>
          <w:tcPr>
            <w:tcW w:w="10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82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(3,737)</w:t>
            </w:r>
          </w:p>
        </w:tc>
        <w:tc>
          <w:tcPr>
            <w:tcW w:w="0" w:type="dxa"/>
            <w:vAlign w:val="bottom"/>
          </w:tcPr>
          <w:p>
            <w:pPr>
              <w:spacing w:after="0"/>
              <w:rPr>
                <w:sz w:val="1"/>
                <w:szCs w:val="1"/>
                <w:color w:val="auto"/>
              </w:rPr>
            </w:pPr>
          </w:p>
        </w:tc>
      </w:tr>
      <w:tr>
        <w:trPr>
          <w:trHeight w:val="115"/>
        </w:trPr>
        <w:tc>
          <w:tcPr>
            <w:tcW w:w="2460" w:type="dxa"/>
            <w:vAlign w:val="bottom"/>
            <w:shd w:val="clear" w:color="auto" w:fill="CFF0FC"/>
          </w:tcPr>
          <w:p>
            <w:pPr>
              <w:ind w:left="8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92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159,506</w:t>
            </w:r>
          </w:p>
        </w:tc>
        <w:tc>
          <w:tcPr>
            <w:tcW w:w="20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758</w:t>
            </w:r>
          </w:p>
        </w:tc>
        <w:tc>
          <w:tcPr>
            <w:tcW w:w="20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160,264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5,180</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5,181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5,181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92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(1,537)</w:t>
            </w: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(135,237)</w:t>
            </w: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(135,237)</w:t>
            </w: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(135,237)</w:t>
            </w:r>
          </w:p>
        </w:tc>
        <w:tc>
          <w:tcPr>
            <w:tcW w:w="0" w:type="dxa"/>
            <w:vAlign w:val="bottom"/>
          </w:tcPr>
          <w:p>
            <w:pPr>
              <w:spacing w:after="0"/>
              <w:rPr>
                <w:sz w:val="1"/>
                <w:szCs w:val="1"/>
                <w:color w:val="auto"/>
              </w:rPr>
            </w:pPr>
          </w:p>
        </w:tc>
      </w:tr>
      <w:tr>
        <w:trPr>
          <w:trHeight w:val="108"/>
        </w:trPr>
        <w:tc>
          <w:tcPr>
            <w:tcW w:w="24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Cash dividends declared ($0.527 per</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ordinary share)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(58,615)</w:t>
            </w:r>
          </w:p>
        </w:tc>
        <w:tc>
          <w:tcPr>
            <w:tcW w:w="60" w:type="dxa"/>
            <w:vAlign w:val="bottom"/>
          </w:tcPr>
          <w:p>
            <w:pPr>
              <w:spacing w:after="0"/>
              <w:rPr>
                <w:sz w:val="11"/>
                <w:szCs w:val="1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(58,615)</w:t>
            </w:r>
          </w:p>
        </w:tc>
        <w:tc>
          <w:tcPr>
            <w:tcW w:w="10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(58,615)</w:t>
            </w:r>
          </w:p>
        </w:tc>
        <w:tc>
          <w:tcPr>
            <w:tcW w:w="0" w:type="dxa"/>
            <w:vAlign w:val="bottom"/>
          </w:tcPr>
          <w:p>
            <w:pPr>
              <w:spacing w:after="0"/>
              <w:rPr>
                <w:sz w:val="1"/>
                <w:szCs w:val="1"/>
                <w:color w:val="auto"/>
              </w:rPr>
            </w:pPr>
          </w:p>
        </w:tc>
      </w:tr>
      <w:tr>
        <w:trPr>
          <w:trHeight w:val="122"/>
        </w:trPr>
        <w:tc>
          <w:tcPr>
            <w:tcW w:w="24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513</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 related</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 employees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25,653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25,653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(886)</w:t>
            </w:r>
          </w:p>
        </w:tc>
        <w:tc>
          <w:tcPr>
            <w:tcW w:w="16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(886)</w:t>
            </w:r>
          </w:p>
        </w:tc>
        <w:tc>
          <w:tcPr>
            <w:tcW w:w="0" w:type="dxa"/>
            <w:vAlign w:val="bottom"/>
          </w:tcPr>
          <w:p>
            <w:pPr>
              <w:spacing w:after="0"/>
              <w:rPr>
                <w:sz w:val="1"/>
                <w:szCs w:val="1"/>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4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2025</w:t>
            </w: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111,219</w:t>
            </w:r>
          </w:p>
        </w:tc>
        <w:tc>
          <w:tcPr>
            <w:tcW w:w="22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4,617</w:t>
            </w:r>
          </w:p>
        </w:tc>
        <w:tc>
          <w:tcPr>
            <w:tcW w:w="3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4,495,539</w:t>
            </w:r>
          </w:p>
        </w:tc>
        <w:tc>
          <w:tcPr>
            <w:tcW w:w="34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(8,064,154)</w:t>
            </w: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(4,996)</w:t>
            </w:r>
          </w:p>
        </w:tc>
        <w:tc>
          <w:tcPr>
            <w:tcW w:w="20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7,029,751</w:t>
            </w:r>
          </w:p>
        </w:tc>
        <w:tc>
          <w:tcPr>
            <w:tcW w:w="220" w:type="dxa"/>
            <w:vAlign w:val="bottom"/>
          </w:tcPr>
          <w:p>
            <w:pPr>
              <w:spacing w:after="0"/>
              <w:rPr>
                <w:sz w:val="10"/>
                <w:szCs w:val="10"/>
                <w:color w:val="auto"/>
              </w:rPr>
            </w:pPr>
          </w:p>
        </w:tc>
        <w:tc>
          <w:tcPr>
            <w:tcW w:w="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3,460,757</w:t>
            </w:r>
          </w:p>
        </w:tc>
        <w:tc>
          <w:tcPr>
            <w:tcW w:w="2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41,469</w:t>
            </w:r>
          </w:p>
        </w:tc>
        <w:tc>
          <w:tcPr>
            <w:tcW w:w="200" w:type="dxa"/>
            <w:vAlign w:val="bottom"/>
          </w:tcPr>
          <w:p>
            <w:pPr>
              <w:spacing w:after="0"/>
              <w:rPr>
                <w:sz w:val="10"/>
                <w:szCs w:val="10"/>
                <w:color w:val="auto"/>
              </w:rPr>
            </w:pPr>
          </w:p>
        </w:tc>
        <w:tc>
          <w:tcPr>
            <w:tcW w:w="160" w:type="dxa"/>
            <w:vAlign w:val="bottom"/>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3,502,226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-1696720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-1679575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-1696720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-1679575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-1696720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-1679575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-1696720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-1679575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-1696720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-1679575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-1696720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-1679575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-1696720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-1679575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-1696720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-1679575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-1696720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-1679575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-111125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-111125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-111125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-111125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-111125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-111125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-111125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-111125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-111125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12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9" w:lineRule="exact"/>
        <w:rPr>
          <w:sz w:val="20"/>
          <w:szCs w:val="20"/>
          <w:color w:val="auto"/>
        </w:rPr>
      </w:pPr>
    </w:p>
    <w:p>
      <w:pPr>
        <w:jc w:val="both"/>
        <w:ind w:left="380" w:hanging="372"/>
        <w:spacing w:after="0" w:line="244" w:lineRule="auto"/>
        <w:tabs>
          <w:tab w:leader="none" w:pos="380" w:val="left"/>
        </w:tabs>
        <w:numPr>
          <w:ilvl w:val="0"/>
          <w:numId w:val="2"/>
        </w:numPr>
        <w:rPr>
          <w:rFonts w:ascii="Times New Roman" w:cs="Times New Roman" w:eastAsia="Times New Roman" w:hAnsi="Times New Roman"/>
          <w:sz w:val="15"/>
          <w:szCs w:val="15"/>
          <w:color w:val="404040"/>
        </w:rPr>
      </w:pPr>
      <w:r>
        <w:rPr>
          <w:rFonts w:ascii="Times New Roman" w:cs="Times New Roman" w:eastAsia="Times New Roman" w:hAnsi="Times New Roman"/>
          <w:sz w:val="15"/>
          <w:szCs w:val="15"/>
          <w:color w:val="404040"/>
        </w:rPr>
        <w:t xml:space="preserve">As of March 31, 2026 and 2025, accumulated other comprehensive (loss) income </w:t>
      </w:r>
      <w:r>
        <w:rPr>
          <w:rFonts w:ascii="Times New Roman" w:cs="Times New Roman" w:eastAsia="Times New Roman" w:hAnsi="Times New Roman"/>
          <w:sz w:val="15"/>
          <w:szCs w:val="15"/>
          <w:color w:val="000000"/>
        </w:rPr>
        <w:t>is comprised of unrealized gain (loss) on derivatives, net of tax, of $1,449 and $(359)</w:t>
      </w:r>
      <w:r>
        <w:rPr>
          <w:rFonts w:ascii="Times New Roman" w:cs="Times New Roman" w:eastAsia="Times New Roman" w:hAnsi="Times New Roman"/>
          <w:sz w:val="15"/>
          <w:szCs w:val="15"/>
          <w:color w:val="404040"/>
        </w:rPr>
        <w:t xml:space="preserve"> </w:t>
      </w:r>
      <w:r>
        <w:rPr>
          <w:rFonts w:ascii="Times New Roman" w:cs="Times New Roman" w:eastAsia="Times New Roman" w:hAnsi="Times New Roman"/>
          <w:sz w:val="15"/>
          <w:szCs w:val="15"/>
          <w:color w:val="000000"/>
        </w:rPr>
        <w:t>unrealized loss on short-term interest-bearing investments, net of tax, of $(-) and $(2,428), and unrealized loss on defined benefit plan, net of tax, of $(1,627) and $(2,209), respectively.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580" w:type="dxa"/>
            <w:vAlign w:val="bottom"/>
            <w:gridSpan w:val="5"/>
            <w:vMerge w:val="restart"/>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Limited</w:t>
            </w:r>
          </w:p>
        </w:tc>
        <w:tc>
          <w:tcPr>
            <w:tcW w:w="8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0"/>
                <w:szCs w:val="10"/>
                <w:color w:val="auto"/>
              </w:rPr>
            </w:pPr>
          </w:p>
        </w:tc>
        <w:tc>
          <w:tcPr>
            <w:tcW w:w="1580" w:type="dxa"/>
            <w:vAlign w:val="bottom"/>
            <w:tcBorders>
              <w:bottom w:val="single" w:sz="8" w:color="auto"/>
            </w:tcBorders>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66"/>
              <w:spacing w:after="0" w:line="124"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10"/>
                <w:szCs w:val="10"/>
                <w:color w:val="auto"/>
              </w:rPr>
            </w:pPr>
          </w:p>
        </w:tc>
        <w:tc>
          <w:tcPr>
            <w:tcW w:w="1040" w:type="dxa"/>
            <w:vAlign w:val="bottom"/>
            <w:gridSpan w:val="4"/>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0"/>
                <w:szCs w:val="10"/>
                <w:color w:val="auto"/>
              </w:rPr>
            </w:pPr>
          </w:p>
        </w:tc>
        <w:tc>
          <w:tcPr>
            <w:tcW w:w="76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60" w:type="dxa"/>
            <w:vAlign w:val="bottom"/>
          </w:tcPr>
          <w:p>
            <w:pPr>
              <w:spacing w:after="0"/>
              <w:rPr>
                <w:sz w:val="10"/>
                <w:szCs w:val="10"/>
                <w:color w:val="auto"/>
              </w:rPr>
            </w:pPr>
          </w:p>
        </w:tc>
        <w:tc>
          <w:tcPr>
            <w:tcW w:w="9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80" w:type="dxa"/>
            <w:vAlign w:val="bottom"/>
          </w:tcPr>
          <w:p>
            <w:pPr>
              <w:spacing w:after="0"/>
              <w:rPr>
                <w:sz w:val="10"/>
                <w:szCs w:val="10"/>
                <w:color w:val="auto"/>
              </w:rPr>
            </w:pPr>
          </w:p>
        </w:tc>
        <w:tc>
          <w:tcPr>
            <w:tcW w:w="8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70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6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rPr>
              <w:t>Loss (1)</w:t>
            </w:r>
          </w:p>
        </w:tc>
        <w:tc>
          <w:tcPr>
            <w:tcW w:w="22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bottom w:val="single" w:sz="8" w:color="auto"/>
            </w:tcBorders>
          </w:tcPr>
          <w:p>
            <w:pPr>
              <w:jc w:val="center"/>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September 30, 2025</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108,448</w:t>
            </w:r>
          </w:p>
        </w:tc>
        <w:tc>
          <w:tcPr>
            <w:tcW w:w="1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4,622</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4,573,016</w:t>
            </w:r>
          </w:p>
        </w:tc>
        <w:tc>
          <w:tcPr>
            <w:tcW w:w="32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(8,335,774)</w:t>
            </w:r>
          </w:p>
        </w:tc>
        <w:tc>
          <w:tcPr>
            <w:tcW w:w="1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22,635</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7,164,954</w:t>
            </w:r>
          </w:p>
        </w:tc>
        <w:tc>
          <w:tcPr>
            <w:tcW w:w="10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3,429,453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41,227</w:t>
            </w:r>
          </w:p>
        </w:tc>
        <w:tc>
          <w:tcPr>
            <w:tcW w:w="14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3,470,680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3"/>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295,381</w:t>
            </w:r>
          </w:p>
        </w:tc>
        <w:tc>
          <w:tcPr>
            <w:tcW w:w="10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295,381</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1,845</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297,226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(22,813)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9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(22,813)</w:t>
            </w:r>
          </w:p>
        </w:tc>
        <w:tc>
          <w:tcPr>
            <w:tcW w:w="8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(22,813)</w:t>
            </w:r>
          </w:p>
        </w:tc>
        <w:tc>
          <w:tcPr>
            <w:tcW w:w="0" w:type="dxa"/>
            <w:vAlign w:val="bottom"/>
          </w:tcPr>
          <w:p>
            <w:pPr>
              <w:spacing w:after="0"/>
              <w:rPr>
                <w:sz w:val="1"/>
                <w:szCs w:val="1"/>
                <w:color w:val="auto"/>
              </w:rPr>
            </w:pPr>
          </w:p>
        </w:tc>
      </w:tr>
      <w:tr>
        <w:trPr>
          <w:trHeight w:val="115"/>
        </w:trPr>
        <w:tc>
          <w:tcPr>
            <w:tcW w:w="2540" w:type="dxa"/>
            <w:vAlign w:val="bottom"/>
            <w:shd w:val="clear" w:color="auto" w:fill="CFF0FC"/>
          </w:tcPr>
          <w:p>
            <w:pPr>
              <w:ind w:left="8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8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3"/>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272,568</w:t>
            </w: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1,845</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274,413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3,177</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8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(3,754)</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(284,513)</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3"/>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9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(284,513)</w:t>
            </w:r>
          </w:p>
        </w:tc>
        <w:tc>
          <w:tcPr>
            <w:tcW w:w="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(284,513)</w:t>
            </w:r>
          </w:p>
        </w:tc>
        <w:tc>
          <w:tcPr>
            <w:tcW w:w="0" w:type="dxa"/>
            <w:vAlign w:val="bottom"/>
          </w:tcPr>
          <w:p>
            <w:pPr>
              <w:spacing w:after="0"/>
              <w:rPr>
                <w:sz w:val="1"/>
                <w:szCs w:val="1"/>
                <w:color w:val="auto"/>
              </w:rPr>
            </w:pPr>
          </w:p>
        </w:tc>
      </w:tr>
      <w:tr>
        <w:trPr>
          <w:trHeight w:val="108"/>
        </w:trPr>
        <w:tc>
          <w:tcPr>
            <w:tcW w:w="25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Cash dividends declared ($1.096 per ordinary</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(117,122)</w:t>
            </w:r>
          </w:p>
        </w:tc>
        <w:tc>
          <w:tcPr>
            <w:tcW w:w="16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(117,122)</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(117,122)</w:t>
            </w:r>
          </w:p>
        </w:tc>
        <w:tc>
          <w:tcPr>
            <w:tcW w:w="0" w:type="dxa"/>
            <w:vAlign w:val="bottom"/>
          </w:tcPr>
          <w:p>
            <w:pPr>
              <w:spacing w:after="0"/>
              <w:rPr>
                <w:sz w:val="1"/>
                <w:szCs w:val="1"/>
                <w:color w:val="auto"/>
              </w:rPr>
            </w:pPr>
          </w:p>
        </w:tc>
      </w:tr>
      <w:tr>
        <w:trPr>
          <w:trHeight w:val="122"/>
        </w:trPr>
        <w:tc>
          <w:tcPr>
            <w:tcW w:w="25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1,162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3"/>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16,620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16,624</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16,624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 related</w:t>
            </w: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to employees</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62,089</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62,089</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62,089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(1,941)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(1,941)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2026</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106,164</w:t>
            </w:r>
          </w:p>
        </w:tc>
        <w:tc>
          <w:tcPr>
            <w:tcW w:w="120" w:type="dxa"/>
            <w:vAlign w:val="bottom"/>
            <w:shd w:val="clear" w:color="auto" w:fill="CFF0FC"/>
          </w:tcPr>
          <w:p>
            <w:pPr>
              <w:spacing w:after="0"/>
              <w:rPr>
                <w:sz w:val="13"/>
                <w:szCs w:val="13"/>
                <w:color w:val="auto"/>
              </w:rPr>
            </w:pPr>
          </w:p>
        </w:tc>
        <w:tc>
          <w:tcPr>
            <w:tcW w:w="18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4,642</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4,654,902</w:t>
            </w:r>
          </w:p>
        </w:tc>
        <w:tc>
          <w:tcPr>
            <w:tcW w:w="32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(8,620,287)</w:t>
            </w:r>
          </w:p>
        </w:tc>
        <w:tc>
          <w:tcPr>
            <w:tcW w:w="1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(178)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7,343,213</w:t>
            </w:r>
          </w:p>
        </w:tc>
        <w:tc>
          <w:tcPr>
            <w:tcW w:w="10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3,382,292</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41,131</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3,423,423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top w:val="single" w:sz="8" w:color="CFF0F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Amdocs</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1580" w:type="dxa"/>
            <w:vAlign w:val="bottom"/>
            <w:gridSpan w:val="5"/>
            <w:vMerge w:val="restart"/>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center"/>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Limited</w:t>
            </w:r>
          </w:p>
        </w:tc>
        <w:tc>
          <w:tcPr>
            <w:tcW w:w="8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Non-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0"/>
                <w:szCs w:val="10"/>
                <w:color w:val="auto"/>
              </w:rPr>
            </w:pPr>
          </w:p>
        </w:tc>
        <w:tc>
          <w:tcPr>
            <w:tcW w:w="1580" w:type="dxa"/>
            <w:vAlign w:val="bottom"/>
            <w:tcBorders>
              <w:bottom w:val="single" w:sz="8" w:color="auto"/>
            </w:tcBorders>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66"/>
              <w:spacing w:after="0" w:line="124"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6"/>
              </w:rPr>
              <w:t>Treasury</w:t>
            </w:r>
          </w:p>
        </w:tc>
        <w:tc>
          <w:tcPr>
            <w:tcW w:w="80" w:type="dxa"/>
            <w:vAlign w:val="bottom"/>
          </w:tcPr>
          <w:p>
            <w:pPr>
              <w:spacing w:after="0"/>
              <w:rPr>
                <w:sz w:val="10"/>
                <w:szCs w:val="10"/>
                <w:color w:val="auto"/>
              </w:rPr>
            </w:pPr>
          </w:p>
        </w:tc>
        <w:tc>
          <w:tcPr>
            <w:tcW w:w="1040" w:type="dxa"/>
            <w:vAlign w:val="bottom"/>
            <w:gridSpan w:val="4"/>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20" w:type="dxa"/>
            <w:vAlign w:val="bottom"/>
          </w:tcPr>
          <w:p>
            <w:pPr>
              <w:spacing w:after="0"/>
              <w:rPr>
                <w:sz w:val="10"/>
                <w:szCs w:val="10"/>
                <w:color w:val="auto"/>
              </w:rPr>
            </w:pPr>
          </w:p>
        </w:tc>
        <w:tc>
          <w:tcPr>
            <w:tcW w:w="760" w:type="dxa"/>
            <w:vAlign w:val="bottom"/>
            <w:gridSpan w:val="2"/>
          </w:tcPr>
          <w:p>
            <w:pPr>
              <w:jc w:val="right"/>
              <w:ind w:right="280"/>
              <w:spacing w:after="0" w:line="124"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60" w:type="dxa"/>
            <w:vAlign w:val="bottom"/>
          </w:tcPr>
          <w:p>
            <w:pPr>
              <w:spacing w:after="0"/>
              <w:rPr>
                <w:sz w:val="10"/>
                <w:szCs w:val="10"/>
                <w:color w:val="auto"/>
              </w:rPr>
            </w:pPr>
          </w:p>
        </w:tc>
        <w:tc>
          <w:tcPr>
            <w:tcW w:w="9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9"/>
              </w:rPr>
              <w:t>Shareholders’</w:t>
            </w:r>
          </w:p>
        </w:tc>
        <w:tc>
          <w:tcPr>
            <w:tcW w:w="80" w:type="dxa"/>
            <w:vAlign w:val="bottom"/>
          </w:tcPr>
          <w:p>
            <w:pPr>
              <w:spacing w:after="0"/>
              <w:rPr>
                <w:sz w:val="10"/>
                <w:szCs w:val="10"/>
                <w:color w:val="auto"/>
              </w:rPr>
            </w:pPr>
          </w:p>
        </w:tc>
        <w:tc>
          <w:tcPr>
            <w:tcW w:w="82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7"/>
              </w:rPr>
              <w:t>controlling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700" w:type="dxa"/>
            <w:vAlign w:val="bottom"/>
            <w:tcBorders>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86"/>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66"/>
              <w:spacing w:after="0" w:line="115" w:lineRule="exact"/>
              <w:rPr>
                <w:sz w:val="20"/>
                <w:szCs w:val="20"/>
                <w:color w:val="auto"/>
              </w:rPr>
            </w:pPr>
            <w:r>
              <w:rPr>
                <w:rFonts w:ascii="Times New Roman" w:cs="Times New Roman" w:eastAsia="Times New Roman" w:hAnsi="Times New Roman"/>
                <w:sz w:val="11"/>
                <w:szCs w:val="11"/>
                <w:b w:val="1"/>
                <w:bCs w:val="1"/>
                <w:color w:val="auto"/>
                <w:w w:val="97"/>
              </w:rPr>
              <w:t>Capital</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4"/>
              </w:rPr>
              <w:t>(Loss) (1)</w:t>
            </w:r>
          </w:p>
        </w:tc>
        <w:tc>
          <w:tcPr>
            <w:tcW w:w="22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bottom w:val="single" w:sz="8" w:color="auto"/>
            </w:tcBorders>
          </w:tcPr>
          <w:p>
            <w:pPr>
              <w:jc w:val="center"/>
              <w:ind w:right="6"/>
              <w:spacing w:after="0" w:line="115" w:lineRule="exact"/>
              <w:rPr>
                <w:sz w:val="20"/>
                <w:szCs w:val="20"/>
                <w:color w:val="auto"/>
              </w:rPr>
            </w:pPr>
            <w:r>
              <w:rPr>
                <w:rFonts w:ascii="Times New Roman" w:cs="Times New Roman" w:eastAsia="Times New Roman" w:hAnsi="Times New Roman"/>
                <w:sz w:val="11"/>
                <w:szCs w:val="11"/>
                <w:b w:val="1"/>
                <w:bCs w:val="1"/>
                <w:color w:val="auto"/>
                <w:w w:val="94"/>
              </w:rPr>
              <w:t>Equity</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6"/>
              <w:spacing w:after="0" w:line="115" w:lineRule="exact"/>
              <w:rPr>
                <w:sz w:val="20"/>
                <w:szCs w:val="20"/>
                <w:color w:val="auto"/>
              </w:rPr>
            </w:pPr>
            <w:r>
              <w:rPr>
                <w:rFonts w:ascii="Times New Roman" w:cs="Times New Roman" w:eastAsia="Times New Roman" w:hAnsi="Times New Roman"/>
                <w:sz w:val="11"/>
                <w:szCs w:val="11"/>
                <w:b w:val="1"/>
                <w:bCs w:val="1"/>
                <w:color w:val="auto"/>
                <w:w w:val="97"/>
              </w:rPr>
              <w:t>Interests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26"/>
              <w:spacing w:after="0" w:line="115" w:lineRule="exact"/>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September 30, 2024</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112,891</w:t>
            </w:r>
          </w:p>
        </w:tc>
        <w:tc>
          <w:tcPr>
            <w:tcW w:w="120" w:type="dxa"/>
            <w:vAlign w:val="bottom"/>
            <w:shd w:val="clear" w:color="auto" w:fill="CFF0FC"/>
          </w:tcPr>
          <w:p>
            <w:pPr>
              <w:spacing w:after="0"/>
              <w:rPr>
                <w:sz w:val="10"/>
                <w:szCs w:val="10"/>
                <w:color w:val="auto"/>
              </w:rPr>
            </w:pPr>
          </w:p>
        </w:tc>
        <w:tc>
          <w:tcPr>
            <w:tcW w:w="18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4,598</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4,413,503</w:t>
            </w:r>
          </w:p>
        </w:tc>
        <w:tc>
          <w:tcPr>
            <w:tcW w:w="32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(7,784,434)</w:t>
            </w:r>
          </w:p>
        </w:tc>
        <w:tc>
          <w:tcPr>
            <w:tcW w:w="1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(4,410)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6,827,719</w:t>
            </w:r>
          </w:p>
        </w:tc>
        <w:tc>
          <w:tcPr>
            <w:tcW w:w="10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3,456,976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42,201</w:t>
            </w:r>
          </w:p>
        </w:tc>
        <w:tc>
          <w:tcPr>
            <w:tcW w:w="14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3,499,177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Comprehensive income: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FF0FC"/>
          </w:tcPr>
          <w:p>
            <w:pPr>
              <w:ind w:left="80"/>
              <w:spacing w:after="0" w:line="122" w:lineRule="exact"/>
              <w:rPr>
                <w:sz w:val="20"/>
                <w:szCs w:val="20"/>
                <w:color w:val="auto"/>
              </w:rPr>
            </w:pPr>
            <w:r>
              <w:rPr>
                <w:rFonts w:ascii="Times New Roman" w:cs="Times New Roman" w:eastAsia="Times New Roman" w:hAnsi="Times New Roman"/>
                <w:sz w:val="11"/>
                <w:szCs w:val="11"/>
                <w:color w:val="auto"/>
              </w:rPr>
              <w:t>Net income</w:t>
            </w: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3"/>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314,376</w:t>
            </w:r>
          </w:p>
        </w:tc>
        <w:tc>
          <w:tcPr>
            <w:tcW w:w="10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314,376</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1,477</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315,853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(586)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9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(586)</w:t>
            </w:r>
          </w:p>
        </w:tc>
        <w:tc>
          <w:tcPr>
            <w:tcW w:w="8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(586)</w:t>
            </w:r>
          </w:p>
        </w:tc>
        <w:tc>
          <w:tcPr>
            <w:tcW w:w="0" w:type="dxa"/>
            <w:vAlign w:val="bottom"/>
          </w:tcPr>
          <w:p>
            <w:pPr>
              <w:spacing w:after="0"/>
              <w:rPr>
                <w:sz w:val="1"/>
                <w:szCs w:val="1"/>
                <w:color w:val="auto"/>
              </w:rPr>
            </w:pPr>
          </w:p>
        </w:tc>
      </w:tr>
      <w:tr>
        <w:trPr>
          <w:trHeight w:val="115"/>
        </w:trPr>
        <w:tc>
          <w:tcPr>
            <w:tcW w:w="2540" w:type="dxa"/>
            <w:vAlign w:val="bottom"/>
            <w:shd w:val="clear" w:color="auto" w:fill="CFF0FC"/>
          </w:tcPr>
          <w:p>
            <w:pPr>
              <w:ind w:left="80"/>
              <w:spacing w:after="0" w:line="115" w:lineRule="exact"/>
              <w:rPr>
                <w:sz w:val="20"/>
                <w:szCs w:val="20"/>
                <w:color w:val="auto"/>
              </w:rPr>
            </w:pPr>
            <w:r>
              <w:rPr>
                <w:rFonts w:ascii="Times New Roman" w:cs="Times New Roman" w:eastAsia="Times New Roman" w:hAnsi="Times New Roman"/>
                <w:sz w:val="11"/>
                <w:szCs w:val="11"/>
                <w:color w:val="auto"/>
              </w:rPr>
              <w:t>Comprehensive income</w:t>
            </w:r>
          </w:p>
        </w:tc>
        <w:tc>
          <w:tcPr>
            <w:tcW w:w="8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3"/>
            <w:shd w:val="clear" w:color="auto" w:fill="CFF0FC"/>
          </w:tcPr>
          <w:p>
            <w:pPr>
              <w:jc w:val="right"/>
              <w:ind w:right="2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313,790</w:t>
            </w: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1,477</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315,267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stock options exercised</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13,347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13,350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Repurchase of shares</w:t>
            </w:r>
          </w:p>
        </w:tc>
        <w:tc>
          <w:tcPr>
            <w:tcW w:w="8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(3,198)</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(279,720)</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3"/>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94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(279,720)</w:t>
            </w:r>
          </w:p>
        </w:tc>
        <w:tc>
          <w:tcPr>
            <w:tcW w:w="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(279,720)</w:t>
            </w:r>
          </w:p>
        </w:tc>
        <w:tc>
          <w:tcPr>
            <w:tcW w:w="0" w:type="dxa"/>
            <w:vAlign w:val="bottom"/>
          </w:tcPr>
          <w:p>
            <w:pPr>
              <w:spacing w:after="0"/>
              <w:rPr>
                <w:sz w:val="1"/>
                <w:szCs w:val="1"/>
                <w:color w:val="auto"/>
              </w:rPr>
            </w:pPr>
          </w:p>
        </w:tc>
      </w:tr>
      <w:tr>
        <w:trPr>
          <w:trHeight w:val="108"/>
        </w:trPr>
        <w:tc>
          <w:tcPr>
            <w:tcW w:w="25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Cash dividends declared ($1.006 per ordinary</w:t>
            </w: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share)</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(112,344)</w:t>
            </w:r>
          </w:p>
        </w:tc>
        <w:tc>
          <w:tcPr>
            <w:tcW w:w="160" w:type="dxa"/>
            <w:vAlign w:val="bottom"/>
          </w:tcPr>
          <w:p>
            <w:pPr>
              <w:spacing w:after="0"/>
              <w:rPr>
                <w:sz w:val="11"/>
                <w:szCs w:val="1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(112,344)</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(112,344)</w:t>
            </w:r>
          </w:p>
        </w:tc>
        <w:tc>
          <w:tcPr>
            <w:tcW w:w="0" w:type="dxa"/>
            <w:vAlign w:val="bottom"/>
          </w:tcPr>
          <w:p>
            <w:pPr>
              <w:spacing w:after="0"/>
              <w:rPr>
                <w:sz w:val="1"/>
                <w:szCs w:val="1"/>
                <w:color w:val="auto"/>
              </w:rPr>
            </w:pPr>
          </w:p>
        </w:tc>
      </w:tr>
      <w:tr>
        <w:trPr>
          <w:trHeight w:val="122"/>
        </w:trPr>
        <w:tc>
          <w:tcPr>
            <w:tcW w:w="25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restricted stock, net of forfeitures</w:t>
            </w: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1,062</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3"/>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Employee share purchase plan</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7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16,519</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16,519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Equity-based compensation expense related</w:t>
            </w:r>
          </w:p>
        </w:tc>
        <w:tc>
          <w:tcPr>
            <w:tcW w:w="7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to employees</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52,173</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52,173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52,173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 to noncontrolling interests</w:t>
            </w: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(2,209)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(2,209)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5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March 31, 2025</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111,219</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4,617</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4,495,539</w:t>
            </w:r>
          </w:p>
        </w:tc>
        <w:tc>
          <w:tcPr>
            <w:tcW w:w="32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(8,064,154)</w:t>
            </w:r>
          </w:p>
        </w:tc>
        <w:tc>
          <w:tcPr>
            <w:tcW w:w="1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(4,996)</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7,029,751</w:t>
            </w:r>
          </w:p>
        </w:tc>
        <w:tc>
          <w:tcPr>
            <w:tcW w:w="10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3,460,757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41,469</w:t>
            </w:r>
          </w:p>
        </w:tc>
        <w:tc>
          <w:tcPr>
            <w:tcW w:w="14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3,502,226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-1696720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-1679575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-1696720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-1679575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-1696720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-1679575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-1696720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-1679575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-1696720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-1679575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-1696720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-1679575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-1696720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-1679575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-1696720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-1679575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amounts in thousands)</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297,226</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315,853</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94,460</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52,173</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33,174</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(23,114)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(32,526)</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(6,408)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(126,700)</w:t>
            </w: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27,846</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payable, net</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(11,082)</w:t>
            </w: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(36,466)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(83,467)</w:t>
            </w:r>
          </w:p>
        </w:tc>
      </w:tr>
      <w:tr>
        <w:trPr>
          <w:trHeight w:val="20"/>
        </w:trPr>
        <w:tc>
          <w:tcPr>
            <w:tcW w:w="1500" w:type="dxa"/>
            <w:vAlign w:val="bottom"/>
            <w:shd w:val="clear" w:color="auto" w:fill="CFF0FC"/>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321,766</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278,013</w:t>
            </w:r>
          </w:p>
        </w:tc>
        <w:tc>
          <w:tcPr>
            <w:tcW w:w="100" w:type="dxa"/>
            <w:vAlign w:val="bottom"/>
          </w:tcPr>
          <w:p>
            <w:pPr>
              <w:spacing w:after="0"/>
              <w:rPr>
                <w:sz w:val="18"/>
                <w:szCs w:val="18"/>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8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and equipment, net (a)</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(43,319)</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92,955</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paid for business and intangible assets acquisitions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(217,663)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(57,169)</w:t>
            </w:r>
          </w:p>
        </w:tc>
      </w:tr>
      <w:tr>
        <w:trPr>
          <w:trHeight w:val="216"/>
        </w:trPr>
        <w:tc>
          <w:tcPr>
            <w:tcW w:w="68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from equity investments and other</w:t>
            </w:r>
          </w:p>
        </w:tc>
        <w:tc>
          <w:tcPr>
            <w:tcW w:w="8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provided by investing activities</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(259,291)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Pr>
          <w:p>
            <w:pPr>
              <w:spacing w:after="0"/>
              <w:rPr>
                <w:sz w:val="18"/>
                <w:szCs w:val="18"/>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8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shares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(284,513)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(279,720)</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dividends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(113,849)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(107,810)</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(2,209)</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 under financing arrangements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contingent consideration and deferred payment of business acquisitions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(25,869)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(7,599)</w:t>
            </w:r>
          </w:p>
        </w:tc>
      </w:tr>
      <w:tr>
        <w:trPr>
          <w:trHeight w:val="20"/>
        </w:trPr>
        <w:tc>
          <w:tcPr>
            <w:tcW w:w="1500" w:type="dxa"/>
            <w:vAlign w:val="bottom"/>
            <w:shd w:val="clear" w:color="auto" w:fill="CFF0FC"/>
          </w:tcPr>
          <w:p>
            <w:pPr>
              <w:spacing w:after="0" w:line="20" w:lineRule="exact"/>
              <w:rPr>
                <w:sz w:val="1"/>
                <w:szCs w:val="1"/>
                <w:color w:val="auto"/>
              </w:rPr>
            </w:pPr>
          </w:p>
        </w:tc>
        <w:tc>
          <w:tcPr>
            <w:tcW w:w="53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(172,979)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(385,916)</w:t>
            </w:r>
          </w:p>
        </w:tc>
      </w:tr>
      <w:tr>
        <w:trPr>
          <w:trHeight w:val="20"/>
        </w:trPr>
        <w:tc>
          <w:tcPr>
            <w:tcW w:w="1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(110,504)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(98,695)</w:t>
            </w:r>
          </w:p>
        </w:tc>
      </w:tr>
      <w:tr>
        <w:trPr>
          <w:trHeight w:val="216"/>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346,085</w:t>
            </w:r>
          </w:p>
        </w:tc>
        <w:tc>
          <w:tcPr>
            <w:tcW w:w="100" w:type="dxa"/>
            <w:vAlign w:val="bottom"/>
          </w:tcPr>
          <w:p>
            <w:pPr>
              <w:spacing w:after="0"/>
              <w:rPr>
                <w:sz w:val="18"/>
                <w:szCs w:val="18"/>
                <w:color w:val="auto"/>
              </w:rPr>
            </w:pPr>
          </w:p>
        </w:tc>
      </w:tr>
      <w:tr>
        <w:trPr>
          <w:trHeight w:val="250"/>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214,495</w:t>
            </w:r>
          </w:p>
        </w:tc>
        <w:tc>
          <w:tcPr>
            <w:tcW w:w="1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247,390</w:t>
            </w:r>
          </w:p>
        </w:tc>
        <w:tc>
          <w:tcPr>
            <w:tcW w:w="100" w:type="dxa"/>
            <w:vAlign w:val="bottom"/>
            <w:shd w:val="clear" w:color="auto" w:fill="CFF0FC"/>
          </w:tcPr>
          <w:p>
            <w:pPr>
              <w:spacing w:after="0"/>
              <w:rPr>
                <w:sz w:val="21"/>
                <w:szCs w:val="21"/>
                <w:color w:val="auto"/>
              </w:rPr>
            </w:pPr>
          </w:p>
        </w:tc>
      </w:tr>
      <w:tr>
        <w:trPr>
          <w:trHeight w:val="197"/>
        </w:trPr>
        <w:tc>
          <w:tcPr>
            <w:tcW w:w="6880" w:type="dxa"/>
            <w:vAlign w:val="bottom"/>
            <w:tcBorders>
              <w:top w:val="single" w:sz="8" w:color="CFF0FC"/>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8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taxes, net of refunds (b)</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59,475</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79,009</w:t>
            </w:r>
          </w:p>
        </w:tc>
        <w:tc>
          <w:tcPr>
            <w:tcW w:w="100" w:type="dxa"/>
            <w:vAlign w:val="bottom"/>
          </w:tcPr>
          <w:p>
            <w:pPr>
              <w:spacing w:after="0"/>
              <w:rPr>
                <w:sz w:val="18"/>
                <w:szCs w:val="18"/>
                <w:color w:val="auto"/>
              </w:rPr>
            </w:pPr>
          </w:p>
        </w:tc>
      </w:tr>
      <w:tr>
        <w:trPr>
          <w:trHeight w:val="216"/>
        </w:trPr>
        <w:tc>
          <w:tcPr>
            <w:tcW w:w="68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100" w:type="dxa"/>
            <w:vAlign w:val="bottom"/>
            <w:shd w:val="clear" w:color="auto" w:fill="CFF0FC"/>
          </w:tcPr>
          <w:p>
            <w:pPr>
              <w:spacing w:after="0"/>
              <w:rPr>
                <w:sz w:val="18"/>
                <w:szCs w:val="18"/>
                <w:color w:val="auto"/>
              </w:rPr>
            </w:pPr>
          </w:p>
        </w:tc>
      </w:tr>
      <w:tr>
        <w:trPr>
          <w:trHeight w:val="121"/>
        </w:trPr>
        <w:tc>
          <w:tcPr>
            <w:tcW w:w="1500" w:type="dxa"/>
            <w:vAlign w:val="bottom"/>
            <w:tcBorders>
              <w:bottom w:val="single" w:sz="8" w:color="auto"/>
            </w:tcBorders>
          </w:tcPr>
          <w:p>
            <w:pPr>
              <w:spacing w:after="0"/>
              <w:rPr>
                <w:sz w:val="10"/>
                <w:szCs w:val="10"/>
                <w:color w:val="auto"/>
              </w:rPr>
            </w:pPr>
          </w:p>
        </w:tc>
        <w:tc>
          <w:tcPr>
            <w:tcW w:w="5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-3188335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-2348230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-1233805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-642620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ind w:left="380" w:hanging="372"/>
        <w:spacing w:after="0" w:line="269" w:lineRule="auto"/>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under "Purchase of property and equipment, net", include immaterial proceeds from sale of property and equipment for the six months ended March 31, 2026 and 2025.</w:t>
      </w:r>
    </w:p>
    <w:p>
      <w:pPr>
        <w:ind w:left="380" w:hanging="372"/>
        <w:spacing w:after="0"/>
        <w:tabs>
          <w:tab w:leader="none" w:pos="3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details, see also Note 10.</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Entity and Basis of Presentation</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and media service providers of all sizes throughout the world. The Company and its consolidated subsidiaries operate in one segment and design, develop, market, support, implement and operate its open and modular cloud offering. The Company’s comprehensive portfolio of software products and services is designed to leverage artificial intelligence, driving digital transformation, accelerate cloud adoption, and enable intelligent network automation.</w:t>
      </w:r>
    </w:p>
    <w:p>
      <w:pPr>
        <w:spacing w:after="0" w:line="1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 maintains strategic development centers in Israel, Cyprus and India. The Company also has regional development centers in Brazil, Canada, Mexico, the Philippines, the United Kingdom and the United States.</w:t>
      </w:r>
    </w:p>
    <w:p>
      <w:pPr>
        <w:spacing w:after="0" w:line="13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of the Company have been prepared in accordance with U.S. generally accepted accounting principles, or GAAP and are denominated in U.S. dollars.</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opinion of the Company’s management, all adjustments considered necessary for a fair presentation of the unaudited interim consolidated financial statements have been included herein and are of a normal recurring nature. 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for the interim periods in which changes are determined to be necessary.</w:t>
      </w:r>
    </w:p>
    <w:p>
      <w:pPr>
        <w:spacing w:after="0" w:line="14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2025, set forth in the Company’s Annual Report on Form 20-F filed on December 15, 2025 with the U.S. Securities and Exchange Commission, or the SEC. There have been no material changes to the Company’s significant accounting policies from its Annual Report on Form 20-F for the fiscal year ended September 30, 2025.</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Standards</w:t>
      </w:r>
    </w:p>
    <w:p>
      <w:pPr>
        <w:spacing w:after="0" w:line="18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Accounting Standards Update (“ASU”) No. 2025-11, </w:t>
      </w:r>
      <w:r>
        <w:rPr>
          <w:rFonts w:ascii="Times New Roman" w:cs="Times New Roman" w:eastAsia="Times New Roman" w:hAnsi="Times New Roman"/>
          <w:sz w:val="18"/>
          <w:szCs w:val="18"/>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270)"</w:t>
      </w:r>
      <w:r>
        <w:rPr>
          <w:rFonts w:ascii="Times New Roman" w:cs="Times New Roman" w:eastAsia="Times New Roman" w:hAnsi="Times New Roman"/>
          <w:sz w:val="18"/>
          <w:szCs w:val="18"/>
          <w:color w:val="auto"/>
        </w:rPr>
        <w:t>, Narrow-Scope Improvements , which clarifies the guidance in Topic 270 to improve the consistency of interim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The ASU provides a comprehensive list of required interim disclosures and introduces a disclosure principle requiring entities to disclose events since the end of the last annual reporting period that have a material impact on the entity. This ASU will be effective beginning with the Company's interim fiscal year 2029, on a retrospective or prospective basis, with early adoption permitted. The Company is currently evaluating the impact of the adoption on its consolidated financial statements.</w:t>
      </w:r>
    </w:p>
    <w:p>
      <w:pPr>
        <w:spacing w:after="0" w:line="15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November 2025, the FASB issued ASU No. 2025-09, </w:t>
      </w:r>
      <w:r>
        <w:rPr>
          <w:rFonts w:ascii="Times New Roman" w:cs="Times New Roman" w:eastAsia="Times New Roman" w:hAnsi="Times New Roman"/>
          <w:sz w:val="18"/>
          <w:szCs w:val="18"/>
          <w:i w:val="1"/>
          <w:iCs w:val="1"/>
          <w:color w:val="auto"/>
        </w:rPr>
        <w:t>"Derivatives and Hedging (Topic 815),</w:t>
      </w:r>
      <w:r>
        <w:rPr>
          <w:rFonts w:ascii="Times New Roman" w:cs="Times New Roman" w:eastAsia="Times New Roman" w:hAnsi="Times New Roman"/>
          <w:sz w:val="18"/>
          <w:szCs w:val="18"/>
          <w:color w:val="auto"/>
        </w:rPr>
        <w:t xml:space="preserve"> which amends certain aspects of the hedge accounting. This ASU will be effective beginning with the Company's interim fiscal year 2028, on a prospective basis, with early adoption permitted. The Company is currently evaluating the impact of the adoption on its consolidated financial statements.</w:t>
      </w:r>
    </w:p>
    <w:p>
      <w:pPr>
        <w:spacing w:after="0" w:line="133"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which will update the requirements around the capitalization and disclosure of internal-use software. This ASU will be effective beginning with the Company's interim fiscal year 2029, with early adoption permitted and to be applied either prospectively, retroactively or a modified transition approach. The Company is currently evaluating the impact of the adoption on its consolidated financial statements.</w:t>
      </w:r>
    </w:p>
    <w:p>
      <w:pPr>
        <w:spacing w:after="0" w:line="13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ASU allows entities to apply a practical expedient when estimating expected credit losses for current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current contract assets. This ASU will be effective beginning with the Company's interim fiscal year 2027 with early adoption permitted, and should be applied prospectively. The Company is currently evaluating the impact of the adoption on its consolidated financial statements.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to disclose in the notes of the financial statements additional information about specific expense categories. This ASU will be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annual report for fiscal year 2028 and for interim period reporting beginning in fiscal year 2029, with early adoption permitted and should be applied either prospectively or retroactively. The Company is currently evaluating the impact of the adoption on its consolidated financial statements.</w:t>
      </w:r>
    </w:p>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disclosure of disaggregated income taxes paid, prescribes standard categories for the components of the effective tax rate reconciliation, and modifies other income tax-related disclosures. This ASU will be effective for the Company's annual report for fiscal year 2026 and allows adoption on a prospective basis, with a retrospective option. This ASU will only have an impact on the Company's income tax disclosures.</w:t>
      </w:r>
    </w:p>
    <w:p>
      <w:pPr>
        <w:spacing w:after="0" w:line="137"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2026, the Company completed two business acquisitions for an aggregate net consideration of approximately $217,000 in cash. The majority of this amount was paid for the acquisition of Matrixx Software, a privately owned company specializing in Charging &amp; Rating solutions for global communication service providers. These acquisitions, individually and in the aggregate, were not material in the results of the period presented. In allocating the total consideration based on the preliminary estimated fair values for Matrixx Software, the Company recorded $79,441 of goodwill, $80,009 of customer relationships to be amortized over approximately six years, $24,696 of core technology to be amortized over approximately seven years, and $1,276 of trademark to be amortized over approximately one year.</w:t>
      </w:r>
    </w:p>
    <w:p>
      <w:pPr>
        <w:spacing w:after="0" w:line="1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March 31, 2025, the Company completed three business acquisitions for an aggregate net consideration of approximately $59,000 in cash, and a potential for additional consideration which may be paid later based on achievement of certain performance metrics. The majority of this amount was paid for the acquisition of Profinit, a data science and engineering company. These acquisitions, individually and in the aggregate, were not material in the results of the period presented. In allocating the total consideration based on the preliminary estimated fair values for Profinit, the Company recorded $29,418 of goodwill, and $18,439 of customer relationships to be amortized over approximately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-634365</wp:posOffset>
            </wp:positionV>
            <wp:extent cx="539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3975" cy="8255"/>
                    </a:xfrm>
                    <a:prstGeom prst="rect">
                      <a:avLst/>
                    </a:prstGeom>
                    <a:noFill/>
                  </pic:spPr>
                </pic:pic>
              </a:graphicData>
            </a:graphic>
          </wp:anchor>
        </w:drawing>
      </w:r>
    </w:p>
    <w:p>
      <w:pPr>
        <w:spacing w:after="0" w:line="119" w:lineRule="exact"/>
        <w:rPr>
          <w:sz w:val="20"/>
          <w:szCs w:val="20"/>
          <w:color w:val="auto"/>
        </w:rPr>
      </w:pPr>
    </w:p>
    <w:p>
      <w:pPr>
        <w:ind w:left="520" w:right="9300" w:hanging="512"/>
        <w:spacing w:after="0" w:line="464" w:lineRule="auto"/>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Contract Balances</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jc w:val="right"/>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6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1"/>
        </w:trPr>
        <w:tc>
          <w:tcPr>
            <w:tcW w:w="67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 billed (net of allowance for credit losses of $28,393 and</w:t>
            </w:r>
          </w:p>
        </w:tc>
        <w:tc>
          <w:tcPr>
            <w:tcW w:w="10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6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$26,169 as of March 31, 2026 and September 30, 2025, respectively)</w:t>
            </w:r>
          </w:p>
        </w:tc>
        <w:tc>
          <w:tcPr>
            <w:tcW w:w="13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653,444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589,781</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284,738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345,970</w:t>
            </w:r>
          </w:p>
        </w:tc>
      </w:tr>
      <w:tr>
        <w:trPr>
          <w:trHeight w:val="216"/>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10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166,176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450,914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450,170</w:t>
            </w:r>
          </w:p>
        </w:tc>
      </w:tr>
      <w:tr>
        <w:trPr>
          <w:trHeight w:val="216"/>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(152,434)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(118,861)</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(9,889)</w:t>
            </w:r>
          </w:p>
        </w:tc>
      </w:tr>
      <w:tr>
        <w:trPr>
          <w:trHeight w:val="20"/>
        </w:trPr>
        <w:tc>
          <w:tcPr>
            <w:tcW w:w="6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(163,031)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-565150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and six months ended March 31, 2026, which was included in deferred revenue (current) as of September 30, 2025 was $14,867 and $94,497. Revenue recognized during the three and six months ended March 31, 2025, which was included in deferred revenue (current) as of September 30, 2024 was $15,709 and $84,753, respectively.</w:t>
      </w:r>
    </w:p>
    <w:p>
      <w:pPr>
        <w:spacing w:after="0" w:line="13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remaining performance obligations that are unsatisfied or partially unsatisfied was approximately $6.6 billion. Remaining performance obligations include the remaining non-cancelable, committed and fixed portion of these contracts for their entire duration and therefore it is not comparable to what the Company considers to be the next 12 months backlog. Given the profile of contract terms, the majority of this amount is expected to be recognized as revenue over the next two years. A portion of the Company’s revenue relates to projects recognized over time based on a percentage that incurred labor effort to date bears to total projected labor effort. These projects may be executed over periods longer than one year, in which the timing of recognition is subject to a certain level of uncertainty.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0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 in evaluating financial performance to disaggregate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provide details of revenue by nature of activities and by geography: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Pr>
          <w:p>
            <w:pPr>
              <w:spacing w:after="0"/>
              <w:rPr>
                <w:sz w:val="17"/>
                <w:szCs w:val="17"/>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758,704</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747,108</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1,504,602</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1,475,963</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413,275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823,316</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762,295</w:t>
            </w:r>
          </w:p>
        </w:tc>
      </w:tr>
      <w:tr>
        <w:trPr>
          <w:trHeight w:val="20"/>
        </w:trPr>
        <w:tc>
          <w:tcPr>
            <w:tcW w:w="5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1,171,979</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1,128,203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2,327,918</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2,238,258</w:t>
            </w:r>
          </w:p>
        </w:tc>
      </w:tr>
      <w:tr>
        <w:trPr>
          <w:trHeight w:val="413"/>
        </w:trPr>
        <w:tc>
          <w:tcPr>
            <w:tcW w:w="582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340"/>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754,305</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738,335</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1,519,006</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1,475,731</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180,676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373,561</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335,908</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225,842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209,192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435,351</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426,619</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1,171,979</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2,327,918</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2,238,258</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-1319530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-1302385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-1319530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-1302385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-1319530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-1302385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3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6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63" w:lineRule="exact"/>
        <w:rPr>
          <w:sz w:val="20"/>
          <w:szCs w:val="20"/>
          <w:color w:val="auto"/>
        </w:rPr>
      </w:pPr>
    </w:p>
    <w:p>
      <w:pPr>
        <w:jc w:val="both"/>
        <w:ind w:left="2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that is significant to the fair value of the assets or liabilities.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tables present the Company's assets and liabilities measured at fair value on a recurring basis as of March 31, 2026 and September 30,</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 - money market funds</w:t>
            </w:r>
          </w:p>
        </w:tc>
        <w:tc>
          <w:tcPr>
            <w:tcW w:w="1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31,408</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(28,341)</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(28,341)</w:t>
            </w:r>
          </w:p>
        </w:tc>
      </w:tr>
      <w:tr>
        <w:trPr>
          <w:trHeight w:val="249"/>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 - money market funds</w:t>
            </w:r>
          </w:p>
        </w:tc>
        <w:tc>
          <w:tcPr>
            <w:tcW w:w="1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118,163</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118,163</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32,540</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liabilities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(49,649)</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(49,649)</w:t>
            </w:r>
          </w:p>
        </w:tc>
      </w:tr>
      <w:tr>
        <w:trPr>
          <w:trHeight w:val="20"/>
        </w:trPr>
        <w:tc>
          <w:tcPr>
            <w:tcW w:w="4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(17,109)</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130,834</w:t>
            </w:r>
          </w:p>
        </w:tc>
        <w:tc>
          <w:tcPr>
            <w:tcW w:w="12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three and six months ended March 31, 2026. Level 3 liabilities relate to certain acquisition-related liabilities, which were generally valued using a Monte-Carlo simulation model and based on estimates of potential pay-out scenarios, valued every quarter. These liabilities were included in both accrued expenses and other current liabilities and other noncurrent liabilities as of March 31, 2026 and September 30, 2025. The decrease in Level 3 liabilities was primarily attributable to payments of certain acquisition-related liabilities, changes in the fair value recorded in the consolidated statement of income during the three and six months ended March 31, 2026, which were partially offset by new acquisition-related liabilities recorded against goodwill in connection with recent acquisition. The slight decrease in Level 3 assets is primarily due to sales of equity investments, partially offset by net positive changes in fair value recorded in the consolidated statement of income for the three and six months ended March 31, 2026.</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other current liabilities, accrued personnel costs, short-term financing arrangements, approximate their fair value because of the relatively short maturity of these items, for the fair value of the Senior Notes, see Note 13.</w:t>
      </w:r>
    </w:p>
    <w:p>
      <w:pPr>
        <w:spacing w:after="0" w:line="131"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Available-For-Sale Securities</w:t>
      </w:r>
    </w:p>
    <w:p>
      <w:pPr>
        <w:spacing w:after="0" w:line="20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funds(1)</w:t>
            </w:r>
          </w:p>
        </w:tc>
        <w:tc>
          <w:tcPr>
            <w:tcW w:w="2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0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(1)</w:t>
            </w:r>
          </w:p>
        </w:tc>
        <w:tc>
          <w:tcPr>
            <w:tcW w:w="2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118,163</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1500" w:type="dxa"/>
            <w:vAlign w:val="bottom"/>
            <w:tcBorders>
              <w:top w:val="single" w:sz="8" w:color="CFF0FC"/>
              <w:bottom w:val="single" w:sz="8" w:color="auto"/>
            </w:tcBorders>
          </w:tcPr>
          <w:p>
            <w:pPr>
              <w:spacing w:after="0"/>
              <w:rPr>
                <w:sz w:val="8"/>
                <w:szCs w:val="8"/>
                <w:color w:val="auto"/>
              </w:rPr>
            </w:pPr>
          </w:p>
        </w:tc>
        <w:tc>
          <w:tcPr>
            <w:tcW w:w="2300" w:type="dxa"/>
            <w:vAlign w:val="bottom"/>
            <w:tcBorders>
              <w:top w:val="single" w:sz="8" w:color="CFF0FC"/>
            </w:tcBorders>
          </w:tcPr>
          <w:p>
            <w:pPr>
              <w:spacing w:after="0"/>
              <w:rPr>
                <w:sz w:val="8"/>
                <w:szCs w:val="8"/>
                <w:color w:val="auto"/>
              </w:rPr>
            </w:pPr>
          </w:p>
        </w:tc>
        <w:tc>
          <w:tcPr>
            <w:tcW w:w="20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-110490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-93980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-110490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-93980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-110490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-93980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-93980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As of march 31, 2026 and September 30, 2025, all the securities were classified as cash and cash equivalents.</w:t>
      </w:r>
    </w:p>
    <w:p>
      <w:pPr>
        <w:spacing w:after="0" w:line="18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credit losses based on its assessment during the three and six months ended March 31, 2026 and 2025. Realized gains and losses on short-term interest-bearing investments are included in earnings and are determined based on specific identification method.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 Company’s available-for-sale securities had the following maturity dates:</w:t>
      </w:r>
    </w:p>
    <w:p>
      <w:pPr>
        <w:spacing w:after="0" w:line="21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4"/>
          <w:szCs w:val="14"/>
          <w:b w:val="1"/>
          <w:bCs w:val="1"/>
          <w:color w:val="auto"/>
        </w:rPr>
        <w:t>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tabs>
          <w:tab w:leader="none" w:pos="8960" w:val="left"/>
          <w:tab w:leader="none" w:pos="10680" w:val="left"/>
        </w:tabs>
        <w:rPr>
          <w:sz w:val="20"/>
          <w:szCs w:val="20"/>
          <w:color w:val="auto"/>
        </w:rPr>
      </w:pPr>
      <w:r>
        <w:rPr>
          <w:rFonts w:ascii="Times New Roman" w:cs="Times New Roman" w:eastAsia="Times New Roman" w:hAnsi="Times New Roman"/>
          <w:sz w:val="18"/>
          <w:szCs w:val="18"/>
          <w:color w:val="auto"/>
        </w:rPr>
        <w:t>Due within one year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5,659</w:t>
      </w:r>
    </w:p>
    <w:p>
      <w:pPr>
        <w:spacing w:after="0" w:line="20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a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$22,643 as of March 31, 2026. The Company has limited its credit risk by entering into derivative transactions exclusively with investment-grade rated financial institutions and monitors the creditworthiness of these financial institutions on an ongoing basis.</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16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March 31, 2026. Notional values are in U.S. dollars and are translated and calculated based on forward rates as of March 31, 2026 for forward contracts.</w:t>
      </w:r>
    </w:p>
    <w:p>
      <w:pPr>
        <w:spacing w:after="0" w:line="155"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tabs>
          <w:tab w:leader="none" w:pos="9220" w:val="left"/>
          <w:tab w:leader="none" w:pos="10380" w:val="left"/>
        </w:tabs>
        <w:rPr>
          <w:sz w:val="20"/>
          <w:szCs w:val="20"/>
          <w:color w:val="auto"/>
        </w:rPr>
      </w:pPr>
      <w:r>
        <w:rPr>
          <w:rFonts w:ascii="Times New Roman" w:cs="Times New Roman" w:eastAsia="Times New Roman" w:hAnsi="Times New Roman"/>
          <w:sz w:val="18"/>
          <w:szCs w:val="18"/>
          <w:color w:val="auto"/>
        </w:rPr>
        <w:t>Foreign exchange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1,677,031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9512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8" w:lineRule="exact"/>
        <w:rPr>
          <w:sz w:val="20"/>
          <w:szCs w:val="20"/>
          <w:color w:val="auto"/>
        </w:rPr>
      </w:pPr>
    </w:p>
    <w:p>
      <w:pPr>
        <w:ind w:left="380" w:right="20" w:hanging="372"/>
        <w:spacing w:after="0" w:line="282" w:lineRule="auto"/>
        <w:tabs>
          <w:tab w:leader="none" w:pos="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March 31, 2026 and September 30, 2025,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7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21,551</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(6,235)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25,289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14,044</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(7,407)</w:t>
            </w:r>
          </w:p>
        </w:tc>
      </w:tr>
      <w:tr>
        <w:trPr>
          <w:trHeight w:val="209"/>
        </w:trPr>
        <w:tc>
          <w:tcPr>
            <w:tcW w:w="77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hedges its exposure to the variability in future cash flows for a maximum period of approximately three years.</w:t>
      </w:r>
    </w:p>
    <w:p>
      <w:pPr>
        <w:spacing w:after="0" w:line="13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loss, net,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three and six months ended March 31, 2026 and 2025, respectively, which partially offsets the foreign currency impact from the underlying exposures, is summarized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5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5840" w:type="dxa"/>
            <w:vAlign w:val="bottom"/>
          </w:tcPr>
          <w:p>
            <w:pPr>
              <w:spacing w:after="0"/>
              <w:rPr>
                <w:sz w:val="12"/>
                <w:szCs w:val="12"/>
                <w:color w:val="auto"/>
              </w:rPr>
            </w:pPr>
          </w:p>
        </w:tc>
        <w:tc>
          <w:tcPr>
            <w:tcW w:w="5400" w:type="dxa"/>
            <w:vAlign w:val="bottom"/>
            <w:gridSpan w:val="13"/>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 Comprehensive (Loss) Income (Effective Portion)</w:t>
            </w:r>
          </w:p>
        </w:tc>
      </w:tr>
      <w:tr>
        <w:trPr>
          <w:trHeight w:val="173"/>
        </w:trPr>
        <w:tc>
          <w:tcPr>
            <w:tcW w:w="5840" w:type="dxa"/>
            <w:vAlign w:val="bottom"/>
          </w:tcPr>
          <w:p>
            <w:pPr>
              <w:spacing w:after="0"/>
              <w:rPr>
                <w:sz w:val="15"/>
                <w:szCs w:val="15"/>
                <w:color w:val="auto"/>
              </w:rPr>
            </w:pPr>
          </w:p>
        </w:tc>
        <w:tc>
          <w:tcPr>
            <w:tcW w:w="2560" w:type="dxa"/>
            <w:vAlign w:val="bottom"/>
            <w:gridSpan w:val="6"/>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58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58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7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8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4,530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10,070</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4,313</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84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2,847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5,376</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5840" w:type="dxa"/>
            <w:vAlign w:val="bottom"/>
            <w:tcBorders>
              <w:right w:val="single" w:sz="8" w:color="CFF0FC"/>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jc w:val="right"/>
              <w:ind w:right="54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9,110</w:t>
            </w:r>
          </w:p>
        </w:tc>
        <w:tc>
          <w:tcPr>
            <w:tcW w:w="16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18,735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(903)</w:t>
            </w:r>
          </w:p>
        </w:tc>
      </w:tr>
      <w:tr>
        <w:trPr>
          <w:trHeight w:val="20"/>
        </w:trPr>
        <w:tc>
          <w:tcPr>
            <w:tcW w:w="5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activity related to the changes in net unrealized gains (losses) on cash flow hedges recorded in accumulated other comprehensive (loss) income, net of tax,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 (losses) on cash flow hedges, net of tax, beginning of period</w:t>
            </w:r>
          </w:p>
        </w:tc>
        <w:tc>
          <w:tcPr>
            <w:tcW w:w="940" w:type="dxa"/>
            <w:vAlign w:val="bottom"/>
            <w:shd w:val="clear" w:color="auto" w:fill="CFF0FC"/>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9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(4,383)</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Reclassification of net (gains) losses into earnings, net of tax</w:t>
            </w:r>
          </w:p>
        </w:tc>
        <w:tc>
          <w:tcPr>
            <w:tcW w:w="9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(17,031)</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FF0FC"/>
          </w:tcPr>
          <w:p>
            <w:pPr>
              <w:spacing w:after="0"/>
              <w:rPr>
                <w:sz w:val="18"/>
                <w:szCs w:val="18"/>
                <w:color w:val="auto"/>
              </w:rPr>
            </w:pP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gains (losses) on cash flow hedges, net of tax, end of period</w:t>
            </w:r>
          </w:p>
        </w:tc>
        <w:tc>
          <w:tcPr>
            <w:tcW w:w="940" w:type="dxa"/>
            <w:vAlign w:val="bottom"/>
          </w:tcPr>
          <w:p>
            <w:pPr>
              <w:jc w:val="right"/>
              <w:ind w:right="78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tcPr>
          <w:p>
            <w:pPr>
              <w:spacing w:after="0"/>
              <w:rPr>
                <w:sz w:val="18"/>
                <w:szCs w:val="18"/>
                <w:color w:val="auto"/>
              </w:rPr>
            </w:pPr>
          </w:p>
        </w:tc>
        <w:tc>
          <w:tcPr>
            <w:tcW w:w="112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(losses) gains from cash flow hedges recognized in other comprehensive loss were $(4,878) and $(4,490), or $(5,782) and $(4,383) net of taxes, during the six months ended March 31, 2026 and 2025, respectively.</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Of the net unrealized gains (losses) related to derivatives designated as cash flow hedges and recorded in accumulated other comprehensive (loss) income as of March 31, 2026, a net gains of $5,013 will be reclassified into earnings within the next 12 months and will partially offset the foreign currency impact from the underlying exposures. The amount ultimately realized in earnings will likely differ due to future changes in foreign exchange rates.</w:t>
      </w:r>
    </w:p>
    <w:p>
      <w:pPr>
        <w:spacing w:after="0" w:line="13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three and six months ended March 31, 2026 and 2025, was not material.</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20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three and six months ended March 31, 2026 and 2025, respectively, which partially offsets the foreign currency impact from the underlying exposure, is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Gains (Losses) Recognized in Income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4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142"/>
        </w:trPr>
        <w:tc>
          <w:tcPr>
            <w:tcW w:w="4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(8,043)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(1,256)</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7,258</w:t>
            </w: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4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(8,815)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1,798</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5,625</w:t>
            </w: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460" w:type="dxa"/>
            <w:vAlign w:val="bottom"/>
          </w:tcPr>
          <w:p>
            <w:pPr>
              <w:spacing w:after="0"/>
              <w:rPr>
                <w:sz w:val="24"/>
                <w:szCs w:val="24"/>
                <w:color w:val="auto"/>
              </w:rPr>
            </w:pPr>
          </w:p>
        </w:tc>
        <w:tc>
          <w:tcPr>
            <w:tcW w:w="6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10"/>
                <w:szCs w:val="10"/>
                <w:color w:val="auto"/>
              </w:rPr>
            </w:pPr>
          </w:p>
        </w:tc>
      </w:tr>
      <w:tr>
        <w:trPr>
          <w:trHeight w:val="173"/>
        </w:trPr>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6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Ongoing accrued expenses</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342,430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332,321</w:t>
            </w: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Project-related provisions</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17,200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26,143</w:t>
            </w:r>
          </w:p>
        </w:tc>
      </w:tr>
      <w:tr>
        <w:trPr>
          <w:trHeight w:val="216"/>
        </w:trPr>
        <w:tc>
          <w:tcPr>
            <w:tcW w:w="6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60,429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57,156</w:t>
            </w:r>
          </w:p>
        </w:tc>
      </w:tr>
      <w:tr>
        <w:trPr>
          <w:trHeight w:val="216"/>
        </w:trPr>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Taxes payable (1)</w:t>
            </w: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44,984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34,131</w:t>
            </w:r>
          </w:p>
        </w:tc>
      </w:tr>
      <w:tr>
        <w:trPr>
          <w:trHeight w:val="216"/>
        </w:trPr>
        <w:tc>
          <w:tcPr>
            <w:tcW w:w="6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28,598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13,642</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159,355</w:t>
            </w:r>
          </w:p>
        </w:tc>
        <w:tc>
          <w:tcPr>
            <w:tcW w:w="100" w:type="dxa"/>
            <w:vAlign w:val="bottom"/>
          </w:tcPr>
          <w:p>
            <w:pPr>
              <w:spacing w:after="0"/>
              <w:rPr>
                <w:sz w:val="18"/>
                <w:szCs w:val="18"/>
                <w:color w:val="auto"/>
              </w:rPr>
            </w:pPr>
          </w:p>
        </w:tc>
      </w:tr>
      <w:tr>
        <w:trPr>
          <w:trHeight w:val="249"/>
        </w:trPr>
        <w:tc>
          <w:tcPr>
            <w:tcW w:w="66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639,168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622,748</w:t>
            </w:r>
          </w:p>
        </w:tc>
      </w:tr>
      <w:tr>
        <w:trPr>
          <w:trHeight w:val="102"/>
        </w:trPr>
        <w:tc>
          <w:tcPr>
            <w:tcW w:w="460" w:type="dxa"/>
            <w:vAlign w:val="bottom"/>
            <w:tcBorders>
              <w:top w:val="single" w:sz="8" w:color="CFF0FC"/>
              <w:bottom w:val="single" w:sz="8" w:color="auto"/>
            </w:tcBorders>
          </w:tcPr>
          <w:p>
            <w:pPr>
              <w:spacing w:after="0"/>
              <w:rPr>
                <w:sz w:val="8"/>
                <w:szCs w:val="8"/>
                <w:color w:val="auto"/>
              </w:rPr>
            </w:pPr>
          </w:p>
        </w:tc>
        <w:tc>
          <w:tcPr>
            <w:tcW w:w="1040" w:type="dxa"/>
            <w:vAlign w:val="bottom"/>
            <w:tcBorders>
              <w:top w:val="single" w:sz="8" w:color="CFF0FC"/>
              <w:bottom w:val="single" w:sz="8" w:color="auto"/>
            </w:tcBorders>
          </w:tcPr>
          <w:p>
            <w:pPr>
              <w:spacing w:after="0"/>
              <w:rPr>
                <w:sz w:val="8"/>
                <w:szCs w:val="8"/>
                <w:color w:val="auto"/>
              </w:rPr>
            </w:pPr>
          </w:p>
        </w:tc>
        <w:tc>
          <w:tcPr>
            <w:tcW w:w="5180" w:type="dxa"/>
            <w:vAlign w:val="bottom"/>
            <w:tcBorders>
              <w:top w:val="single" w:sz="8" w:color="CFF0FC"/>
            </w:tcBorders>
          </w:tcPr>
          <w:p>
            <w:pPr>
              <w:spacing w:after="0"/>
              <w:rPr>
                <w:sz w:val="8"/>
                <w:szCs w:val="8"/>
                <w:color w:val="auto"/>
              </w:rPr>
            </w:pPr>
          </w:p>
        </w:tc>
        <w:tc>
          <w:tcPr>
            <w:tcW w:w="1060" w:type="dxa"/>
            <w:vAlign w:val="bottom"/>
            <w:tcBorders>
              <w:top w:val="single" w:sz="8" w:color="CFF0FC"/>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140" w:type="dxa"/>
            <w:vAlign w:val="bottom"/>
            <w:tcBorders>
              <w:top w:val="single" w:sz="8" w:color="CFF0FC"/>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-110490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For further details, please see Note 10 to the consolidated financial statements.</w:t>
      </w:r>
    </w:p>
    <w:p>
      <w:pPr>
        <w:spacing w:after="0" w:line="181"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to the Company’s restructuring activities in recent years, the Company has undertaken certain additional restructuring actions to focus on operational excellence, automation and the internal deployment of generative AI based tools across its operations. Total restructuring expenses recognized in fiscal years 2024 and 2025 were $131,088 and $80,539, respectively. During the three and six months ended March 31, 2026, the Company incurred restructuring charges of $10,405 and $21,706, respectively. The Company expects to pay the outstanding restructuring related liability during the coming several quarters and continues to evaluate further operational efficiencies.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restructuring activities as of March 31, 2026 were as follows (*):</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7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Premises and other</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October 1, 2025</w:t>
            </w:r>
          </w:p>
        </w:tc>
        <w:tc>
          <w:tcPr>
            <w:tcW w:w="2240" w:type="dxa"/>
            <w:vAlign w:val="bottom"/>
            <w:gridSpan w:val="2"/>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70,274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72,958</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5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(44,030)</w:t>
            </w:r>
          </w:p>
        </w:tc>
        <w:tc>
          <w:tcPr>
            <w:tcW w:w="2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(44,068)</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(4,390)</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(3,746)</w:t>
            </w:r>
          </w:p>
        </w:tc>
      </w:tr>
      <w:tr>
        <w:trPr>
          <w:trHeight w:val="210"/>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December 31, 2025</w:t>
            </w:r>
          </w:p>
        </w:tc>
        <w:tc>
          <w:tcPr>
            <w:tcW w:w="54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31,621</w:t>
            </w:r>
          </w:p>
        </w:tc>
        <w:tc>
          <w:tcPr>
            <w:tcW w:w="3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36,445</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5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(14,480)</w:t>
            </w:r>
          </w:p>
        </w:tc>
        <w:tc>
          <w:tcPr>
            <w:tcW w:w="2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(976)</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(15,456)</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Non-Cash items</w:t>
            </w:r>
          </w:p>
        </w:tc>
        <w:tc>
          <w:tcPr>
            <w:tcW w:w="5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(2,541)</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(2,533)</w:t>
            </w:r>
          </w:p>
        </w:tc>
      </w:tr>
      <w:tr>
        <w:trPr>
          <w:trHeight w:val="249"/>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as of March 31, 2026</w:t>
            </w:r>
          </w:p>
        </w:tc>
        <w:tc>
          <w:tcPr>
            <w:tcW w:w="54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top w:val="single" w:sz="8" w:color="auto"/>
              <w:bottom w:val="single" w:sz="8" w:color="auto"/>
            </w:tcBorders>
            <w:shd w:val="clear" w:color="auto" w:fill="CFF0FC"/>
          </w:tcPr>
          <w:p>
            <w:pPr>
              <w:jc w:val="right"/>
              <w:ind w:right="151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25,083</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-8255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table above does not include amounts related to employees' benefit incurred in prior periods.</w:t>
      </w:r>
    </w:p>
    <w:p>
      <w:pPr>
        <w:spacing w:after="0" w:line="181"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88"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the following periods consisted of:</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4"/>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32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4"/>
          </w:tcPr>
          <w:p>
            <w:pPr>
              <w:jc w:val="cente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32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32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29,124</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24,624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50,935</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63,546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2,296</w:t>
            </w:r>
          </w:p>
        </w:tc>
      </w:tr>
      <w:tr>
        <w:trPr>
          <w:trHeight w:val="20"/>
        </w:trPr>
        <w:tc>
          <w:tcPr>
            <w:tcW w:w="3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38,120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25,269</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75,083</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65,842</w:t>
            </w: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844"/>
        </w:trPr>
        <w:tc>
          <w:tcPr>
            <w:tcW w:w="3240" w:type="dxa"/>
            <w:vAlign w:val="bottom"/>
          </w:tcPr>
          <w:p>
            <w:pPr>
              <w:spacing w:after="0"/>
              <w:rPr>
                <w:sz w:val="24"/>
                <w:szCs w:val="24"/>
                <w:color w:val="auto"/>
              </w:rPr>
            </w:pPr>
          </w:p>
        </w:tc>
        <w:tc>
          <w:tcPr>
            <w:tcW w:w="32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2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-1071245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-1053465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-1071245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-1053465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-1071245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-1053465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-1053465</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effective income tax rate varied from the statutory Guernsey tax rate as follows for the following periods: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26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55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2"/>
                <w:szCs w:val="12"/>
                <w:color w:val="auto"/>
              </w:rPr>
            </w:pPr>
          </w:p>
        </w:tc>
      </w:tr>
      <w:tr>
        <w:trPr>
          <w:trHeight w:val="210"/>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(1)</w:t>
            </w: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8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r>
      <w:tr>
        <w:trPr>
          <w:trHeight w:val="22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7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4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-25400</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1028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 The change in rate is primarily driven by discrete items in the respective period presented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9512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46"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six months ended March 31, 2026:</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the six months ended March 31, 2026 , the Company recorded a tax benefit of $15,404 primarily related to release of gross unrecognized tax benefits due to a change in measurement of tax positions and expiration of the periods set forth in statutes of limitations in certain jurisdictions.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2026, the Company also recognized a tax benefit of $10,563 included in foreign taxes, primarily related to the amendment of certain tax returns.</w:t>
      </w:r>
    </w:p>
    <w:p>
      <w:pPr>
        <w:spacing w:after="0" w:line="131"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Foreign taxes for the six months ended March 31, 2025:</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the six months ended March 31, 2025, the Company recorded a tax benefit of $16,010 related to the release of prior periods accrued withholding taxes on unremitted earnings accumulated in a certain jurisdiction. The release of the accrued withholding taxes followed the Company’s funding decisions relating to investment allocation decision.</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Foreign taxes in the six months ended March 31, 2025 also included a benefit of $4,991 relating primarily to release of gross unrecognized tax benefits due to expiration of the periods set forth in statutes of limitations in certain jurisdictions, and settlements of tax audits.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deferred tax assets of $66,634, derived primarily from tax credits, net capital and operating loss carry forwards related to some of the Company's subsidiaries, were offset by valuation allowances due to the uncertainty of realizing tax benefit for such credits and losses.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amount of gross unrecognized tax benefits, was $174,906 as of March 31, 2026, all of which would affect the effective tax rate if realized.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amount includes an accrual of $42,235 in income taxes payable for interest and penalties relating to unrecognized tax benefits.</w:t>
      </w:r>
    </w:p>
    <w:p>
      <w:pPr>
        <w:spacing w:after="0" w:line="16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March 31, 2026, the Company cannot estimate the change in unrecognized tax benefits resulting from these audits within the next 12 months.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0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137,815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163,243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295,381</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314,376</w:t>
            </w: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income and dividends attributable to participating</w:t>
            </w: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(2,775)</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(5,814)</w:t>
            </w:r>
          </w:p>
        </w:tc>
        <w:tc>
          <w:tcPr>
            <w:tcW w:w="420" w:type="dxa"/>
            <w:vAlign w:val="bottom"/>
            <w:shd w:val="clear" w:color="auto" w:fill="CFF0FC"/>
          </w:tcPr>
          <w:p>
            <w:pPr>
              <w:spacing w:after="0"/>
              <w:rPr>
                <w:sz w:val="17"/>
                <w:szCs w:val="17"/>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21"/>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stock</w:t>
            </w: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Numerator for basic earnings per ordinary share</w:t>
            </w:r>
          </w:p>
        </w:tc>
        <w:tc>
          <w:tcPr>
            <w:tcW w:w="5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135,040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160,163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289,567</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308,515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Undistributed income allocated to participating restricted stock</w:t>
            </w: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1,548</w:t>
            </w: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3,494</w:t>
            </w:r>
          </w:p>
        </w:tc>
        <w:tc>
          <w:tcPr>
            <w:tcW w:w="4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198"/>
        </w:trPr>
        <w:tc>
          <w:tcPr>
            <w:tcW w:w="52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Undistributed income reallocated to participating</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(1,543)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(3,479)</w:t>
            </w:r>
          </w:p>
        </w:tc>
        <w:tc>
          <w:tcPr>
            <w:tcW w:w="420" w:type="dxa"/>
            <w:vAlign w:val="bottom"/>
          </w:tcPr>
          <w:p>
            <w:pPr>
              <w:spacing w:after="0"/>
              <w:rPr>
                <w:sz w:val="17"/>
                <w:szCs w:val="17"/>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21"/>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Numerator for diluted earnings per ordinary share</w:t>
            </w: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135,045</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160,173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289,582</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308,536</w:t>
            </w:r>
          </w:p>
        </w:tc>
        <w:tc>
          <w:tcPr>
            <w:tcW w:w="0" w:type="dxa"/>
            <w:vAlign w:val="bottom"/>
          </w:tcPr>
          <w:p>
            <w:pPr>
              <w:spacing w:after="0"/>
              <w:rPr>
                <w:sz w:val="1"/>
                <w:szCs w:val="1"/>
                <w:color w:val="auto"/>
              </w:rPr>
            </w:pPr>
          </w:p>
        </w:tc>
      </w:tr>
      <w:tr>
        <w:trPr>
          <w:trHeight w:val="196"/>
        </w:trPr>
        <w:tc>
          <w:tcPr>
            <w:tcW w:w="52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5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107,095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111,961</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107,541</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112,357</w:t>
            </w:r>
          </w:p>
        </w:tc>
        <w:tc>
          <w:tcPr>
            <w:tcW w:w="0" w:type="dxa"/>
            <w:vAlign w:val="bottom"/>
          </w:tcPr>
          <w:p>
            <w:pPr>
              <w:spacing w:after="0"/>
              <w:rPr>
                <w:sz w:val="1"/>
                <w:szCs w:val="1"/>
                <w:color w:val="auto"/>
              </w:rPr>
            </w:pPr>
          </w:p>
        </w:tc>
      </w:tr>
      <w:tr>
        <w:trPr>
          <w:trHeight w:val="216"/>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participating restricted stock</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(2,117)</w:t>
            </w:r>
          </w:p>
        </w:tc>
        <w:tc>
          <w:tcPr>
            <w:tcW w:w="4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ordinary shares - basic</w:t>
            </w: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104,939</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109,849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105,424</w:t>
            </w:r>
          </w:p>
        </w:tc>
        <w:tc>
          <w:tcPr>
            <w:tcW w:w="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110,262</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Effect of dilutive equity-based compensation awards</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456</w:t>
            </w:r>
          </w:p>
        </w:tc>
        <w:tc>
          <w:tcPr>
            <w:tcW w:w="420" w:type="dxa"/>
            <w:vAlign w:val="bottom"/>
          </w:tcPr>
          <w:p>
            <w:pPr>
              <w:spacing w:after="0"/>
              <w:rPr>
                <w:sz w:val="17"/>
                <w:szCs w:val="17"/>
                <w:color w:val="auto"/>
              </w:rPr>
            </w:pPr>
          </w:p>
        </w:tc>
        <w:tc>
          <w:tcPr>
            <w:tcW w:w="8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number of ordinary shares - diluted</w:t>
            </w: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105,316</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110,402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105,880</w:t>
            </w:r>
          </w:p>
        </w:tc>
        <w:tc>
          <w:tcPr>
            <w:tcW w:w="4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110,886</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40" w:type="dxa"/>
            <w:vAlign w:val="bottom"/>
          </w:tcPr>
          <w:p>
            <w:pPr>
              <w:ind w:left="120"/>
              <w:spacing w:after="0" w:line="178" w:lineRule="exact"/>
              <w:rPr>
                <w:sz w:val="20"/>
                <w:szCs w:val="20"/>
                <w:color w:val="auto"/>
              </w:rPr>
            </w:pPr>
            <w:r>
              <w:rPr>
                <w:rFonts w:ascii="Times New Roman" w:cs="Times New Roman" w:eastAsia="Times New Roman" w:hAnsi="Times New Roman"/>
                <w:sz w:val="18"/>
                <w:szCs w:val="18"/>
                <w:color w:val="auto"/>
              </w:rPr>
              <w:t>Basic earnings per ordinary share attributable to</w:t>
            </w:r>
          </w:p>
        </w:tc>
        <w:tc>
          <w:tcPr>
            <w:tcW w:w="58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2.75</w:t>
            </w:r>
          </w:p>
        </w:tc>
        <w:tc>
          <w:tcPr>
            <w:tcW w:w="42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194"/>
        </w:trPr>
        <w:tc>
          <w:tcPr>
            <w:tcW w:w="52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Amdocs Limited</w:t>
            </w:r>
          </w:p>
        </w:tc>
        <w:tc>
          <w:tcPr>
            <w:tcW w:w="58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40" w:type="dxa"/>
            <w:vAlign w:val="bottom"/>
            <w:shd w:val="clear" w:color="auto" w:fill="CFF0FC"/>
          </w:tcPr>
          <w:p>
            <w:pPr>
              <w:ind w:left="120"/>
              <w:spacing w:after="0" w:line="178" w:lineRule="exact"/>
              <w:rPr>
                <w:sz w:val="20"/>
                <w:szCs w:val="20"/>
                <w:color w:val="auto"/>
              </w:rPr>
            </w:pPr>
            <w:r>
              <w:rPr>
                <w:rFonts w:ascii="Times New Roman" w:cs="Times New Roman" w:eastAsia="Times New Roman" w:hAnsi="Times New Roman"/>
                <w:sz w:val="18"/>
                <w:szCs w:val="18"/>
                <w:color w:val="auto"/>
              </w:rPr>
              <w:t>Diluted earnings per ordinary share attributable to</w:t>
            </w:r>
          </w:p>
        </w:tc>
        <w:tc>
          <w:tcPr>
            <w:tcW w:w="580" w:type="dxa"/>
            <w:vAlign w:val="bottom"/>
            <w:vMerge w:val="restart"/>
            <w:shd w:val="clear" w:color="auto" w:fill="CFF0FC"/>
          </w:tcPr>
          <w:p>
            <w:pPr>
              <w:spacing w:after="0"/>
              <w:rPr>
                <w:sz w:val="15"/>
                <w:szCs w:val="15"/>
                <w:color w:val="auto"/>
              </w:rPr>
            </w:pP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vMerge w:val="restart"/>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4"/>
        </w:trPr>
        <w:tc>
          <w:tcPr>
            <w:tcW w:w="5240" w:type="dxa"/>
            <w:vAlign w:val="bottom"/>
            <w:shd w:val="clear" w:color="auto" w:fill="CFF0FC"/>
          </w:tcPr>
          <w:p>
            <w:pPr>
              <w:ind w:left="240"/>
              <w:spacing w:after="0" w:line="194" w:lineRule="exact"/>
              <w:rPr>
                <w:sz w:val="20"/>
                <w:szCs w:val="20"/>
                <w:color w:val="auto"/>
              </w:rPr>
            </w:pPr>
            <w:r>
              <w:rPr>
                <w:rFonts w:ascii="Times New Roman" w:cs="Times New Roman" w:eastAsia="Times New Roman" w:hAnsi="Times New Roman"/>
                <w:sz w:val="18"/>
                <w:szCs w:val="18"/>
                <w:color w:val="auto"/>
              </w:rPr>
              <w:t>Amdocs Limited</w:t>
            </w:r>
          </w:p>
        </w:tc>
        <w:tc>
          <w:tcPr>
            <w:tcW w:w="580" w:type="dxa"/>
            <w:vAlign w:val="bottom"/>
            <w:vMerge w:val="continue"/>
            <w:shd w:val="clear" w:color="auto" w:fill="CFF0FC"/>
          </w:tcPr>
          <w:p>
            <w:pPr>
              <w:spacing w:after="0"/>
              <w:rPr>
                <w:sz w:val="18"/>
                <w:szCs w:val="18"/>
                <w:color w:val="auto"/>
              </w:rPr>
            </w:pPr>
          </w:p>
        </w:tc>
        <w:tc>
          <w:tcPr>
            <w:tcW w:w="260" w:type="dxa"/>
            <w:vAlign w:val="bottom"/>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420" w:type="dxa"/>
            <w:vAlign w:val="bottom"/>
            <w:vMerge w:val="continue"/>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-2185035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-2185035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-2185035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-2185035</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-1464945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-1447800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-1464945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-1447800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-1464945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-1447800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-1464945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-1447800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-882015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-864870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-882015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-864870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-882015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-864870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-574040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-556260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-574040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-556260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-574040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-556260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-574040</wp:posOffset>
            </wp:positionV>
            <wp:extent cx="7747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-556260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March 31, 2026, 244 and 175 shares, respectively, on a weighted average basis, were attributable to antidilutive outstanding equity-based compensation awards. For the three and six months ended March 31, 2025, 240 and 150, respectively, on a weighted average basis, were attributable to antidilutive outstanding stock options and restricted stock units. Shares attributable to antidilutive outstanding stock equity-based compensation awards were not included in the calculation of diluted earnings per share.</w:t>
      </w:r>
    </w:p>
    <w:p>
      <w:pPr>
        <w:spacing w:after="0" w:line="135"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Shares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From time to time, the Company’s Board of Directors can adopt share repurchase plans authorizing the repurchase of the Company’s outstanding ordinary shares. On May 7, 2025, the Company’s Board of Directors adopted a share repurchase plan for the repurchase of up to an additional $1.0 billion of the Company’s outstanding ordinary shares with no expiration date. The May 2025 plan permits the Company to purchase our ordinary shares in the open market or through privately negotiated transactions at times and prices that the Company considers appropriate. </w:t>
      </w:r>
      <w:r>
        <w:rPr>
          <w:rFonts w:ascii="Times New Roman" w:cs="Times New Roman" w:eastAsia="Times New Roman" w:hAnsi="Times New Roman"/>
          <w:sz w:val="18"/>
          <w:szCs w:val="18"/>
          <w:color w:val="231F20"/>
        </w:rPr>
        <w:t>During the six months ended March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31, 2026, </w:t>
      </w:r>
      <w:r>
        <w:rPr>
          <w:rFonts w:ascii="Times New Roman" w:cs="Times New Roman" w:eastAsia="Times New Roman" w:hAnsi="Times New Roman"/>
          <w:sz w:val="18"/>
          <w:szCs w:val="18"/>
          <w:color w:val="000000"/>
        </w:rPr>
        <w:t>the Company repurchased 3,754 ordinary shares at an average price of $75.78 per share (excluding broker and transaction fees). As of March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2026, the Company had remaining authority to repurchase up to $701,943 of its outstanding ordinary shares under the May 2025 plan.</w:t>
      </w:r>
    </w:p>
    <w:p>
      <w:pPr>
        <w:spacing w:after="0" w:line="156"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Arrangements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2011, the Company entered into an unsecured $500,000 five-year revolving credit facility with a syndicate of banks (the “Revolving Credit Facility”). In December 2014, December 2017, March 2021 and July 2024, the Revolving Credit Facility was amended and restated to, among other things, extend the maturity date of the facility to December 2019, December 2022 March 2026 and July 2029, respectively. In March 2026 the Revolving Credit Facility was amended to increase the amount from $500,000 to an aggregate amount of $800,000. As of March 31, 2026, the Company was in compliance with the financial covenants and had $170,000 outstanding borrowing under the Revolving Credit Facility, as a result, $630,000 remains available on the Revolving Credit Facility.</w:t>
      </w:r>
    </w:p>
    <w:p>
      <w:pPr>
        <w:spacing w:after="0" w:line="14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March 2026, the Company established a commercial paper program, supported by the Revolving Credit Facility under which it may issue unsecured commercial paper up to a total of $800,000 outstanding at any time, with maturities of up to 397 days from the date of issue. The net proceeds from the issuance of commercial paper are expected to be used for general corporate purposes. As of March 31, 2026, there was no outstanding borrowing amount under the commercial paper program.</w:t>
      </w:r>
    </w:p>
    <w:p>
      <w:pPr>
        <w:sectPr>
          <w:pgSz w:w="11900" w:h="16838" w:orient="portrait"/>
          <w:cols w:equalWidth="0" w:num="1">
            <w:col w:w="11240"/>
          </w:cols>
          <w:pgMar w:left="320" w:top="765"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total interest expense recognized in connection with the Senior Notes for the three and six months ended March 31, 2026 were $4,211 and $8,532, respectively, and $4,207 and $8,524 for three and six months ended March 31, 2025. The accrued interest on the Senior Notes is included in accrued expenses and other current liabilities and was $4,795 as of March 31, 2026. </w:t>
      </w:r>
      <w:r>
        <w:rPr>
          <w:rFonts w:ascii="Times New Roman" w:cs="Times New Roman" w:eastAsia="Times New Roman" w:hAnsi="Times New Roman"/>
          <w:sz w:val="18"/>
          <w:szCs w:val="18"/>
          <w:color w:val="231F20"/>
        </w:rPr>
        <w:t>As of March 31, 2026, the noncurrent outstanding principal</w:t>
      </w:r>
      <w:r>
        <w:rPr>
          <w:rFonts w:ascii="Times New Roman" w:cs="Times New Roman" w:eastAsia="Times New Roman" w:hAnsi="Times New Roman"/>
          <w:sz w:val="18"/>
          <w:szCs w:val="18"/>
          <w:color w:val="auto"/>
        </w:rPr>
        <w:t xml:space="preserve"> portion was $650,000.</w:t>
      </w:r>
    </w:p>
    <w:p>
      <w:pPr>
        <w:spacing w:after="0" w:line="13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Senior Notes as of March 31, 2026 was $588,010. The fair value was determined based on observable data, such as quoted prices for similar liabilities in active markets of Senior Notes as of March 31, 2026 and is deemed a Level 2 liability within the fair value measurement framework.</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additional uncommitted lines of credit available for general corporate and other specific purposes and had $80,000 outstanding borrowing under the uncommitted lines of credit. As of March 31, 2026, the Company had outstanding letters of credit and bank guarantees from various banks totaling $90,690, which were supported by a combination of the uncommitted lines of credit that we maintain with various banks.</w:t>
      </w:r>
    </w:p>
    <w:p>
      <w:pPr>
        <w:spacing w:after="0" w:line="149" w:lineRule="exact"/>
        <w:rPr>
          <w:sz w:val="20"/>
          <w:szCs w:val="20"/>
          <w:color w:val="auto"/>
        </w:rPr>
      </w:pPr>
    </w:p>
    <w:p>
      <w:pPr>
        <w:ind w:left="520" w:right="8540" w:hanging="512"/>
        <w:spacing w:after="0" w:line="456" w:lineRule="auto"/>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Equity-based Compensation </w:t>
      </w:r>
      <w:r>
        <w:rPr>
          <w:rFonts w:ascii="Times New Roman" w:cs="Times New Roman" w:eastAsia="Times New Roman" w:hAnsi="Times New Roman"/>
          <w:sz w:val="18"/>
          <w:szCs w:val="18"/>
          <w:b w:val="1"/>
          <w:bCs w:val="1"/>
          <w:i w:val="1"/>
          <w:iCs w:val="1"/>
          <w:color w:val="auto"/>
        </w:rPr>
        <w:t>Equity Incentive Plan</w:t>
      </w: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or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February 2024, the maximum number of ordinary shares authorized to be granted under the Equity Incentive Plan was increased from 70,550 to 73,550. The amendment to the Equity Incentive Plan became effective upon the filing of a Form S-8 Registration Statement with the U.S. Securities and Exchange Commission in February 2024. Awards granted under the Equity Incentive Plan generally vest over a period of three to four years and are generally subject to service based conditions or a combination of service and performance-based conditions and stock options have a contractual term of primarily ten years. Also, in accordance with the Equity Incentive Plan, options were issued at or above the market price at the time of the grant.</w:t>
      </w:r>
    </w:p>
    <w:p>
      <w:pPr>
        <w:spacing w:after="0" w:line="16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2026, the Company granted 1,107 restricted stock and 298 restricted stock units. The weighted average fair values associated with these grants were $75.62 per restricted stock and $76.02 per restricted stock unit.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November 8, 2022, the Company’s Board of Directors adopted, subject to shareholder approval, the Amdocs Limited 2023 Employee Share Purchase Plan (the “ESPP”). The ESPP was subsequently approved by the Company’s shareholders at the annual general meeting of shareholders in January 2023. The approved number of shares that may be issued under the ESPP will not exceed in the aggregate 2,400 ordinary shares. Under its terms, the ESPP became effective upon the filing of a Form S-8 Registration Statement with the U.S. Securities and Exchange Commission. On February 13, 2023, the Company filed a registration statement on Form S-8 registering the offer and sale of 2,400 ordinary shares issuable under the ESPP. As of March 31, 2026, 1,283 ordinary shares have been issued since the commencement of the ESPP.</w:t>
      </w:r>
    </w:p>
    <w:p>
      <w:pPr>
        <w:spacing w:after="0" w:line="16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2025, the Company’s Board of Directors approved, subject to approval by the Company’s shareholders, an amendment to the ESPP. The ESPP was subsequently approved by the Company’s shareholders at the annual general meeting of shareholders in January 2026. The amendment to the ESPP will increase the maximum number of the Company’s ordinary shares that may be issued under the ESPP by 2,200 ordinary shares. Under its terms, the amendment to the ESPP became effective upon the filing of a Form S-8 Registration Statement with the U.S. Securities and Exchange Commission. On February 17, 2026, the Company filed a registration statement on Form S-8 registering the offer and sale of 2,200 ordinary shares issuable under the ESPP.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w:t>
      </w:r>
    </w:p>
    <w:p>
      <w:pPr>
        <w:spacing w:after="0" w:line="15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six months ended March 31, 2026, the Company issued 256 ordinary shares to employees under the ESPP at a weighted average price of $64.94 per share.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8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Equity-based payments to employees, including grants of employee stock options, restricted stock, restricted stock units and ESPP are recognized in the statements of income based on their fair values.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 equity-based compensation pre-tax expense for the three and six months ended March 31, 2026 and 2025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12,356</w:t>
            </w: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22,765</w:t>
            </w: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25,606</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3,927</w:t>
            </w:r>
          </w:p>
        </w:tc>
        <w:tc>
          <w:tcPr>
            <w:tcW w:w="4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4,554</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35,397</w:t>
            </w:r>
          </w:p>
        </w:tc>
        <w:tc>
          <w:tcPr>
            <w:tcW w:w="4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22,013</w:t>
            </w: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37,999</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62,089</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52,173</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costs for its equity incentive grants using the graded vesting attribution method. As of March 31, 2026, there was $108,560 of unrecognized compensation expense related to unvested stock options, unvested restricted stock and unvested restricted stock units which is expected to be recognized over a weighted average period of approximately one to two years, based on the vesting periods of the grants.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there was $1,542 of unrecognized compensation expense related to the ESPP which is expected to be recognized over the remaining purchase period.</w:t>
      </w:r>
    </w:p>
    <w:p>
      <w:pPr>
        <w:spacing w:after="0" w:line="11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20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Board of Directors declared the following dividends during the six months ended March 31, 2026 and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280" w:type="dxa"/>
            <w:vAlign w:val="bottom"/>
          </w:tcPr>
          <w:p>
            <w:pPr>
              <w:spacing w:after="0"/>
              <w:rPr>
                <w:sz w:val="13"/>
                <w:szCs w:val="13"/>
                <w:color w:val="auto"/>
              </w:rPr>
            </w:pPr>
          </w:p>
        </w:tc>
        <w:tc>
          <w:tcPr>
            <w:tcW w:w="19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60" w:type="dxa"/>
            <w:vAlign w:val="bottom"/>
          </w:tcPr>
          <w:p>
            <w:pPr>
              <w:spacing w:after="0"/>
              <w:rPr>
                <w:sz w:val="13"/>
                <w:szCs w:val="13"/>
                <w:color w:val="auto"/>
              </w:rPr>
            </w:pPr>
          </w:p>
        </w:tc>
        <w:tc>
          <w:tcPr>
            <w:tcW w:w="1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280" w:type="dxa"/>
            <w:vAlign w:val="bottom"/>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3, 2026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0.569</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60,429</w:t>
            </w:r>
          </w:p>
        </w:tc>
        <w:tc>
          <w:tcPr>
            <w:tcW w:w="21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April 24, 2026</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November 11, 2025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280" w:type="dxa"/>
            <w:vAlign w:val="bottom"/>
          </w:tcPr>
          <w:p>
            <w:pPr>
              <w:spacing w:after="0"/>
              <w:rPr>
                <w:sz w:val="18"/>
                <w:szCs w:val="18"/>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56,693</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January 30, 2026</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4, 2025</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0.527</w:t>
            </w:r>
          </w:p>
        </w:tc>
        <w:tc>
          <w:tcPr>
            <w:tcW w:w="280" w:type="dxa"/>
            <w:vAlign w:val="bottom"/>
            <w:shd w:val="clear" w:color="auto" w:fill="CFF0FC"/>
          </w:tcPr>
          <w:p>
            <w:pPr>
              <w:spacing w:after="0"/>
              <w:rPr>
                <w:sz w:val="18"/>
                <w:szCs w:val="18"/>
                <w:color w:val="auto"/>
              </w:rPr>
            </w:pPr>
          </w:p>
        </w:tc>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58,615</w:t>
            </w:r>
          </w:p>
        </w:tc>
        <w:tc>
          <w:tcPr>
            <w:tcW w:w="21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April 25, 2025</w:t>
            </w: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0.479</w:t>
            </w:r>
          </w:p>
        </w:tc>
        <w:tc>
          <w:tcPr>
            <w:tcW w:w="2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53,729</w:t>
            </w:r>
          </w:p>
        </w:tc>
        <w:tc>
          <w:tcPr>
            <w:tcW w:w="2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amounts payable as a result of the February 3, 2026 and February 4, 2025 declarations were included in accrued expenses and other current liabilities as of March 31, 2026 and 2025, respectively.</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May 13, 2026 the Company’s Board of Directors approved the next quarterly dividend payment and set June 30, 2026 as the record date for determining the shareholders entitled to receive the dividend, which is payable on July 31, 2026.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 and share amounts in thousands, except per share data or as otherwise disclosed)</w:t>
      </w:r>
    </w:p>
    <w:p>
      <w:pPr>
        <w:spacing w:after="0" w:line="162"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manages its operations as one operating segment, providing software products and services primarily for the communications and media industry service providers. The Company’s Chief Operating Decision Maker (“CODM”) is the Company’s Chief Executive Officer. The CODM evaluates the operating results of the Company on a consolidated net income basis. Refer to the consolidated statements of income. The financial information is used by the CODM for purposes of making operating decisions, allocating capital and resources, setting budgets, and assessing actual performance relative to these budgets and competitors’ information. The Company’s significant segment expenses, which are the expenses included in operating income, and other segment items, which include interest and other expense, net and income taxes, are included in the consolidated statements of income. Segment assets provided to the CODM include accounts receivable billed, current and non-current accounts receivable unbilled and current and non-current deferred revenue.</w:t>
      </w:r>
    </w:p>
    <w:p>
      <w:pPr>
        <w:spacing w:after="0" w:line="147" w:lineRule="exact"/>
        <w:rPr>
          <w:sz w:val="20"/>
          <w:szCs w:val="20"/>
          <w:color w:val="auto"/>
        </w:rPr>
      </w:pPr>
    </w:p>
    <w:p>
      <w:pPr>
        <w:ind w:left="520" w:right="9360" w:hanging="512"/>
        <w:spacing w:after="0" w:line="464" w:lineRule="auto"/>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Legal Proceedings</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Operating and Financial Review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report.</w:t>
      </w:r>
    </w:p>
    <w:p>
      <w:pPr>
        <w:spacing w:after="0" w:line="14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the effects of general macro-economic conditions, prevailing level of macro-economic, business and operational uncertainty, including as a result of geopolitical events or other regional events or pandemics, changes to trade policies including tariffs and trade restrictions, as well as the current inflationary environment, and the effects of these conditions on our customers’ businesses and levels of business activity,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security incidents, including breaches and cyber attacks to our systems and networks and those of our partners or customers, potential loss of a major customer, our ability to develop long-term relationships with our customers, our ability to successfully and effectively implement artificial intelligence and Generative AI (GenAI) in our offerings and operations, and risks associated with operating businesses in the international market. For a discussion of these and other important factors and other risks, please read the information set forth under the caption “Risk Factors” in our Annual Report on Form 20-F for fiscal year 2025, filed on December 15, 2025 with the U.S. Securities and Exchange Commission.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20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Amdocs is a leading provider of software and services for approximately 400 communications, entertainment and media industry and other service providers in developed countries and emerging markets. Our software and services, which we develop, implement and manage in a unique accountability model, are designed to meet the business imperatives of our customers, create value for society and make our increasingly connected world more empowering by unlocking our customers’ innovative potential and enabling them to transform their boldest ideas into reality and deliver outstanding customer experiences. Our offerings enable service providers to cost-effectively engage their customers, introduce new products and services, automate service and network operations, monetize connectivity and content, support new business models and generally enhance their understanding of their customers.</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the demand for our solutions is driven by our customers’ continued migration to the cloud, deployment of 5G standalone, fixed wireless access (FWA), B2B acceleration, and fiber networks and their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4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offerings, grouped by technology capabilities such as commerce and care, monetization, service and network automation, are designed to meet the challenges facing our customers as they roll out 5G, FWA and fiber networks, migrate to the cloud, introduce GenAI solutions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 Our comprehensive line of services is designed to address every stage of a service provider’s lifecycle. They include consulting, experience design, data, cloud, network services, to delivery, quality engineering (testing), operations, systems integration, and content services. Our managed services provide multi-year, flexible and tailored support, managing IT business processes and applications services. They include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spacing w:after="0" w:line="15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the six months ended March 31, 2026, customers in North America accounted for 65.3% of our revenue, while customers in Europe and the rest of the world accounted for 16.0% and 18.7%, respectively. We maintain and support development facilities in Brazil, Canada, Cyprus, India, Ireland, Israel, Mexico, the Philippines, the UK and the United States.</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derive our revenue principally from:</w:t>
      </w:r>
    </w:p>
    <w:p>
      <w:pPr>
        <w:spacing w:after="0" w:line="63" w:lineRule="exact"/>
        <w:rPr>
          <w:sz w:val="20"/>
          <w:szCs w:val="20"/>
          <w:color w:val="auto"/>
        </w:rPr>
      </w:pPr>
    </w:p>
    <w:p>
      <w:pPr>
        <w:ind w:left="90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sales of licenses to use our products and related services, including modification, implementation, integration and customization services,</w:t>
      </w:r>
    </w:p>
    <w:p>
      <w:pPr>
        <w:spacing w:after="0" w:line="12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managed services in our domain expertise and other related services, and</w:t>
      </w:r>
    </w:p>
    <w:p>
      <w:pPr>
        <w:spacing w:after="0" w:line="184"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revenue from ongoing support, maintenance and enhancements provided to our customers, and from incremental license fees resulting from increases in a customer’s business volume.</w:t>
      </w:r>
    </w:p>
    <w:p>
      <w:pPr>
        <w:spacing w:after="0" w:line="13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results of operations are affected by general economic conditions, including macro-economic conditions, and the level of economic activity in the industries and markets that we serve. In addition, the prevailing level of macro-economic, business, and operational uncertainty, as well as the current inflationary environment and foreign exchange rates fluctuation, may continue to present challenges in future periods and may affect the spending decisions of our customers. Although we try to mitigate the foreign currency exchange rates impact on our results through our hedging policy, we cannot assure that we will be able to effectively limit all of our exposure.</w:t>
      </w:r>
    </w:p>
    <w:p>
      <w:pPr>
        <w:spacing w:after="0" w:line="141"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under the five-step methodology required under ASC 606, which requires us to identify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significant portion of our revenue is satisfied over time as work progresses, the annual and quarterly operating results may be affected by the size and timing of the initiation of customer projects as well as our progress in completing such projects.</w:t>
      </w:r>
    </w:p>
    <w:p>
      <w:pPr>
        <w:spacing w:after="0" w:line="13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For our primary revenue categories, related performance obligations, and associated recognition patterns please see Note 4 to our consolidated financial statements.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Revenue generated in connection with managed services arrangements is a significant part of our business, generating substantial, long-term recurring revenue streams and cash flow. Managed services arrangements include management of data center operations and IT and cloud infrastructure, application management and ongoing support, management of end-to-end business processes, and managed transformation that includes both a transformation project as well as taking over managed services responsibility. Revenue from managed services arrangements accounted for approximately $758.7 million and $747.1 million in the three months ended March 31, 2026 and 2025, respectively, and $1.50 billion and $1.48 billion in the six months ended March 31, 2026 and 2025. This is supported by historical renewal rate of close to 100% for our managed services arrangements.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1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Twelve-month backlog was $4.28 billion as of March 31, 2026, up approximately 2.6% as compared to March 31, 2025. Twelve-month backlog includes anticipated revenue related to contracts, estimated revenue from managed services contracts, letters of intent, maintenance and estimated on-going support activities.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three and six months ended March 31, 2026 and 2025. Certain items in our consolidated statements of income are reflected as a percentage of revenue (figures may not sum because of rounding):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8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60" w:type="dxa"/>
            <w:vAlign w:val="bottom"/>
            <w:gridSpan w:val="3"/>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600" w:type="dxa"/>
            <w:vAlign w:val="bottom"/>
          </w:tcPr>
          <w:p>
            <w:pPr>
              <w:spacing w:after="0"/>
              <w:rPr>
                <w:sz w:val="15"/>
                <w:szCs w:val="15"/>
                <w:color w:val="auto"/>
              </w:rPr>
            </w:pPr>
          </w:p>
        </w:tc>
        <w:tc>
          <w:tcPr>
            <w:tcW w:w="1720" w:type="dxa"/>
            <w:vAlign w:val="bottom"/>
            <w:tcBorders>
              <w:bottom w:val="single" w:sz="8" w:color="auto"/>
            </w:tcBorders>
            <w:gridSpan w:val="3"/>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tcBorders>
              <w:bottom w:val="single" w:sz="8" w:color="auto"/>
            </w:tcBorders>
            <w:gridSpan w:val="3"/>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600" w:type="dxa"/>
            <w:vAlign w:val="bottom"/>
          </w:tcPr>
          <w:p>
            <w:pPr>
              <w:spacing w:after="0"/>
              <w:rPr>
                <w:sz w:val="12"/>
                <w:szCs w:val="12"/>
                <w:color w:val="auto"/>
              </w:rPr>
            </w:pPr>
          </w:p>
        </w:tc>
        <w:tc>
          <w:tcPr>
            <w:tcW w:w="114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r>
      <w:tr>
        <w:trPr>
          <w:trHeight w:val="216"/>
        </w:trPr>
        <w:tc>
          <w:tcPr>
            <w:tcW w:w="5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charges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FF0FC"/>
          </w:tcPr>
          <w:p>
            <w:pPr>
              <w:spacing w:after="0"/>
              <w:rPr>
                <w:sz w:val="18"/>
                <w:szCs w:val="18"/>
                <w:color w:val="auto"/>
              </w:rPr>
            </w:pPr>
          </w:p>
        </w:tc>
      </w:tr>
      <w:tr>
        <w:trPr>
          <w:trHeight w:val="210"/>
        </w:trPr>
        <w:tc>
          <w:tcPr>
            <w:tcW w:w="5600" w:type="dxa"/>
            <w:vAlign w:val="bottom"/>
            <w:tcBorders>
              <w:top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tcBorders>
              <w:top w:val="single" w:sz="8" w:color="CFF0FC"/>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8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80" w:type="dxa"/>
            <w:vAlign w:val="bottom"/>
            <w:tcBorders>
              <w:top w:val="single" w:sz="8" w:color="CFF0FC"/>
            </w:tcBorders>
          </w:tcPr>
          <w:p>
            <w:pPr>
              <w:spacing w:after="0"/>
              <w:rPr>
                <w:sz w:val="18"/>
                <w:szCs w:val="18"/>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r>
      <w:tr>
        <w:trPr>
          <w:trHeight w:val="24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4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197"/>
        </w:trPr>
        <w:tc>
          <w:tcPr>
            <w:tcW w:w="56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80" w:type="dxa"/>
            <w:vAlign w:val="bottom"/>
            <w:tcBorders>
              <w:top w:val="single" w:sz="8" w:color="CFF0FC"/>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8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180" w:type="dxa"/>
            <w:vAlign w:val="bottom"/>
            <w:tcBorders>
              <w:top w:val="single" w:sz="8" w:color="CFF0FC"/>
            </w:tcBorders>
          </w:tcPr>
          <w:p>
            <w:pPr>
              <w:spacing w:after="0"/>
              <w:rPr>
                <w:sz w:val="17"/>
                <w:szCs w:val="17"/>
                <w:color w:val="auto"/>
              </w:rPr>
            </w:pPr>
          </w:p>
        </w:tc>
      </w:tr>
      <w:tr>
        <w:trPr>
          <w:trHeight w:val="23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4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-1182370</wp:posOffset>
            </wp:positionV>
            <wp:extent cx="1111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-1182370</wp:posOffset>
            </wp:positionV>
            <wp:extent cx="1111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-1182370</wp:posOffset>
            </wp:positionV>
            <wp:extent cx="1111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-1182370</wp:posOffset>
            </wp:positionV>
            <wp:extent cx="1117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-325120</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-307975</wp:posOffset>
            </wp:positionV>
            <wp:extent cx="1111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-325120</wp:posOffset>
            </wp:positionV>
            <wp:extent cx="1111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-307975</wp:posOffset>
            </wp:positionV>
            <wp:extent cx="1111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-325120</wp:posOffset>
            </wp:positionV>
            <wp:extent cx="11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-307975</wp:posOffset>
            </wp:positionV>
            <wp:extent cx="1111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-325120</wp:posOffset>
            </wp:positionV>
            <wp:extent cx="1117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-307975</wp:posOffset>
            </wp:positionV>
            <wp:extent cx="1117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111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1111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1111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1111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1111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1117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March 31, 2026 and 2025</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six months ended March 31, 2026 compared to the six months ended March 31, 2025. Following the table is a discussion and analysis of our business and results of operations for such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2520" w:type="dxa"/>
            <w:vAlign w:val="bottom"/>
            <w:gridSpan w:val="4"/>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5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Borders>
              <w:top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60" w:type="dxa"/>
            <w:vAlign w:val="bottom"/>
            <w:tcBorders>
              <w:top w:val="single" w:sz="8" w:color="CFF0FC"/>
            </w:tcBorders>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Revenue (*)</w:t>
            </w:r>
          </w:p>
        </w:tc>
        <w:tc>
          <w:tcPr>
            <w:tcW w:w="1040" w:type="dxa"/>
            <w:vAlign w:val="bottom"/>
            <w:tcBorders>
              <w:top w:val="single" w:sz="8" w:color="CFF0FC"/>
              <w:right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178"/>
              <w:spacing w:after="0"/>
              <w:rPr>
                <w:sz w:val="20"/>
                <w:szCs w:val="20"/>
                <w:color w:val="auto"/>
              </w:rPr>
            </w:pPr>
            <w:r>
              <w:rPr>
                <w:rFonts w:ascii="Times New Roman" w:cs="Times New Roman" w:eastAsia="Times New Roman" w:hAnsi="Times New Roman"/>
                <w:sz w:val="4"/>
                <w:szCs w:val="4"/>
                <w:color w:val="auto"/>
                <w:w w:val="97"/>
              </w:rPr>
              <w:t>$</w:t>
            </w:r>
          </w:p>
        </w:tc>
        <w:tc>
          <w:tcPr>
            <w:tcW w:w="86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2,327,918</w:t>
            </w:r>
          </w:p>
        </w:tc>
        <w:tc>
          <w:tcPr>
            <w:tcW w:w="280" w:type="dxa"/>
            <w:vAlign w:val="bottom"/>
            <w:tcBorders>
              <w:top w:val="single" w:sz="8" w:color="CFF0FC"/>
              <w:left w:val="single" w:sz="8" w:color="CFF0FC"/>
              <w:right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86"/>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2,238,258</w:t>
            </w:r>
          </w:p>
        </w:tc>
        <w:tc>
          <w:tcPr>
            <w:tcW w:w="120" w:type="dxa"/>
            <w:vAlign w:val="bottom"/>
            <w:tcBorders>
              <w:top w:val="single" w:sz="8" w:color="CFF0FC"/>
              <w:left w:val="single" w:sz="8" w:color="CFF0FC"/>
            </w:tcBorders>
            <w:shd w:val="clear" w:color="auto" w:fill="CFF0FC"/>
          </w:tcPr>
          <w:p>
            <w:pPr>
              <w:spacing w:after="0"/>
              <w:rPr>
                <w:sz w:val="17"/>
                <w:szCs w:val="17"/>
                <w:color w:val="auto"/>
              </w:rPr>
            </w:pPr>
          </w:p>
        </w:tc>
        <w:tc>
          <w:tcPr>
            <w:tcW w:w="180" w:type="dxa"/>
            <w:vAlign w:val="bottom"/>
            <w:tcBorders>
              <w:top w:val="single" w:sz="8" w:color="auto"/>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4"/>
                <w:szCs w:val="4"/>
                <w:color w:val="auto"/>
                <w:w w:val="97"/>
              </w:rPr>
              <w:t>$</w:t>
            </w:r>
          </w:p>
        </w:tc>
        <w:tc>
          <w:tcPr>
            <w:tcW w:w="900" w:type="dxa"/>
            <w:vAlign w:val="bottom"/>
            <w:tcBorders>
              <w:top w:val="single" w:sz="8" w:color="auto"/>
            </w:tcBorders>
            <w:shd w:val="clear" w:color="auto" w:fill="CFF0FC"/>
          </w:tcPr>
          <w:p>
            <w:pPr>
              <w:jc w:val="right"/>
              <w:spacing w:after="0" w:line="203" w:lineRule="exact"/>
              <w:rPr>
                <w:sz w:val="20"/>
                <w:szCs w:val="20"/>
                <w:color w:val="auto"/>
              </w:rPr>
            </w:pPr>
            <w:r>
              <w:rPr>
                <w:rFonts w:ascii="Times New Roman" w:cs="Times New Roman" w:eastAsia="Times New Roman" w:hAnsi="Times New Roman"/>
                <w:sz w:val="18"/>
                <w:szCs w:val="18"/>
                <w:color w:val="auto"/>
              </w:rPr>
              <w:t>89,660</w:t>
            </w:r>
          </w:p>
        </w:tc>
        <w:tc>
          <w:tcPr>
            <w:tcW w:w="260" w:type="dxa"/>
            <w:vAlign w:val="bottom"/>
            <w:tcBorders>
              <w:top w:val="single" w:sz="8" w:color="CFF0FC"/>
              <w:left w:val="single" w:sz="8" w:color="CFF0FC"/>
              <w:right w:val="single" w:sz="8" w:color="CFF0FC"/>
            </w:tcBorders>
            <w:shd w:val="clear" w:color="auto" w:fill="CFF0FC"/>
          </w:tcPr>
          <w:p>
            <w:pPr>
              <w:spacing w:after="0"/>
              <w:rPr>
                <w:sz w:val="17"/>
                <w:szCs w:val="17"/>
                <w:color w:val="auto"/>
              </w:rPr>
            </w:pPr>
          </w:p>
        </w:tc>
        <w:tc>
          <w:tcPr>
            <w:tcW w:w="1360" w:type="dxa"/>
            <w:vAlign w:val="bottom"/>
            <w:tcBorders>
              <w:top w:val="single" w:sz="8" w:color="CFF0FC"/>
            </w:tcBorders>
            <w:gridSpan w:val="2"/>
            <w:shd w:val="clear" w:color="auto" w:fill="CFF0FC"/>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1,444,456</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1,380,308</w:t>
            </w:r>
          </w:p>
        </w:tc>
        <w:tc>
          <w:tcPr>
            <w:tcW w:w="12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64,148</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168,979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267,398</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256,712</w:t>
            </w:r>
          </w:p>
        </w:tc>
        <w:tc>
          <w:tcPr>
            <w:tcW w:w="12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0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2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14,923</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tcBorders>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04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1,938,381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96,692</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389,537</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396,569</w:t>
            </w:r>
          </w:p>
        </w:tc>
        <w:tc>
          <w:tcPr>
            <w:tcW w:w="12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(7,032)</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(17,228)</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372,309</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381,695</w:t>
            </w:r>
          </w:p>
        </w:tc>
        <w:tc>
          <w:tcPr>
            <w:tcW w:w="12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(9,386)</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gridSpan w:val="2"/>
            <w:shd w:val="clear" w:color="auto" w:fill="CFF0FC"/>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297,226</w:t>
            </w:r>
          </w:p>
        </w:tc>
        <w:tc>
          <w:tcPr>
            <w:tcW w:w="280" w:type="dxa"/>
            <w:vAlign w:val="bottom"/>
            <w:tcBorders>
              <w:left w:val="single" w:sz="8" w:color="CFF0FC"/>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315,853</w:t>
            </w:r>
          </w:p>
        </w:tc>
        <w:tc>
          <w:tcPr>
            <w:tcW w:w="120" w:type="dxa"/>
            <w:vAlign w:val="bottom"/>
            <w:tcBorders>
              <w:lef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(18,627)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1,845</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Amdocs Limited</w:t>
            </w:r>
          </w:p>
        </w:tc>
        <w:tc>
          <w:tcPr>
            <w:tcW w:w="1280" w:type="dxa"/>
            <w:vAlign w:val="bottom"/>
            <w:gridSpan w:val="2"/>
            <w:shd w:val="clear" w:color="auto" w:fill="CFF0FC"/>
          </w:tcPr>
          <w:p>
            <w:pPr>
              <w:jc w:val="right"/>
              <w:ind w:right="178"/>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295,381</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4"/>
                <w:szCs w:val="4"/>
                <w:color w:val="auto"/>
                <w:w w:val="97"/>
              </w:rPr>
              <w:t>$</w:t>
            </w: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314,376</w:t>
            </w:r>
          </w:p>
        </w:tc>
        <w:tc>
          <w:tcPr>
            <w:tcW w:w="12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4"/>
                <w:szCs w:val="4"/>
                <w:color w:val="auto"/>
                <w:w w:val="97"/>
              </w:rPr>
              <w:t>$</w:t>
            </w:r>
          </w:p>
        </w:tc>
        <w:tc>
          <w:tcPr>
            <w:tcW w:w="1160" w:type="dxa"/>
            <w:vAlign w:val="bottom"/>
            <w:tcBorders>
              <w:right w:val="single" w:sz="8" w:color="CFF0FC"/>
            </w:tcBorders>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(18,995)</w:t>
            </w:r>
          </w:p>
        </w:tc>
        <w:tc>
          <w:tcPr>
            <w:tcW w:w="13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left w:val="single" w:sz="8" w:color="CFF0FC"/>
              <w:right w:val="single" w:sz="8" w:color="auto"/>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Geographic Information:</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6"/>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4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2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2520" w:type="dxa"/>
            <w:vAlign w:val="bottom"/>
            <w:gridSpan w:val="4"/>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3"/>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Borders>
              <w:top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gridSpan w:val="2"/>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1280" w:type="dxa"/>
            <w:vAlign w:val="bottom"/>
            <w:gridSpan w:val="2"/>
            <w:shd w:val="clear" w:color="auto" w:fill="CFF0FC"/>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1,519,006</w:t>
            </w:r>
          </w:p>
        </w:tc>
        <w:tc>
          <w:tcPr>
            <w:tcW w:w="280" w:type="dxa"/>
            <w:vAlign w:val="bottom"/>
            <w:tcBorders>
              <w:left w:val="single" w:sz="8" w:color="CFF0FC"/>
              <w:right w:val="single" w:sz="8" w:color="CFF0FC"/>
            </w:tcBorders>
            <w:shd w:val="clear" w:color="auto" w:fill="CFF0FC"/>
          </w:tcPr>
          <w:p>
            <w:pPr>
              <w:spacing w:after="0"/>
              <w:rPr>
                <w:sz w:val="18"/>
                <w:szCs w:val="18"/>
                <w:color w:val="auto"/>
              </w:rPr>
            </w:pPr>
          </w:p>
        </w:tc>
        <w:tc>
          <w:tcPr>
            <w:tcW w:w="28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1,475,731</w:t>
            </w:r>
          </w:p>
        </w:tc>
        <w:tc>
          <w:tcPr>
            <w:tcW w:w="120" w:type="dxa"/>
            <w:vAlign w:val="bottom"/>
            <w:tcBorders>
              <w:left w:val="single" w:sz="8" w:color="CFF0FC"/>
            </w:tcBorders>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43,275</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373,561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435,351</w:t>
            </w:r>
          </w:p>
        </w:tc>
        <w:tc>
          <w:tcPr>
            <w:tcW w:w="28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426,619</w:t>
            </w:r>
          </w:p>
        </w:tc>
        <w:tc>
          <w:tcPr>
            <w:tcW w:w="120" w:type="dxa"/>
            <w:vAlign w:val="bottom"/>
            <w:tcBorders>
              <w:left w:val="single" w:sz="8" w:color="CFF0FC"/>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260" w:type="dxa"/>
            <w:vAlign w:val="bottom"/>
            <w:tcBorders>
              <w:left w:val="single" w:sz="8" w:color="CFF0FC"/>
              <w:bottom w:val="single" w:sz="8" w:color="CFF0FC"/>
              <w:right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left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2,327,918</w:t>
            </w:r>
          </w:p>
        </w:tc>
        <w:tc>
          <w:tcPr>
            <w:tcW w:w="280" w:type="dxa"/>
            <w:vAlign w:val="bottom"/>
          </w:tcPr>
          <w:p>
            <w:pPr>
              <w:spacing w:after="0"/>
              <w:rPr>
                <w:sz w:val="18"/>
                <w:szCs w:val="18"/>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2,238,258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89,660</w:t>
            </w:r>
          </w:p>
        </w:tc>
        <w:tc>
          <w:tcPr>
            <w:tcW w:w="2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7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-4482465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-4482465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-4482465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-3514090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-3514090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-3514090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-3514090</wp:posOffset>
            </wp:positionV>
            <wp:extent cx="137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-2656840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-2639695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-2656840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-2639695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-2656840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-2639695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-2656840</wp:posOffset>
            </wp:positionV>
            <wp:extent cx="137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-2639695</wp:posOffset>
            </wp:positionV>
            <wp:extent cx="137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-2331085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-2313940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-2331085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-2313940</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-2331085</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-2313940</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-2331085</wp:posOffset>
            </wp:positionV>
            <wp:extent cx="1371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-2313940</wp:posOffset>
            </wp:positionV>
            <wp:extent cx="137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-1216660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-1216660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-1216660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-1216660</wp:posOffset>
            </wp:positionV>
            <wp:extent cx="1117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440" w:right="339" w:bottom="811" w:gutter="0" w:footer="0" w:header="0"/>
        </w:sectPr>
      </w:pPr>
    </w:p>
    <w:bookmarkStart w:id="23" w:name="page24"/>
    <w:bookmarkEnd w:id="23"/>
    <w:p>
      <w:pPr>
        <w:spacing w:after="0" w:line="19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$89.7 million, or 4.0%, to $2,327.9 million in the six months ended March 31, 2026, from $2,238.3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months ended March 31, 2025, including approximately 1.2% positive foreign exchange fluctuations impact. The increase in revenue for the six months ended March 31, 2026, was attributable to increased activity across all regions and was positively affected by activities related to recent completed acquisitions.</w:t>
      </w:r>
    </w:p>
    <w:p>
      <w:pPr>
        <w:spacing w:after="0" w:line="14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six months ended March 31, 2026, revenue from customers in North America, Europe and the rest of the world accounted for 65.3%, 16.0% and 18.7%, respectively, of total revenue, compared to 65.9%, 15.0% and 19.1%, respectively, in the six months ended March 31, 2025.</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Revenue from customers in North America increased in absolute amounts during the six months ended March 31, 2026 compared to the six months ended March 31, 2025, while total revenue increased at a higher rate, which resulted in a decrease of revenue from customers in North America as a percentage of total revenue in the six months ended March 31, 2026. The increase in revenue from customers in North America in absolute amount was primarily attributable to increased activities from some of our key customers in North America.</w:t>
      </w:r>
    </w:p>
    <w:p>
      <w:pPr>
        <w:spacing w:after="0" w:line="13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Revenue from customers in Europe increased during the six months ended March 31, 2026, as we expand managed services and project activities in this region, as well as contribution from the previously completed acquisitions. The increase in revenue in Europe was also positively affected by foreign exchange fluctuations.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in the rest of the world increased in absolute amounts in the six months ended March 31, 2026, primarily as a result of contribution from the previously completed acquisitions, as well as new activities that continued to ramp up with various customers in Asia Pacific region.</w:t>
      </w:r>
    </w:p>
    <w:p>
      <w:pPr>
        <w:spacing w:after="0" w:line="13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increased by $64.1 million, or 4.6%, to $1,444.5 million in the six months ended March 31, 2026, from $1,380.3 million in the six months ended March 31, 2025. The cost of revenue as a percentage of revenue, increased to 62.0% in the six months ended March 31, 2026, from 61.7% in the six months ended March 31, 2025. While the increase in cost of revenue was roughly commensurate with revenue growth, it also includes enhanced investment in AI-based tools, as well as cost of initial customers' GenAI deployments.</w:t>
      </w:r>
    </w:p>
    <w:p>
      <w:pPr>
        <w:spacing w:after="0" w:line="14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slightly increased by $2.9 million, or 1.7%, to $169.0 million in the six months ended March 31, 2026, from $166.1 million in the six months ended March 31, 2025. Research and development expense slightly decreased as a percentage of total revenue from 7.4% in the six months ended March 31, 2025, to 7.3% in the six months ended March 31, 2026, as total revenue increased at a higher rate than research and development expense. We continue to invest in AI and GenAI capabilities, and in our cloud offerings, network related innovation,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4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$10.7 million, or 4.2%, to $267.4 million in the six months ended March 31, 2026, from $256.7 million in the six months ended March 31, 2025. Selling, general and administrative expense as a percentage of total revenue was 11.5% in the six months ended March 31, 2026 and 2025. Selling, general and administrative expense may fluctuate from time to time, depending upon such factors as changes in our workforce and sales efforts and the results of any operational efficiency programs that we may undertake. The increase in absolute amount was primarily attributable to an increase in equity based compensation expense, changes of certain acquisition-related liabilities measured at fair value, partially offset by a decrease in account receivable allowances.</w:t>
      </w:r>
    </w:p>
    <w:p>
      <w:pPr>
        <w:spacing w:after="0" w:line="15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increased by $4.1 million, or 12.9% to $35.8 million from $31.8 million in the six months ended March 31, 2025. The increase in amortization of purchased intangible assets and other was primarily attributable to an increase in amortization of intangible assets due to recent completed acquisitions, partially offset by a decrease in amortization of previously purchased intangible assets.</w:t>
      </w:r>
    </w:p>
    <w:p>
      <w:pPr>
        <w:spacing w:after="0" w:line="13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for the six months ended March 31, 2026, were $21.7 million, and were $6.8 in the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Further to our restructuring activities in prior fiscal years, we have undertaken certain additional restructuring actions to focus on operational excellence, automation and the internal deployment of GenAI based tools across our operations. We continue to evaluate further operational efficiencies. For the restructuring charges for the comparable period and for more details, please see Note 9 to our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decreased by $7.0 million, or 1.8%, in the six months ended March 31, 2026, to $389.5 million, from $396.6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six months ended March 31, 2025. Operating income decreased as a percentage of revenue from 17.7% in the six months ended March 31, 2025, to 16.7% in the six months ended March 31, 2026. The decrease in operating income as a percentage of revenue was primarily attributable to relatively higher level of restructuring charges recognized in the six months ended March 31, 2026, compared to the six months ended March 31, 2025, and to an increase in cost of revenue. The foreign exchange impacts on our operating income were immaterial.</w:t>
      </w:r>
    </w:p>
    <w:p>
      <w:pPr>
        <w:spacing w:after="0" w:line="15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increased from a net expense of $14.9 million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to a net expense of $17.2 million in the six months ended March 31, 2026. The increase in interest and other expense, net, was primarily attributable to an increase in interest expenses net of interest income, as a result of lower level of cash balances and higher short-term borrowing, partially offset by net gains related to equity investments, and a decrease in foreign exchange fluctuation charges.</w:t>
      </w:r>
    </w:p>
    <w:p>
      <w:pPr>
        <w:spacing w:after="0" w:line="13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for the six months ended March 31, 2026 were $75.1, million, on pre-tax income of $372.3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an effective tax rate of 20.2%, compared to 17.2% in the six months ended March 31, 2025. Please see also Note 10 to our consolidated financial statements. Our effective tax rate may fluctuate between periods as a result of discrete items that may affect a particular period.</w:t>
      </w:r>
    </w:p>
    <w:p>
      <w:pPr>
        <w:spacing w:after="0" w:line="13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decreased by $19.0 million, or 6.0%, to $295.4 million in the six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from $314.4 million in the six months ended March 31, 2025. The decrease in net income is primarily attributable a decrease in operating income and an increase in income tax expense.</w:t>
      </w:r>
    </w:p>
    <w:p>
      <w:pPr>
        <w:spacing w:after="0" w:line="14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decreased by $0.04, or 1.4%, to $2.74 in the six months ended March 31, 2026, from $2.78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six months ended March 31, 2025. The decrease in diluted earnings per share was primarily attributable to decrease in net income in the six months ended March 31, 2026, partially offset by a decrease in the diluted weighted average number of shares outstanding which resulted from share repurchases. Please see also Note 11 to our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three months ended March 31, 2026 compared to the three months ended March 31, 2025. Following the table is a discussion and analysis of our business and results of operations for such periods.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4"/>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tcBorders>
              <w:bottom w:val="single" w:sz="8" w:color="CFF0FC"/>
            </w:tcBorders>
          </w:tcPr>
          <w:p>
            <w:pPr>
              <w:spacing w:after="0"/>
              <w:rPr>
                <w:sz w:val="12"/>
                <w:szCs w:val="12"/>
                <w:color w:val="auto"/>
              </w:rPr>
            </w:pPr>
          </w:p>
        </w:tc>
        <w:tc>
          <w:tcPr>
            <w:tcW w:w="980" w:type="dxa"/>
            <w:vAlign w:val="bottom"/>
            <w:tcBorders>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0" w:type="dxa"/>
            <w:vAlign w:val="bottom"/>
            <w:tcBorders>
              <w:top w:val="single" w:sz="8" w:color="auto"/>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1,171,979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1,128,203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43,776</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716,733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698,049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18,684</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153,677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19,052</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989,124</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930,468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58,656</w:t>
            </w: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(14,880)</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(2,502)</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176,892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189,270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(12,378)</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138,772</w:t>
            </w:r>
          </w:p>
        </w:tc>
        <w:tc>
          <w:tcPr>
            <w:tcW w:w="16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164,001</w:t>
            </w:r>
          </w:p>
        </w:tc>
        <w:tc>
          <w:tcPr>
            <w:tcW w:w="14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(25,229)</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7"/>
        </w:trPr>
        <w:tc>
          <w:tcPr>
            <w:tcW w:w="4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8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957</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758</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top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Amdocs Limited</w:t>
            </w:r>
          </w:p>
        </w:tc>
        <w:tc>
          <w:tcPr>
            <w:tcW w:w="1240" w:type="dxa"/>
            <w:vAlign w:val="bottom"/>
            <w:gridSpan w:val="2"/>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137,815</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163,243</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(25,428)</w:t>
            </w:r>
          </w:p>
        </w:tc>
        <w:tc>
          <w:tcPr>
            <w:tcW w:w="14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844"/>
        </w:trPr>
        <w:tc>
          <w:tcPr>
            <w:tcW w:w="476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-3222625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-3222625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-3222625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-2253615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-2253615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-2253615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-2253615</wp:posOffset>
            </wp:positionV>
            <wp:extent cx="1454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-1396365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-1379220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-1396365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-1379220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-1396365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-1379220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-1396365</wp:posOffset>
            </wp:positionV>
            <wp:extent cx="1454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-1379220</wp:posOffset>
            </wp:positionV>
            <wp:extent cx="1454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-1071245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-1053465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-1071245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-1053465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-1071245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-1053465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-1071245</wp:posOffset>
            </wp:positionV>
            <wp:extent cx="1454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-1053465</wp:posOffset>
            </wp:positionV>
            <wp:extent cx="1454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Geographic Information:</w:t>
      </w:r>
    </w:p>
    <w:tbl>
      <w:tblPr>
        <w:tblLayout w:type="fixed"/>
        <w:tblInd w:w="0" w:type="dxa"/>
        <w:tblCellMar>
          <w:top w:w="0" w:type="dxa"/>
          <w:left w:w="0" w:type="dxa"/>
          <w:bottom w:w="0" w:type="dxa"/>
          <w:right w:w="0" w:type="dxa"/>
        </w:tblCellMar>
      </w:tblPr>
      <w:tr>
        <w:trPr>
          <w:trHeight w:val="15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5"/>
          </w:tcPr>
          <w:p>
            <w:pPr>
              <w:jc w:val="right"/>
              <w:ind w:right="86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8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(Decrease) Increase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5"/>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24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top w:val="single" w:sz="8" w:color="auto"/>
            </w:tcBorders>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754,305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738,335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15,970</w:t>
            </w:r>
          </w:p>
        </w:tc>
        <w:tc>
          <w:tcPr>
            <w:tcW w:w="13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5"/>
              </w:rPr>
              <w:t>2.2%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180,676</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11,156</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225,842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209,192</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16,650</w:t>
            </w:r>
          </w:p>
        </w:tc>
        <w:tc>
          <w:tcPr>
            <w:tcW w:w="136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1,171,979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1,128,203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43,776</w:t>
            </w:r>
          </w:p>
        </w:tc>
        <w:tc>
          <w:tcPr>
            <w:tcW w:w="13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5"/>
              </w:rPr>
              <w:t>3.9%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1028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increased by $43.8 million, or 3.9%, to $1,172.0 million in the three months ended March 31, 2026, from $1,128.2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2025 including approximately 1.7% positive foreign exchange fluctuations impact . The increase in revenue for the three months ended March 31, 2026, was attributable to increased activity across all regions, and was positively affected by activities related to recent completed acquisitions.</w:t>
      </w:r>
    </w:p>
    <w:p>
      <w:pPr>
        <w:spacing w:after="0" w:line="14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revenue from customers in North America, Europe and the rest of the world accounted for 64.4%, 16.3% and 19.3%, respectively, of total revenue, compared to 65.4%, 16.0% and 18.6%, respectively, in the three months ended March 31, 2025.</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Revenue from customers in North America increased in absolute amounts during the three months ended March 31, 2026, while total revenue increased at a higher rate, which resulted in a decrease of revenue from customers in North America as a percentage of total revenue in the three months ended March 31, 2026. The increase in revenue from customers in North America in absolute amount was primarily attributable to increased activities from some of our key customers in North America.</w:t>
      </w:r>
    </w:p>
    <w:p>
      <w:pPr>
        <w:spacing w:after="0" w:line="13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in Europe increased during the three months ended March 31, 2026, is primarily attributable to new acquisitions activities mentioned above, as well as positive foreign exchange fluctuation.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in the rest of the world increased during the three months ended March 31, 2026, primarily as a result of contribution from the previously completed acquisitions, as well as new activities that continued to ramp up with various customers in Asia Pacific region.</w:t>
      </w:r>
    </w:p>
    <w:p>
      <w:pPr>
        <w:spacing w:after="0" w:line="13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increased by $18.7 million, or 2.7%, to $716.7 million in the three months ended March 31, 2026, from $698.0 million in the three months ended March 31, 2025. The cost of revenue as a percentage of revenue decreased to 61.2% in the three months ended March 31, 2026, from 61.9% in the three months ended March 31, 2025. The cost of revenue also includes enhanced investment in AI-based tools, as well as cost of initial customers' GenAI deployments.</w:t>
      </w:r>
    </w:p>
    <w:p>
      <w:pPr>
        <w:spacing w:after="0" w:line="13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increased by $5.2 million, or 6.4%, to $87.0 million in the three months ended March 31, 2026, from $81.8 million in the three months ended March 31, 2025. Research and development expense slightly increased as a percentage of total revenue from 7.3% in the three months ended March 31, 2025, to 7.4 % in the three months ended March 31, 2026 and includes contribution of recent completed acquisitions. We continue to invest in AI and GenAI capabilities, and in our cloud offerings, network related innovation, and further developing our digital offerings. Our research and development efforts are a key element of our strategy and are essential to our success, and we intend to maintain our commitment to research and development. However, increase or decrease in our revenue would not necessarily result in a proportional increase or decrease in the levels of our research and development expenditures, which could affect our operating margin.</w:t>
      </w:r>
    </w:p>
    <w:p>
      <w:pPr>
        <w:spacing w:after="0" w:line="14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in absolute amounts by $19.1 million, or 14.2%, to $153.7 million in the three months ended March 31, 2026, from $134.6 million in the three months ended March 31, 2025. Selling, general and administrative expense increased as a percentage of revenue from 11.9% in the three months ended March 31, 2025, to 13.1% in the three months ended March 31, 2026. The increase in was primarily attributable to an increase in equity based compensation expense and to a lesser extent an increase in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5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Amortization of purchased intangible assets and other in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2026, increased by $5.3 million, or 33.2% to $21.3 million from $16.0 million in the three months ended March 31, 2025. The increase in amortization of purchased intangible assets and other was an increase in amortization of intangible assets due to recent completed acquisitions, partially offset by a decrease in amortization of previously purchased intangible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for the three months ended March 31, 2026, were $10.4, while there were no such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charges in the three months ended March 31, 2025. Further to our restructuring activities in prior fiscal years, we have undertaken certain additional restructuring actions to focus on operational excellence, automation and the internal deployment of GenAI based tools across our operations. We continue to evaluate further operational efficiencies. For the restructuring charges for the comparable period and for more details, please see Note 9 to our consolidated financial statements.</w:t>
      </w:r>
    </w:p>
    <w:p>
      <w:pPr>
        <w:spacing w:after="0" w:line="12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decreased by $14.9 million, or 7.5%, in the three months ended March 31, 2026, to $182.9 million, or 15.6%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 from $197.7 million, or 17.5% of revenue, in the three months ended March 31, 2025. The decrease in operating income as a percentage of revenue was primarily attributable to increase in (i) selling, general and administrative expense,(ii) restructuring charges recorded in the three months ended March 31, 2026, while there were no such charges in the three months ended March 31, 2025, partially offset by decrease in cost of revenue. The foreign exchange impacts on our operating income were immaterial.</w:t>
      </w:r>
    </w:p>
    <w:p>
      <w:pPr>
        <w:spacing w:after="0" w:line="12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and other expense, net, decreased from a net expense of $8.5 million in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to a net expense of $6.0 million in the three months ended March 31, 2026. The decrease in interest and other expense, net, was primarily attributable to net gains related to equity investments resulting in a net decrease of $7.1 million compared to the three months ended March 31, 2025, partially offset by an increase in interest expenses net of interest income, as a result of lower level of cash balances and higher short-term borrowing, as well as an increase in foreign exchange fluctuation charges.</w:t>
      </w:r>
    </w:p>
    <w:p>
      <w:pPr>
        <w:spacing w:after="0" w:line="12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Income tax expense for the three months ended March 31, 2026 were $38.1 million on pre-tax income of $176.9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in an effective tax rate of 21.5%, compared to effective tax rate of 13.4% in the three months ended March 31, 2025. Our effective tax rate may fluctuate between periods as a result of discrete items that may affect a particular period, please see Note 10 to our consolidated financial statements.</w:t>
      </w:r>
    </w:p>
    <w:p>
      <w:pPr>
        <w:spacing w:after="0" w:line="14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decreased by $25.4 million, or 15.6%, to $137.8 million in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2026, from $163.2 million in the three months ended March 31, 2025. The decrease in net income is primarily attributable to a decrease in operating income, and an increase in income tax expense, in the three months ended March 31, 2026 compared to the three months ended March 31, 2025.</w:t>
      </w:r>
    </w:p>
    <w:p>
      <w:pPr>
        <w:spacing w:after="0" w:line="13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Diluted earnings per share decreased by $0.17, or 11.7%, to $1.28 in the three months ended March 31, 2026,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$1.45 in the three months ended March 31, 2025. The decrease in diluted earnings per share was primarily attributable to a decrease in net income in the three months ended March 31, 2026, partially offset by a decrease in the diluted weighted average number of shares outstanding which resulted from share repurchases. Please see also Note 11 to our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cash equivalents, totaled $214.5 million as of March 31, 2026, compared to $325.0 million as of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decrease was mainly attributable to $284.5 million repurchase of our ordinary shares pursuant to our repurchase program, $217.7 million payments for business acquisitions, $113.8 million of cash dividend payment, $25.9 million deferred payments of business acquisitions and $53.5 million for capital expenditures, net, partially offset by $321.8 million positive cash flow from operating activities, $250 million borrowing under short-term financing arrangements, $11.8 million net proceeds from equity investments and other and $3.2 million of proceeds from stock options. Net cash provided by operating activities amounted to $321.8 million and $278.0 million in the six months ended March 31, 2026 and 2025, respectively.</w:t>
      </w:r>
    </w:p>
    <w:p>
      <w:pPr>
        <w:spacing w:after="0" w:line="14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free cash flow for the six months ended March 31, 2026 was $268.3 million and is calculated as net cash provided by operating activities of $321.8 million for the period less $53.5 million for capital expenditures, net, and is after restructuring payments of approximately $66 million.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5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commercial paper, loans, Senior Notes and our ability to access capital markets serve as sources of liquidity if needed and will provide sufficient resources to meet our operational needs, loan and debt repayment needs, fund share repurchases and the payment of cash dividends for at least the next twelve months.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which are stated at market value and are classified as cash and cash equivalents.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believe we have conservative investment policy guidelines. Our interest-bearing investments are stated at fair value with the unrealized gains or losses, if applicable, reported as a separate component of accumulated other comprehensive (loss) income, net of tax, unless a security is impaired due to a credit loss, in which case the loss is recorded in the consolidated statements of income. Our interest-bearing investments are priced by pricing vendors and are classified as Level 1, since these vendors either provide a quoted market price in an active market or use other observable inputs to price these securities. During the six months ended March 31, 2026 and 2025, we did not recognize any credit losses. Please see Notes 5 and 6 to the consolidated financial statements.</w:t>
      </w:r>
    </w:p>
    <w:p>
      <w:pPr>
        <w:spacing w:after="0" w:line="15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Commercial Paper, Loans, Senior Notes, Letters of Credit, Guarantees and Contractual Obligations. </w:t>
      </w:r>
      <w:r>
        <w:rPr>
          <w:rFonts w:ascii="Times New Roman" w:cs="Times New Roman" w:eastAsia="Times New Roman" w:hAnsi="Times New Roman"/>
          <w:sz w:val="18"/>
          <w:szCs w:val="18"/>
          <w:color w:val="auto"/>
        </w:rPr>
        <w:t>In December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entered into the unsecured $500.0 million Revolving Credit Facility. In December 2014, December 2017, March 2021 and July 2024, the Revolving Credit Facility was amended and restated to, among other things, extend the maturity date of the facility to December 2019, December 2022, March 2026 and July 2029, respectively. In March 2026 the Revolving Credit Facility was amended to increase the amount from $500.0 million to an aggregate amount of $800.0 million. As of March 31, 2026, we were in compliance with the financial covenants and had $170.0 million outstanding borrowing under the Revolving Credit Facility, as a result, $630.0 million remains available on the Revolving Credit Facility.</w:t>
      </w:r>
    </w:p>
    <w:p>
      <w:pPr>
        <w:spacing w:after="0" w:line="144" w:lineRule="exact"/>
        <w:rPr>
          <w:sz w:val="20"/>
          <w:szCs w:val="20"/>
          <w:color w:val="auto"/>
        </w:rPr>
      </w:pPr>
    </w:p>
    <w:p>
      <w:pPr>
        <w:jc w:val="both"/>
        <w:ind w:right="420" w:firstLine="509"/>
        <w:spacing w:after="0" w:line="261" w:lineRule="auto"/>
        <w:rPr>
          <w:sz w:val="20"/>
          <w:szCs w:val="20"/>
          <w:color w:val="auto"/>
        </w:rPr>
      </w:pPr>
      <w:r>
        <w:rPr>
          <w:rFonts w:ascii="Times New Roman" w:cs="Times New Roman" w:eastAsia="Times New Roman" w:hAnsi="Times New Roman"/>
          <w:sz w:val="18"/>
          <w:szCs w:val="18"/>
          <w:color w:val="auto"/>
        </w:rPr>
        <w:t>In March 2026, we established a commercial paper program, supported by the Revolving Credit Facility under which it may issue unsecured commercial paper up to a total of $800.0 million outstanding at any time, with maturities of up to 397 days from the date of issue. The net proceeds from the issuance of commercial paper are expected to be used for general corporate purposes. As of March 31, 2026, there was no outstanding borrowing amount under the commercial paper program.</w:t>
      </w:r>
    </w:p>
    <w:p>
      <w:pPr>
        <w:spacing w:after="0" w:line="13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senior unsecured obligations and rank equally in right of payment with all of our existing and future senior indebtedness, including any indebtedness we may incur from time to time under the Revolving Credit Facility. </w:t>
      </w:r>
      <w:r>
        <w:rPr>
          <w:rFonts w:ascii="Times New Roman" w:cs="Times New Roman" w:eastAsia="Times New Roman" w:hAnsi="Times New Roman"/>
          <w:sz w:val="18"/>
          <w:szCs w:val="18"/>
          <w:color w:val="231F20"/>
        </w:rPr>
        <w:t>As of March 31, 2026,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noncurrent outstanding principal portion was $650.0 million. P</w:t>
      </w:r>
      <w:r>
        <w:rPr>
          <w:rFonts w:ascii="Times New Roman" w:cs="Times New Roman" w:eastAsia="Times New Roman" w:hAnsi="Times New Roman"/>
          <w:sz w:val="18"/>
          <w:szCs w:val="18"/>
          <w:color w:val="000000"/>
        </w:rPr>
        <w:t>lease see Note 13 to our consolidated financial statements.</w:t>
      </w:r>
    </w:p>
    <w:p>
      <w:pPr>
        <w:spacing w:after="0" w:line="16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had additional uncommitted lines of credit available for general corporate and other specific purposes and had $80.0 outstanding borrowing under the uncommitted lines of credit. We had outstanding letters of credit and bank guarantees from various banks totaling $90.7 million as of March 31, 2026, which were supported by a combination of the uncommitted lines of credit that we maintain with various banks.</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contractual obligations for Long-term debt and accrued interests, operating leases, purchase obligations, pension funding and unrecognized tax benefits, summarized in the disclosure of contractual obligations set forth in our Annual Report on Form 20-F for the fiscal year ended September 30, 2025, filed on December 15, 2025 with the SEC. During the three months ended December 31, 2025, we renewed our framework agreement with a strategic cloud provider, encompassing a commitment by us for service usage (including cloud consumption) totaling $570.0 million for five years.</w:t>
      </w:r>
    </w:p>
    <w:p>
      <w:pPr>
        <w:spacing w:after="0" w:line="137"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During the six months ended March 31, 2026, we completed two business acquisitions for an aggregate net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$217.0. The majority of this amount was paid to the acquisition of Matrixx Software, a privately owned company specializing in Charging &amp; Rating solutions for global communication service providers, please see Note 3 to our consolidated financial statements.</w:t>
      </w:r>
    </w:p>
    <w:p>
      <w:pPr>
        <w:spacing w:after="0" w:line="146"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consist of purchases of computer, related equipment and software,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remainder is attributable mainly to building and leasehold improvements. Our capital expenditures were approximately $53.5 million in the six months ended March 31, 2026 and were mainly attributable to investments in our operating facilities and our development centers around the world.</w:t>
      </w:r>
    </w:p>
    <w:p>
      <w:pPr>
        <w:spacing w:after="0" w:line="13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Share Repurchases</w:t>
      </w:r>
      <w:r>
        <w:rPr>
          <w:rFonts w:ascii="Times New Roman" w:cs="Times New Roman" w:eastAsia="Times New Roman" w:hAnsi="Times New Roman"/>
          <w:sz w:val="18"/>
          <w:szCs w:val="18"/>
          <w:color w:val="auto"/>
        </w:rPr>
        <w:t>. 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ordinary shares. On May 7, 2025, our Board of Directors adopted a share repurchase plan for the repurchase of up to an additional $1.0 billion of our outstanding ordinary shares with no expiration date. The May 2025 plan permits us to purchase our ordinary shares in the open market or through privately negotiated transactions at times and prices that we consider appropriate. </w:t>
      </w:r>
      <w:r>
        <w:rPr>
          <w:rFonts w:ascii="Times New Roman" w:cs="Times New Roman" w:eastAsia="Times New Roman" w:hAnsi="Times New Roman"/>
          <w:sz w:val="18"/>
          <w:szCs w:val="18"/>
          <w:color w:val="231F20"/>
        </w:rPr>
        <w:t>In the</w:t>
      </w:r>
      <w:r>
        <w:rPr>
          <w:rFonts w:ascii="Times New Roman" w:cs="Times New Roman" w:eastAsia="Times New Roman" w:hAnsi="Times New Roman"/>
          <w:sz w:val="18"/>
          <w:szCs w:val="18"/>
          <w:color w:val="auto"/>
        </w:rPr>
        <w:t xml:space="preserve"> six months ended March 31, 2026 </w:t>
      </w:r>
      <w:r>
        <w:rPr>
          <w:rFonts w:ascii="Times New Roman" w:cs="Times New Roman" w:eastAsia="Times New Roman" w:hAnsi="Times New Roman"/>
          <w:sz w:val="18"/>
          <w:szCs w:val="18"/>
          <w:color w:val="231F20"/>
        </w:rPr>
        <w:t>we</w:t>
      </w:r>
      <w:r>
        <w:rPr>
          <w:rFonts w:ascii="Times New Roman" w:cs="Times New Roman" w:eastAsia="Times New Roman" w:hAnsi="Times New Roman"/>
          <w:sz w:val="18"/>
          <w:szCs w:val="18"/>
          <w:color w:val="auto"/>
        </w:rPr>
        <w:t xml:space="preserve"> repurchased 3.8 million ordinary shares at an average price of $75.78 per share (excluding broker and transaction fees). As of March 31, 2026, we had remaining authority to repurchase up to $701.9 million of our outstanding ordinary shares under the May 2025 plan.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the six months ended March 31, 2026 and 2025:</w:t>
      </w:r>
    </w:p>
    <w:tbl>
      <w:tblPr>
        <w:tblLayout w:type="fixed"/>
        <w:tblInd w:w="0" w:type="dxa"/>
        <w:tblCellMar>
          <w:top w:w="0" w:type="dxa"/>
          <w:left w:w="0" w:type="dxa"/>
          <w:bottom w:w="0" w:type="dxa"/>
          <w:right w:w="0" w:type="dxa"/>
        </w:tblCellMar>
      </w:tblPr>
      <w:tr>
        <w:trPr>
          <w:trHeight w:val="153"/>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20" w:type="dxa"/>
            <w:vAlign w:val="bottom"/>
          </w:tcPr>
          <w:p>
            <w:pPr>
              <w:spacing w:after="0"/>
              <w:rPr>
                <w:sz w:val="13"/>
                <w:szCs w:val="13"/>
                <w:color w:val="auto"/>
              </w:rPr>
            </w:pPr>
          </w:p>
        </w:tc>
        <w:tc>
          <w:tcPr>
            <w:tcW w:w="148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b w:val="1"/>
                <w:bCs w:val="1"/>
                <w:color w:val="auto"/>
              </w:rPr>
              <w:t>Dividends Per</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4"/>
                <w:szCs w:val="14"/>
                <w:b w:val="1"/>
                <w:bCs w:val="1"/>
                <w:color w:val="auto"/>
              </w:rPr>
              <w:t>Total Amount</w:t>
            </w:r>
          </w:p>
        </w:tc>
        <w:tc>
          <w:tcPr>
            <w:tcW w:w="100" w:type="dxa"/>
            <w:vAlign w:val="bottom"/>
          </w:tcPr>
          <w:p>
            <w:pPr>
              <w:spacing w:after="0"/>
              <w:rPr>
                <w:sz w:val="13"/>
                <w:szCs w:val="13"/>
                <w:color w:val="auto"/>
              </w:rPr>
            </w:pPr>
          </w:p>
        </w:tc>
        <w:tc>
          <w:tcPr>
            <w:tcW w:w="16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3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3, 2026</w:t>
            </w:r>
          </w:p>
        </w:tc>
        <w:tc>
          <w:tcPr>
            <w:tcW w:w="160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0.569</w:t>
            </w: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60.4</w:t>
            </w:r>
          </w:p>
        </w:tc>
        <w:tc>
          <w:tcPr>
            <w:tcW w:w="1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April 24, 2026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November 11, 2025</w:t>
            </w:r>
          </w:p>
        </w:tc>
        <w:tc>
          <w:tcPr>
            <w:tcW w:w="160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0.527</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30, 2026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4, 2025</w:t>
            </w:r>
          </w:p>
        </w:tc>
        <w:tc>
          <w:tcPr>
            <w:tcW w:w="1600" w:type="dxa"/>
            <w:vAlign w:val="bottom"/>
            <w:gridSpan w:val="2"/>
            <w:shd w:val="clear" w:color="auto" w:fill="CFF0FC"/>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0.527</w:t>
            </w:r>
          </w:p>
        </w:tc>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58.6</w:t>
            </w:r>
          </w:p>
        </w:tc>
        <w:tc>
          <w:tcPr>
            <w:tcW w:w="17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April 25, 2025</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November 12, 2024</w:t>
            </w:r>
          </w:p>
        </w:tc>
        <w:tc>
          <w:tcPr>
            <w:tcW w:w="160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0.479</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January 31, 2025</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On May 13, 2026 our Board of Directors approved the next quarterly dividend payment and set June 30, 2026 as the record date for determining the shareholders entitled to receive the dividend, which is payable on July 31, 2026.</w:t>
      </w:r>
    </w:p>
    <w:p>
      <w:pPr>
        <w:spacing w:after="0" w:line="13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considers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 We periodically assess the applicability of the U.S. dollar as our functional currency by reviewing the salient indicators.</w:t>
      </w:r>
    </w:p>
    <w:p>
      <w:pPr>
        <w:spacing w:after="0" w:line="15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six months ended March 31, 2026 and 2025, approximately 70% to 80% of our revenue and approximately 50% to 60% of our operating expenses were in U.S. dollars or linked to the U.S. dollar. If more customers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when cost-effective.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Changes in Securities, Use of Proceeds and Issuer Purchases of Equity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18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three months ended March 31, 2026 of equity securities that are registered by us pursuant to Section 12 of the Exchange Act: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38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per Share(1)</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or Programs(2)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01/01/26-01/31/26</w:t>
            </w:r>
          </w:p>
        </w:tc>
        <w:tc>
          <w:tcPr>
            <w:tcW w:w="2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363,639</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363,639</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810,258,849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02/01/26-02/28/26</w:t>
            </w:r>
          </w:p>
        </w:tc>
        <w:tc>
          <w:tcPr>
            <w:tcW w:w="232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783,349</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783,349</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752,885,137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03/01/26-03/31/26</w:t>
            </w:r>
          </w:p>
        </w:tc>
        <w:tc>
          <w:tcPr>
            <w:tcW w:w="2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774,865</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774,865</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701,942,539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1,921,853</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1,921,853</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701,942,539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50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-273685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-273685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-273685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117"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2025, our Board of Directors adopted a share repurchase plan for the repurchase of up to an additional $1.0 billion of our outstanding ordinary shares with no expiration date. The May 2025 plan permits us to purchase our ordinary shares in the open market or through privately negotiated transactions at times and prices that we consider appropriate.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Reports on Form 6-K</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furnished or filed the following reports on Form 6-K during the three months ended March 31, 2026:</w:t>
      </w:r>
    </w:p>
    <w:p>
      <w:pPr>
        <w:spacing w:after="0" w:line="63"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March 23, 2026</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17, 2026</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February 4, 2026</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dated January 30,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AMDOCS LIMITED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E. Smith</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Secretary and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lowerLetter"/>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1."/>
      <w:numFmt w:val="decimal"/>
      <w:start w:val="4"/>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6"/>
    </w:lvl>
  </w:abstractNum>
  <w:abstractNum w:abstractNumId="9">
    <w:nsid w:val="519B500D"/>
    <w:multiLevelType w:val="hybridMultilevel"/>
    <w:lvl w:ilvl="0">
      <w:lvlJc w:val="left"/>
      <w:lvlText w:val="%1."/>
      <w:numFmt w:val="decimal"/>
      <w:start w:val="7"/>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9"/>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1"/>
    </w:lvl>
  </w:abstractNum>
  <w:abstractNum w:abstractNumId="16">
    <w:nsid w:val="628C895D"/>
    <w:multiLevelType w:val="hybridMultilevel"/>
    <w:lvl w:ilvl="0">
      <w:lvlJc w:val="left"/>
      <w:lvlText w:val="%1."/>
      <w:numFmt w:val="decimal"/>
      <w:start w:val="12"/>
    </w:lvl>
  </w:abstractNum>
  <w:abstractNum w:abstractNumId="17">
    <w:nsid w:val="333AB105"/>
    <w:multiLevelType w:val="hybridMultilevel"/>
    <w:lvl w:ilvl="0">
      <w:lvlJc w:val="left"/>
      <w:lvlText w:val="%1."/>
      <w:numFmt w:val="decimal"/>
      <w:start w:val="13"/>
    </w:lvl>
  </w:abstractNum>
  <w:abstractNum w:abstractNumId="18">
    <w:nsid w:val="721DA317"/>
    <w:multiLevelType w:val="hybridMultilevel"/>
    <w:lvl w:ilvl="0">
      <w:lvlJc w:val="left"/>
      <w:lvlText w:val="%1."/>
      <w:numFmt w:val="decimal"/>
      <w:start w:val="14"/>
    </w:lvl>
  </w:abstractNum>
  <w:abstractNum w:abstractNumId="19">
    <w:nsid w:val="2443A858"/>
    <w:multiLevelType w:val="hybridMultilevel"/>
    <w:lvl w:ilvl="0">
      <w:lvlJc w:val="left"/>
      <w:lvlText w:val="%1."/>
      <w:numFmt w:val="decimal"/>
      <w:start w:val="15"/>
    </w:lvl>
  </w:abstractNum>
  <w:abstractNum w:abstractNumId="20">
    <w:nsid w:val="2D1D5AE9"/>
    <w:multiLevelType w:val="hybridMultilevel"/>
    <w:lvl w:ilvl="0">
      <w:lvlJc w:val="left"/>
      <w:lvlText w:val="%1."/>
      <w:numFmt w:val="decimal"/>
      <w:start w:val="16"/>
    </w:lvl>
  </w:abstractNum>
  <w:abstractNum w:abstractNumId="21">
    <w:nsid w:val="6763845E"/>
    <w:multiLevelType w:val="hybridMultilevel"/>
    <w:lvl w:ilvl="0">
      <w:lvlJc w:val="left"/>
      <w:lvlText w:val="%1."/>
      <w:numFmt w:val="decimal"/>
      <w:start w:val="17"/>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2026-05-26T15:24:09Z</dcterms:created>
  <dcterms:modified xsi:type="dcterms:W3CDTF">2026-05-26T15:24:09Z</dcterms:modified>
</cp:coreProperties>
</file>