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For the month of November, 2018</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243205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267335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1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78" w:lineRule="exact"/>
        <w:rPr>
          <w:sz w:val="24"/>
          <w:szCs w:val="24"/>
          <w:color w:val="auto"/>
        </w:rPr>
      </w:pPr>
    </w:p>
    <w:p>
      <w:pPr>
        <w:jc w:val="center"/>
        <w:ind w:right="-45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206375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-7620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440" w:top="362" w:right="879" w:bottom="1440" w:gutter="0" w:footer="0" w:header="0"/>
        </w:sectPr>
      </w:pPr>
    </w:p>
    <w:bookmarkStart w:id="1" w:name="page2"/>
    <w:bookmarkEnd w:id="1"/>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2018</w:t>
      </w:r>
    </w:p>
    <w:p>
      <w:pPr>
        <w:sectPr>
          <w:pgSz w:w="11900" w:h="16838" w:orient="portrait"/>
          <w:cols w:equalWidth="0" w:num="1">
            <w:col w:w="10280"/>
          </w:cols>
          <w:pgMar w:left="440" w:top="266" w:right="1179" w:bottom="1440" w:gutter="0" w:footer="0" w:header="0"/>
        </w:sectPr>
      </w:pPr>
    </w:p>
    <w:bookmarkStart w:id="2" w:name="page3"/>
    <w:bookmarkEnd w:id="2"/>
    <w:p>
      <w:pPr>
        <w:jc w:val="right"/>
        <w:ind w:right="38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80"/>
        <w:spacing w:after="0"/>
        <w:tabs>
          <w:tab w:leader="none" w:pos="120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7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Amdocs Limited Press Release dated November 8, 2018.</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031990" cy="167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1990"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Amdocs Limited Reports Fourth Quarter Fiscal 2018 Results Record Quarterly Revenue of $1 Billion Expects Fiscal 2019 Revenue Growth of 2.0%-6.0% YoY in Constant Currency Quarterly Cash Dividend to be Raised From $0.25 to $0.285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2018 Highlights</w:t>
      </w:r>
    </w:p>
    <w:p>
      <w:pPr>
        <w:spacing w:after="0" w:line="135" w:lineRule="exact"/>
        <w:rPr>
          <w:sz w:val="20"/>
          <w:szCs w:val="20"/>
          <w:color w:val="auto"/>
        </w:rPr>
      </w:pPr>
    </w:p>
    <w:p>
      <w:pPr>
        <w:jc w:val="both"/>
        <w:ind w:left="860" w:right="400" w:hanging="316"/>
        <w:spacing w:after="0" w:line="266"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 billion, slightly above the midpoint of the $980-$1,020 million guidance range including a negative impact from foreign currency movements of approximately $5 million relative to the third quarter of fiscal 2018. Revenue guidance had included a negative sequential impact from foreign currency fluctuations of approximately $5 million as compared to the third quarter of fiscal 2018</w:t>
      </w:r>
    </w:p>
    <w:p>
      <w:pPr>
        <w:spacing w:after="0" w:line="81" w:lineRule="exact"/>
        <w:rPr>
          <w:rFonts w:ascii="Times New Roman" w:cs="Times New Roman" w:eastAsia="Times New Roman" w:hAnsi="Times New Roman"/>
          <w:sz w:val="18"/>
          <w:szCs w:val="18"/>
          <w:color w:val="auto"/>
        </w:rPr>
      </w:pPr>
    </w:p>
    <w:p>
      <w:pPr>
        <w:ind w:left="860" w:right="300" w:hanging="316"/>
        <w:spacing w:after="0" w:line="266"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of $0.31, below the $0.71-$0.79 guidance range, primarily due to a non-recurring charge of $0.36 per diluted share incurred to settle a previously disclosed long-running legal dispute, and changes in certain acquisitions related liabilities measured at fair value of $0.06 per diluted share, net of tax effect</w:t>
      </w:r>
    </w:p>
    <w:p>
      <w:pPr>
        <w:spacing w:after="0" w:line="81"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EPS of $0.99, above the midpoint of the $0.95-$1.01 guidance range</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income of $69 million; GAAP operating margin of 6.9%</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of $173 million; non-GAAP operating margin of 17.2%</w:t>
      </w:r>
    </w:p>
    <w:p>
      <w:pPr>
        <w:spacing w:after="0" w:line="130" w:lineRule="exact"/>
        <w:rPr>
          <w:rFonts w:ascii="Times New Roman" w:cs="Times New Roman" w:eastAsia="Times New Roman" w:hAnsi="Times New Roman"/>
          <w:sz w:val="18"/>
          <w:szCs w:val="18"/>
          <w:color w:val="auto"/>
        </w:rPr>
      </w:pPr>
    </w:p>
    <w:p>
      <w:pPr>
        <w:ind w:left="860" w:right="140" w:hanging="316"/>
        <w:spacing w:after="0" w:line="266"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Normalized quarterly free cash flow of $89 million, comprised of cash flow from operations of $115 million, less $34 million in net capital expenditures and other, and excluding payments of non-recurring charges and the multi-year development of the new campus in total amount of $8 million</w:t>
      </w:r>
    </w:p>
    <w:p>
      <w:pPr>
        <w:spacing w:after="0" w:line="81" w:lineRule="exact"/>
        <w:rPr>
          <w:rFonts w:ascii="Times New Roman" w:cs="Times New Roman" w:eastAsia="Times New Roman" w:hAnsi="Times New Roman"/>
          <w:sz w:val="18"/>
          <w:szCs w:val="18"/>
          <w:color w:val="auto"/>
        </w:rPr>
      </w:pPr>
    </w:p>
    <w:p>
      <w:pPr>
        <w:ind w:left="860" w:right="40" w:hanging="316"/>
        <w:spacing w:after="0" w:line="266"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Normalized full year free cash flow of $428 million, comprised of cash flow from operations of $557 million, less $232 million in net capital expenditures and other, and excluding payments of non-recurring charges and the multi-year development of the new campus in total amount of $103 million</w:t>
      </w:r>
    </w:p>
    <w:p>
      <w:pPr>
        <w:spacing w:after="0" w:line="81"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Twelve-month backlog of $3.36 billion, up $30 million sequentially</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cash dividend of $0.25 per share, to be paid on January 18, 2019</w:t>
      </w:r>
    </w:p>
    <w:p>
      <w:pPr>
        <w:spacing w:after="0" w:line="130" w:lineRule="exact"/>
        <w:rPr>
          <w:rFonts w:ascii="Times New Roman" w:cs="Times New Roman" w:eastAsia="Times New Roman" w:hAnsi="Times New Roman"/>
          <w:sz w:val="18"/>
          <w:szCs w:val="18"/>
          <w:color w:val="auto"/>
        </w:rPr>
      </w:pPr>
    </w:p>
    <w:p>
      <w:pPr>
        <w:ind w:left="860" w:right="380" w:hanging="316"/>
        <w:spacing w:after="0" w:line="282"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also approved an increase in the Company’s quarterly cash dividend payment from $0.25 per share to $0.285 per share, anticipated to be paid in April 2019, subject to shareholder approval at the January 2019 annual meeting</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 LOUIS – November 8, 2018 </w:t>
      </w:r>
      <w:r>
        <w:rPr>
          <w:rFonts w:ascii="Times New Roman" w:cs="Times New Roman" w:eastAsia="Times New Roman" w:hAnsi="Times New Roman"/>
          <w:sz w:val="18"/>
          <w:szCs w:val="18"/>
          <w:color w:val="auto"/>
        </w:rPr>
        <w:t>– Amdocs Limited (NASDAQ: DOX) today reported operating results for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pleased to report solid results in our fourth fiscal quarter. Revenue was slightly above the midpoint of our guidance and reflected normal customer fluctuations in North America, continued growth in Rest of World and our best quarter in more than a decade in Europe. At the operating level, our profitability was stable as we focused on consistent project execution and delivery. Overall, we wrapped up fiscal 2018 with full year non-GAAP diluted earnings per share growth of 6.1%, which is in line with the midpoint of the guidance range of 4.0% to 8.0% that we issued last November,” said Shuky Sheffer, president and chief executive officer of Amdocs Management Limited.</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Sheffer continued, “Our sales momentum remained healthy in Q4 as we continued to penetrate new customers and new geographies with significant project and managed services awards. Among the highlights, we won our first ever transformation award with TIM, the largest communications provider in Italy, that further expands our customer footprint in this key European market. We also strengthened our position at PLDT in the Philippines where we signed a six-year managed IT infrastructure deal that adds to the seven-year, $300 million managed transformation agreement that we signed only earlier this year”.</w:t>
      </w:r>
    </w:p>
    <w:p>
      <w:pPr>
        <w:sectPr>
          <w:pgSz w:w="11900" w:h="16838" w:orient="portrait"/>
          <w:cols w:equalWidth="0" w:num="1">
            <w:col w:w="11020"/>
          </w:cols>
          <w:pgMar w:left="440" w:top="117" w:right="4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“Looking at the year ahead, the visibility of our record 12-month backlog points to an improved rate of revenue growth as we enable and support the continuous digital, media and network transformations of our customers. Taking everything in to consideration, we expect non-GAAP diluted earnings per share growth in the range of 3.0% to 7.0% in fiscal 2019. Moreover, we plan to further improve the total return we provide to shareholders by raising our quarterly dividend payment by 14% to 28.5 cents per share, subject to shareholders approval at the annual meeting in January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Revenue for the fourth fiscal quarter ended September 30, 2018 was $1.0 billion, up $0.4 million sequentially from the third fiscal quarter of 2018 and up 2.3% as compared to last year’s fourth fiscal quarter. Revenue for the fourth fiscal quarter of 2018 includes a negative impact from foreign currency movements of approximately $5 million relative to the third quarter of fiscal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September 30, 2018, revenue increased by 2.8% to $4.0 billion.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GAAP net income for the fourth quarter of fiscal 2018 was $44.3 million, or $0.31 per diluted share, compared to GAAP net income of $107.2 million, or $0.73 per diluted share, in the prior fiscal year’s fourth quarter. GAAP net income for the fourth quarter of fiscal 2018 includes a non-recurring charge of a loss of $0.36 per diluted share, net of tax effect incurred to settle a previously disclosed long-running legal dispute. Net income on a non-GAAP basis was $140.2 million, or $0.99 per diluted share, compared to non-GAAP net income of $137.4 million, or $0.94 per diluted share, in the fourth quarter of fiscal 2017. Non-GAAP net income excludes amortization of purchased intangible assets and other acquisition-related costs, changes in certain acquisitions related liabilities measured at fair value, equity-based compensation expenses of $12.9 million, and non-recurring charges of a loss incurred to settle a previously disclosed long-running legal dispute, net of related tax effects, in the fourth quarter of fiscal 2018.</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Company’s GAAP net income in fiscal 2018 was $354.4 million, or $2.47 per diluted share, compared to GAAP net income of $436.8 million, or $2.96 per diluted share, in fiscal 2017. Fiscal 2018 net income on a non-GAAP basis was $579.6 million, or $4.03 per diluted share, compared to non-GAAP net income of $560.6 million, or $3.80 per diluted share, in fiscal 2017.</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Returning Cash to Shareholders</w:t>
      </w:r>
    </w:p>
    <w:p>
      <w:pPr>
        <w:spacing w:after="0" w:line="131" w:lineRule="exact"/>
        <w:rPr>
          <w:sz w:val="20"/>
          <w:szCs w:val="20"/>
          <w:color w:val="auto"/>
        </w:rPr>
      </w:pPr>
    </w:p>
    <w:p>
      <w:pPr>
        <w:ind w:left="860" w:right="100" w:hanging="316"/>
        <w:spacing w:after="0" w:line="259"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Quarterly Cash Dividend Program: </w:t>
      </w:r>
      <w:r>
        <w:rPr>
          <w:rFonts w:ascii="Times New Roman" w:cs="Times New Roman" w:eastAsia="Times New Roman" w:hAnsi="Times New Roman"/>
          <w:sz w:val="18"/>
          <w:szCs w:val="18"/>
          <w:color w:val="auto"/>
        </w:rPr>
        <w:t>On November 8, 2018, the Board approved the Company’s next quarterly cash dividend payment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$0.25 per share and set December 31, 2018 as the record date for determining the shareholders entitled to receive the dividend, which will be payable on January 18, 2019. The Board also approved an increase in the Company’s quarterly cash dividend payment to $0.285 per share, which is anticipated to be paid in April 2019, provided that the increase is approved by shareholders at the January 2019 annual general meeting of shareholders.</w:t>
      </w:r>
    </w:p>
    <w:p>
      <w:pPr>
        <w:spacing w:after="0" w:line="85"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 Repurchase Activity: </w:t>
      </w:r>
      <w:r>
        <w:rPr>
          <w:rFonts w:ascii="Times New Roman" w:cs="Times New Roman" w:eastAsia="Times New Roman" w:hAnsi="Times New Roman"/>
          <w:sz w:val="18"/>
          <w:szCs w:val="18"/>
          <w:color w:val="auto"/>
        </w:rPr>
        <w:t>Repurchased $90 million of ordinary shares during the fourth quarter of fiscal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Twelve-month Backlog</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Twelve-month backlog, which includes anticipated revenue related to contracts, estimated revenue from managed services contracts, letters of intent, maintenance and estimated on-going support activities, was $3.36 billion at the end of the fourth quarter of fiscal 2018, up $30 million from the end of the prior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2019 Outlook</w:t>
      </w:r>
    </w:p>
    <w:p>
      <w:pPr>
        <w:spacing w:after="0" w:line="135" w:lineRule="exact"/>
        <w:rPr>
          <w:sz w:val="20"/>
          <w:szCs w:val="20"/>
          <w:color w:val="auto"/>
        </w:rPr>
      </w:pPr>
    </w:p>
    <w:p>
      <w:pPr>
        <w:ind w:left="860" w:hanging="31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approximately $990-$1,030 million, assuming an immaterial sequential impact from foreign currency fluctuations as compared to the fourth quarter of fiscal 2018</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of approximately $0.67-$0.75</w:t>
      </w:r>
    </w:p>
    <w:p>
      <w:pPr>
        <w:spacing w:after="0" w:line="130" w:lineRule="exact"/>
        <w:rPr>
          <w:rFonts w:ascii="Times New Roman" w:cs="Times New Roman" w:eastAsia="Times New Roman" w:hAnsi="Times New Roman"/>
          <w:sz w:val="18"/>
          <w:szCs w:val="18"/>
          <w:color w:val="auto"/>
        </w:rPr>
      </w:pPr>
    </w:p>
    <w:p>
      <w:pPr>
        <w:ind w:left="860" w:right="20" w:hanging="316"/>
        <w:spacing w:after="0" w:line="261"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EPS of approximately $0.95-$1.01, excluding amortization of purchased intangible assets and other acquisition-related costs, changes in certain acquisitions related liabilities measured at fair value, and approximately $0.09-$0.11 per share of equity-based compensation expense, net of related tax effects Expected non-GAAP effective tax rate above the high-end of the annual target range of 13%-17% in the first quarter fiscal 2019</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Year Fiscal 2019 Outlook</w:t>
      </w:r>
    </w:p>
    <w:p>
      <w:pPr>
        <w:spacing w:after="0" w:line="135" w:lineRule="exact"/>
        <w:rPr>
          <w:sz w:val="20"/>
          <w:szCs w:val="20"/>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1.0%-5.0% year-over-year</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2.0%-6.0% year-over-year on a constant currency basis</w:t>
      </w:r>
    </w:p>
    <w:p>
      <w:pPr>
        <w:spacing w:after="0" w:line="130" w:lineRule="exact"/>
        <w:rPr>
          <w:rFonts w:ascii="Times New Roman" w:cs="Times New Roman" w:eastAsia="Times New Roman" w:hAnsi="Times New Roman"/>
          <w:sz w:val="18"/>
          <w:szCs w:val="18"/>
          <w:color w:val="auto"/>
        </w:rPr>
      </w:pPr>
    </w:p>
    <w:p>
      <w:pPr>
        <w:ind w:left="860" w:right="320" w:hanging="316"/>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fiscal 2019 revenue guidance incorporates an expected negative impact from foreign currency fluctuations of about 1.0% year-over-year</w:t>
      </w:r>
    </w:p>
    <w:p>
      <w:pPr>
        <w:spacing w:after="0" w:line="67"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earnings per share growth of roughly 29.0%-38.0% year-over-year</w:t>
      </w:r>
    </w:p>
    <w:p>
      <w:pPr>
        <w:spacing w:after="0" w:line="130" w:lineRule="exact"/>
        <w:rPr>
          <w:rFonts w:ascii="Times New Roman" w:cs="Times New Roman" w:eastAsia="Times New Roman" w:hAnsi="Times New Roman"/>
          <w:sz w:val="18"/>
          <w:szCs w:val="18"/>
          <w:color w:val="auto"/>
        </w:rPr>
      </w:pPr>
    </w:p>
    <w:p>
      <w:pPr>
        <w:jc w:val="both"/>
        <w:ind w:left="860" w:right="120" w:hanging="316"/>
        <w:spacing w:after="0" w:line="266"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earnings per share growth of roughly 3.0%-7.0% year-over-year, excluding amortization of purchased intangible assets and other acquisition-related costs, changes in certain acquisitions related liabilities measured at fair value, and approximately $0.22-$0.30 per share of equity-based compensation expense, net of related tax effects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first fiscal quarter 2019 and full year fiscal 2019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T-Mobile’s proposed merger with Sprint, or from other current and potential customer consolidation activity.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Amdocs will host a conference call on November 8, 2018 at 5:00 p.m. Eastern Time to discuss the Company’s fourth quarter of fiscal 2018 results. To participate, please dial +1 (844) 513-7152, or +1 (508) 637-5600 outside the United States, approximately 15 minutes before the call and enter passcode 4072429. The call will also be carried live on the Internet via the Amdocs website, www.amdocs.com.</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These non-GAAP measures exclude the following items:</w:t>
      </w:r>
    </w:p>
    <w:p>
      <w:pPr>
        <w:spacing w:after="0" w:line="86" w:lineRule="exact"/>
        <w:rPr>
          <w:sz w:val="20"/>
          <w:szCs w:val="20"/>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purchased intangible assets and other acquisition-related costs;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certain acquisition-related liabilities measured at fair value;</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and unusual charges;</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 and</w:t>
      </w:r>
    </w:p>
    <w:p>
      <w:pPr>
        <w:spacing w:after="0" w:line="130" w:lineRule="exact"/>
        <w:rPr>
          <w:rFonts w:ascii="Times New Roman" w:cs="Times New Roman" w:eastAsia="Times New Roman" w:hAnsi="Times New Roman"/>
          <w:sz w:val="18"/>
          <w:szCs w:val="18"/>
          <w:color w:val="auto"/>
        </w:rPr>
      </w:pPr>
    </w:p>
    <w:p>
      <w:pPr>
        <w:ind w:left="860" w:hanging="31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related to the above.</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its internal budgeting process and in monitoring the results of the business, Amdocs’ management uses financial statements that do not include amortization of purchased intangible assets and other acquisition-related costs, nonrecurring restructuring charges, nonrecurring and unusual charges related to a loss incurred to settle a previously disclosed long-running legal dispute, changes in certain acquisition-related liabilities measured at fair value,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10960"/>
          </w:cols>
          <w:pgMar w:left="440" w:top="266" w:right="499" w:bottom="1440" w:gutter="0" w:footer="0" w:header="0"/>
        </w:sectPr>
      </w:pPr>
    </w:p>
    <w:bookmarkStart w:id="8" w:name="page9"/>
    <w:bookmarkEnd w:id="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Resources</w:t>
      </w:r>
    </w:p>
    <w:p>
      <w:pPr>
        <w:spacing w:after="0" w:line="135" w:lineRule="exact"/>
        <w:rPr>
          <w:sz w:val="20"/>
          <w:szCs w:val="20"/>
          <w:color w:val="auto"/>
        </w:rPr>
      </w:pPr>
    </w:p>
    <w:p>
      <w:pPr>
        <w:ind w:left="440" w:hanging="328"/>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Keep up with Amdocs news by visiting the Company’s </w:t>
      </w:r>
      <w:r>
        <w:rPr>
          <w:rFonts w:ascii="Times New Roman" w:cs="Times New Roman" w:eastAsia="Times New Roman" w:hAnsi="Times New Roman"/>
          <w:sz w:val="18"/>
          <w:szCs w:val="18"/>
          <w:u w:val="single" w:color="auto"/>
          <w:color w:val="auto"/>
        </w:rPr>
        <w:t>website</w:t>
      </w:r>
    </w:p>
    <w:p>
      <w:pPr>
        <w:spacing w:after="0" w:line="130" w:lineRule="exact"/>
        <w:rPr>
          <w:rFonts w:ascii="Times New Roman" w:cs="Times New Roman" w:eastAsia="Times New Roman" w:hAnsi="Times New Roman"/>
          <w:sz w:val="18"/>
          <w:szCs w:val="18"/>
          <w:color w:val="auto"/>
        </w:rPr>
      </w:pPr>
    </w:p>
    <w:p>
      <w:pPr>
        <w:ind w:left="440" w:hanging="328"/>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 to Amdocs’ </w:t>
      </w:r>
      <w:r>
        <w:rPr>
          <w:rFonts w:ascii="Times New Roman" w:cs="Times New Roman" w:eastAsia="Times New Roman" w:hAnsi="Times New Roman"/>
          <w:sz w:val="18"/>
          <w:szCs w:val="18"/>
          <w:u w:val="single" w:color="auto"/>
          <w:color w:val="auto"/>
        </w:rPr>
        <w:t>RSS Feed</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Amdocs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Amdocs is a leading software and services provider to communications and media companies of all sizes, accelerating the industry’s dynamic and continuous digital transformation. With a rich set of innovative solutions, long-term business relationships with 350 communications and media providers, and technology and distribution ties to 600 content creators, Amdocs delivers business improvements to drive growth. Amdocs and its 25,000 employees serve customers in over 85 countries. Listed on the NASDAQ Global Select Market, Amdocs had revenue of $4.0 billion in fiscal 2018. For more information, visit Amdocs at www.amdocs.com.</w:t>
      </w:r>
    </w:p>
    <w:p>
      <w:pPr>
        <w:sectPr>
          <w:pgSz w:w="11900" w:h="16838" w:orient="portrait"/>
          <w:cols w:equalWidth="0" w:num="1">
            <w:col w:w="10980"/>
          </w:cols>
          <w:pgMar w:left="440" w:top="27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more information, visit Amdocs at </w:t>
      </w:r>
      <w:r>
        <w:rPr>
          <w:rFonts w:ascii="Times New Roman" w:cs="Times New Roman" w:eastAsia="Times New Roman" w:hAnsi="Times New Roman"/>
          <w:sz w:val="18"/>
          <w:szCs w:val="18"/>
          <w:u w:val="single" w:color="auto"/>
          <w:color w:val="auto"/>
        </w:rPr>
        <w:t>www.amdocs.com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includes information that constitutes forward-looking statements made pursuant to the safe harbor provision of the Private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Reform Act of 1995, including statements about Amdocs’ growth and business results in future quarters. Although we believe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expectations reflected in such forward-looking statements are based upon reasonable assumptions, we can give no assurance that our expectations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obtained or that any deviations will not be material. Such statements involve risks and uncertainties that may cause future results to differ from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These risks include, but are not limited to, the effects of general economic conditions, Amdocs’ ability to grow in the business markets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serves, Amdocs’ ability to successfully integrate acquired businesses, adverse effects of market competition, rapid technological shifts that may render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products and services obsolete, potential loss of a major customer, our ability to develop long-term relationships with our customers,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associated with operating businesses in the international market. Amdocs may elect to update these forward-looking statements at some point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however, Amdocs specifically disclaims any obligation to do so. These and other risks are discussed at greater length in Amdocs’ filings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including in our Annual Report on Form 20-F for the fiscal year ended September 30, 2017 filed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2017 and our Form 6-K furnished for the first quarter of fiscal 2018 on February 12, 2018, the second quarter of fiscal 2018 on May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and for the third quarter of fiscal 2018 on August 15, 2018.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314-212-8328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dox_info@amdocs.com</w:t>
      </w:r>
    </w:p>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1,002,588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979,724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3,974,837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3,867,155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636,445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2,595,276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2,507,656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120,237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847,677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3,546,530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3,349,822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132,047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129,705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107,209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144,764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146,141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66" w:right="4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Financial Metrics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1,002,588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979,724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3,974,837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3,867,155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168,197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137,419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579,593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560,590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146,141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60" w:type="dxa"/>
            <w:vAlign w:val="bottom"/>
            <w:shd w:val="clear" w:color="auto" w:fill="CCEEFF"/>
          </w:tcPr>
          <w:p>
            <w:pPr>
              <w:spacing w:after="0"/>
              <w:rPr>
                <w:sz w:val="18"/>
                <w:szCs w:val="18"/>
                <w:color w:val="auto"/>
              </w:rPr>
            </w:pPr>
          </w:p>
        </w:tc>
      </w:tr>
    </w:tbl>
    <w:p>
      <w:pPr>
        <w:sectPr>
          <w:pgSz w:w="11900" w:h="16838" w:orient="portrait"/>
          <w:cols w:equalWidth="0" w:num="1">
            <w:col w:w="11040"/>
          </w:cols>
          <w:pgMar w:left="440" w:top="266" w:right="4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7"/>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7"/>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Changes in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certain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5"/>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purchased</w:t>
            </w:r>
          </w:p>
        </w:tc>
        <w:tc>
          <w:tcPr>
            <w:tcW w:w="100" w:type="dxa"/>
            <w:vAlign w:val="bottom"/>
          </w:tcPr>
          <w:p>
            <w:pPr>
              <w:spacing w:after="0"/>
              <w:rPr>
                <w:sz w:val="12"/>
                <w:szCs w:val="12"/>
                <w:color w:val="auto"/>
              </w:rPr>
            </w:pPr>
          </w:p>
        </w:tc>
        <w:tc>
          <w:tcPr>
            <w:tcW w:w="9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Equity based</w:t>
            </w:r>
          </w:p>
        </w:tc>
        <w:tc>
          <w:tcPr>
            <w:tcW w:w="14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0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measured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GAAP</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assets and</w:t>
            </w:r>
          </w:p>
        </w:tc>
        <w:tc>
          <w:tcPr>
            <w:tcW w:w="106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 fair</w:t>
            </w:r>
          </w:p>
        </w:tc>
        <w:tc>
          <w:tcPr>
            <w:tcW w:w="200" w:type="dxa"/>
            <w:vAlign w:val="bottom"/>
          </w:tcPr>
          <w:p>
            <w:pPr>
              <w:spacing w:after="0"/>
              <w:rPr>
                <w:sz w:val="12"/>
                <w:szCs w:val="12"/>
                <w:color w:val="auto"/>
              </w:rPr>
            </w:pPr>
          </w:p>
        </w:tc>
        <w:tc>
          <w:tcPr>
            <w:tcW w:w="780" w:type="dxa"/>
            <w:vAlign w:val="bottom"/>
            <w:gridSpan w:val="4"/>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recurring</w:t>
            </w:r>
          </w:p>
        </w:tc>
        <w:tc>
          <w:tcPr>
            <w:tcW w:w="80" w:type="dxa"/>
            <w:vAlign w:val="bottom"/>
          </w:tcPr>
          <w:p>
            <w:pPr>
              <w:spacing w:after="0"/>
              <w:rPr>
                <w:sz w:val="12"/>
                <w:szCs w:val="12"/>
                <w:color w:val="auto"/>
              </w:rPr>
            </w:pPr>
          </w:p>
        </w:tc>
        <w:tc>
          <w:tcPr>
            <w:tcW w:w="8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5"/>
                <w:szCs w:val="15"/>
                <w:color w:val="auto"/>
              </w:rPr>
            </w:pPr>
          </w:p>
        </w:tc>
        <w:tc>
          <w:tcPr>
            <w:tcW w:w="8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charges</w:t>
            </w:r>
          </w:p>
        </w:tc>
        <w:tc>
          <w:tcPr>
            <w:tcW w:w="80" w:type="dxa"/>
            <w:vAlign w:val="bottom"/>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654,923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(3,752)</w:t>
            </w:r>
          </w:p>
        </w:tc>
        <w:tc>
          <w:tcPr>
            <w:tcW w:w="38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(8,658)</w:t>
            </w:r>
          </w:p>
        </w:tc>
        <w:tc>
          <w:tcPr>
            <w:tcW w:w="30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$ 642,513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125,830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(8,331)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Amortization of purchased intangible assets and</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(27,233)</w:t>
            </w: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Non-recurring charges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(55,000)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933,769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(27,233)</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(8,658)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68,819</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(7,822</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$ 140,230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9"/>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5"/>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380" w:type="dxa"/>
            <w:vAlign w:val="bottom"/>
          </w:tcPr>
          <w:p>
            <w:pPr>
              <w:spacing w:after="0"/>
              <w:rPr>
                <w:sz w:val="10"/>
                <w:szCs w:val="10"/>
                <w:color w:val="auto"/>
              </w:rPr>
            </w:pPr>
          </w:p>
        </w:tc>
        <w:tc>
          <w:tcPr>
            <w:tcW w:w="1160" w:type="dxa"/>
            <w:vAlign w:val="bottom"/>
            <w:gridSpan w:val="7"/>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2"/>
                <w:szCs w:val="12"/>
                <w:color w:val="auto"/>
              </w:rPr>
            </w:pPr>
          </w:p>
        </w:tc>
        <w:tc>
          <w:tcPr>
            <w:tcW w:w="116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6"/>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intangible assets</w:t>
            </w:r>
          </w:p>
        </w:tc>
        <w:tc>
          <w:tcPr>
            <w:tcW w:w="1540" w:type="dxa"/>
            <w:vAlign w:val="bottom"/>
            <w:gridSpan w:val="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40" w:type="dxa"/>
            <w:vAlign w:val="bottom"/>
            <w:gridSpan w:val="6"/>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$636,445</w:t>
            </w:r>
          </w:p>
        </w:tc>
        <w:tc>
          <w:tcPr>
            <w:tcW w:w="80" w:type="dxa"/>
            <w:vAlign w:val="bottom"/>
          </w:tcPr>
          <w:p>
            <w:pPr>
              <w:spacing w:after="0"/>
              <w:rPr>
                <w:sz w:val="18"/>
                <w:szCs w:val="18"/>
                <w:color w:val="auto"/>
              </w:rPr>
            </w:pPr>
          </w:p>
        </w:tc>
        <w:tc>
          <w:tcPr>
            <w:tcW w:w="36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(4,481)</w:t>
            </w:r>
          </w:p>
        </w:tc>
        <w:tc>
          <w:tcPr>
            <w:tcW w:w="1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$ 631,964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120,237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(26,309)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847,677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107,209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(5,940)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66" w:right="41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gridSpan w:val="8"/>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8"/>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8"/>
          </w:tcPr>
          <w:p>
            <w:pPr>
              <w:jc w:val="center"/>
              <w:ind w:left="19"/>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4"/>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Changes in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certain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6"/>
            <w:vMerge w:val="restart"/>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5"/>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of purchased</w:t>
            </w:r>
          </w:p>
        </w:tc>
        <w:tc>
          <w:tcPr>
            <w:tcW w:w="160" w:type="dxa"/>
            <w:vAlign w:val="bottom"/>
          </w:tcPr>
          <w:p>
            <w:pPr>
              <w:spacing w:after="0"/>
              <w:rPr>
                <w:sz w:val="12"/>
                <w:szCs w:val="12"/>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assets and</w:t>
            </w:r>
          </w:p>
        </w:tc>
        <w:tc>
          <w:tcPr>
            <w:tcW w:w="1000" w:type="dxa"/>
            <w:vAlign w:val="bottom"/>
            <w:gridSpan w:val="4"/>
          </w:tcPr>
          <w:p>
            <w:pPr>
              <w:jc w:val="center"/>
              <w:ind w:left="7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 fair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recurring</w:t>
            </w:r>
          </w:p>
        </w:tc>
        <w:tc>
          <w:tcPr>
            <w:tcW w:w="120" w:type="dxa"/>
            <w:vAlign w:val="bottom"/>
          </w:tcPr>
          <w:p>
            <w:pPr>
              <w:spacing w:after="0"/>
              <w:rPr>
                <w:sz w:val="12"/>
                <w:szCs w:val="12"/>
                <w:color w:val="auto"/>
              </w:rPr>
            </w:pPr>
          </w:p>
        </w:tc>
        <w:tc>
          <w:tcPr>
            <w:tcW w:w="84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$2,595,276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(18,253)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(17,692)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$2,559,331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(3,477)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481,093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(25,746)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other</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(108,489)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Non-recurring charges</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(108,489)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(47,476)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(85,057)</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3,287,816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428,307</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108,489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354,396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108,489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$ 85,057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(33,517</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10"/>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10"/>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Changes 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certain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6"/>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40" w:type="dxa"/>
            <w:vAlign w:val="bottom"/>
          </w:tcPr>
          <w:p>
            <w:pPr>
              <w:spacing w:after="0"/>
              <w:rPr>
                <w:sz w:val="12"/>
                <w:szCs w:val="12"/>
                <w:color w:val="auto"/>
              </w:rPr>
            </w:pPr>
          </w:p>
        </w:tc>
        <w:tc>
          <w:tcPr>
            <w:tcW w:w="94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5"/>
          </w:tcPr>
          <w:p>
            <w:pPr>
              <w:jc w:val="center"/>
              <w:ind w:right="3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purchased</w:t>
            </w:r>
          </w:p>
        </w:tc>
        <w:tc>
          <w:tcPr>
            <w:tcW w:w="20" w:type="dxa"/>
            <w:vAlign w:val="bottom"/>
          </w:tcPr>
          <w:p>
            <w:pPr>
              <w:spacing w:after="0"/>
              <w:rPr>
                <w:sz w:val="12"/>
                <w:szCs w:val="12"/>
                <w:color w:val="auto"/>
              </w:rPr>
            </w:pPr>
          </w:p>
        </w:tc>
        <w:tc>
          <w:tcPr>
            <w:tcW w:w="112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540" w:type="dxa"/>
            <w:vAlign w:val="bottom"/>
            <w:gridSpan w:val="7"/>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intangible assets</w:t>
            </w:r>
          </w:p>
        </w:tc>
        <w:tc>
          <w:tcPr>
            <w:tcW w:w="1140" w:type="dxa"/>
            <w:vAlign w:val="bottom"/>
            <w:gridSpan w:val="7"/>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at fair</w:t>
            </w:r>
          </w:p>
        </w:tc>
        <w:tc>
          <w:tcPr>
            <w:tcW w:w="12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5"/>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$2,507,656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(19,215)</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20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$2,495,132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(3,536)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472,778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(21,788)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(110,291)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gridSpan w:val="2"/>
          </w:tcPr>
          <w:p>
            <w:pPr>
              <w:spacing w:after="0"/>
              <w:rPr>
                <w:sz w:val="20"/>
                <w:szCs w:val="20"/>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3,349,822</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(110,291)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(44,539)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3,201,683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76,086</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20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(24,375)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66" w:right="41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8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interest-bearing investments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519,216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including unbilled of $263,997 and $229,695,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229,999</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1,720,717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2,048,486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496,585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2,710,144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2,398,535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420,369</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476,674</w:t>
            </w:r>
          </w:p>
        </w:tc>
        <w:tc>
          <w:tcPr>
            <w:tcW w:w="60" w:type="dxa"/>
            <w:vAlign w:val="bottom"/>
            <w:shd w:val="clear" w:color="auto" w:fill="CCEEFF"/>
          </w:tcPr>
          <w:p>
            <w:pPr>
              <w:spacing w:after="0"/>
              <w:rPr>
                <w:sz w:val="18"/>
                <w:szCs w:val="18"/>
                <w:color w:val="auto"/>
              </w:rPr>
            </w:pPr>
          </w:p>
        </w:tc>
      </w:tr>
      <w:tr>
        <w:trPr>
          <w:trHeight w:val="223"/>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5,347,815</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5,279,380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accruals and other</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1,162,543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1,059,855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132,414</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113,091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560,816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Amdocs Limited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3,448,879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3,574,070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3,492,042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3,574,070</w:t>
            </w:r>
          </w:p>
        </w:tc>
        <w:tc>
          <w:tcPr>
            <w:tcW w:w="60" w:type="dxa"/>
            <w:vAlign w:val="bottom"/>
            <w:shd w:val="clear" w:color="auto" w:fill="CCEEFF"/>
          </w:tcPr>
          <w:p>
            <w:pPr>
              <w:spacing w:after="0"/>
              <w:rPr>
                <w:sz w:val="18"/>
                <w:szCs w:val="18"/>
                <w:color w:val="auto"/>
              </w:rPr>
            </w:pPr>
          </w:p>
        </w:tc>
      </w:tr>
      <w:tr>
        <w:trPr>
          <w:trHeight w:val="223"/>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5,347,815</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5,279,380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40"/>
          </w:cols>
          <w:pgMar w:left="440" w:top="266" w:right="41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6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354,396</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 from equity-based compensation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(4,666)</w:t>
            </w: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(67,198)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(41,075)</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(52,667)</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(50,230)</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(15,145)</w:t>
            </w:r>
          </w:p>
        </w:tc>
      </w:tr>
      <w:tr>
        <w:trPr>
          <w:trHeight w:val="223"/>
        </w:trPr>
        <w:tc>
          <w:tcPr>
            <w:tcW w:w="20" w:type="dxa"/>
            <w:vAlign w:val="bottom"/>
          </w:tcPr>
          <w:p>
            <w:pPr>
              <w:spacing w:after="0"/>
              <w:rPr>
                <w:sz w:val="19"/>
                <w:szCs w:val="19"/>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636,112</w:t>
            </w:r>
          </w:p>
        </w:tc>
        <w:tc>
          <w:tcPr>
            <w:tcW w:w="120" w:type="dxa"/>
            <w:vAlign w:val="bottom"/>
            <w:shd w:val="clear" w:color="auto" w:fill="CCEEFF"/>
          </w:tcPr>
          <w:p>
            <w:pPr>
              <w:spacing w:after="0"/>
              <w:rPr>
                <w:sz w:val="18"/>
                <w:szCs w:val="18"/>
                <w:color w:val="auto"/>
              </w:rPr>
            </w:pPr>
          </w:p>
        </w:tc>
      </w:tr>
      <w:tr>
        <w:trPr>
          <w:trHeight w:val="223"/>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(231,146)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(133,392)</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(281,983)</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 for acquisitions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(355,142)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(18,064)</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(29,940)</w:t>
            </w:r>
          </w:p>
        </w:tc>
      </w:tr>
      <w:tr>
        <w:trPr>
          <w:trHeight w:val="23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(362,392)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financing arrangements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under financing arrangements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(419,228)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(340,597)</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options exercised</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(134,292)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(121,503)</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by noncontrolling interests, net</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from equity-based compensation and other</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7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(425,685)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(569,848)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(230,828)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(119,049)</w:t>
            </w: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768,660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9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418,783</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649,611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40"/>
          </w:cols>
          <w:pgMar w:left="440" w:top="266" w:right="41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Supplementary Information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0"/>
                <w:szCs w:val="10"/>
                <w:color w:val="auto"/>
              </w:rPr>
            </w:pPr>
          </w:p>
        </w:tc>
        <w:tc>
          <w:tcPr>
            <w:tcW w:w="6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4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60" w:type="dxa"/>
            <w:vAlign w:val="bottom"/>
            <w:shd w:val="clear" w:color="auto" w:fill="CCEEFF"/>
          </w:tcPr>
          <w:p>
            <w:pPr>
              <w:spacing w:after="0"/>
              <w:rPr>
                <w:sz w:val="18"/>
                <w:szCs w:val="18"/>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1,002.2</w:t>
            </w:r>
          </w:p>
        </w:tc>
        <w:tc>
          <w:tcPr>
            <w:tcW w:w="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4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4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440" w:top="266" w:right="4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Services Revenue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 Experience Systems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12-Month Backlog</w:t>
      </w:r>
    </w:p>
    <w:p>
      <w:pPr>
        <w:spacing w:after="0" w:line="20" w:lineRule="exact"/>
        <w:rPr>
          <w:sz w:val="20"/>
          <w:szCs w:val="20"/>
          <w:color w:val="auto"/>
        </w:rPr>
      </w:pPr>
      <w:r>
        <w:rPr>
          <w:sz w:val="20"/>
          <w:szCs w:val="20"/>
          <w:color w:val="auto"/>
        </w:rPr>
        <w:br w:type="column"/>
      </w:r>
    </w:p>
    <w:p>
      <w:pPr>
        <w:ind w:left="2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117"/>
        </w:trPr>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40" w:type="dxa"/>
            <w:vAlign w:val="bottom"/>
            <w:tcBorders>
              <w:top w:val="single" w:sz="8" w:color="auto"/>
            </w:tcBorders>
            <w:gridSpan w:val="3"/>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60" w:type="dxa"/>
            <w:vAlign w:val="bottom"/>
            <w:tcBorders>
              <w:top w:val="single" w:sz="8" w:color="auto"/>
            </w:tcBorders>
            <w:gridSpan w:val="3"/>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00" w:type="dxa"/>
            <w:vAlign w:val="bottom"/>
            <w:tcBorders>
              <w:top w:val="single" w:sz="8" w:color="auto"/>
            </w:tcBorders>
            <w:gridSpan w:val="3"/>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w:t>
            </w:r>
          </w:p>
        </w:tc>
      </w:tr>
      <w:tr>
        <w:trPr>
          <w:trHeight w:val="372"/>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0"/>
                <w:szCs w:val="10"/>
                <w:color w:val="auto"/>
              </w:rPr>
            </w:pPr>
          </w:p>
        </w:tc>
        <w:tc>
          <w:tcPr>
            <w:tcW w:w="6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40" w:type="dxa"/>
            <w:vAlign w:val="bottom"/>
            <w:gridSpan w:val="3"/>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60" w:type="dxa"/>
            <w:vAlign w:val="bottom"/>
            <w:gridSpan w:val="3"/>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00" w:type="dxa"/>
            <w:vAlign w:val="bottom"/>
            <w:gridSpan w:val="3"/>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1"/>
        </w:trPr>
        <w:tc>
          <w:tcPr>
            <w:tcW w:w="2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992.5</w:t>
            </w:r>
          </w:p>
        </w:tc>
        <w:tc>
          <w:tcPr>
            <w:tcW w:w="40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991.0</w:t>
            </w:r>
          </w:p>
        </w:tc>
        <w:tc>
          <w:tcPr>
            <w:tcW w:w="400" w:type="dxa"/>
            <w:vAlign w:val="bottom"/>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980.7</w:t>
            </w:r>
          </w:p>
        </w:tc>
        <w:tc>
          <w:tcPr>
            <w:tcW w:w="42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965.9</w:t>
            </w:r>
          </w:p>
        </w:tc>
        <w:tc>
          <w:tcPr>
            <w:tcW w:w="42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967.7</w:t>
            </w: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40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1,002.2</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0"/>
                <w:szCs w:val="10"/>
                <w:color w:val="auto"/>
              </w:rPr>
            </w:pPr>
          </w:p>
        </w:tc>
        <w:tc>
          <w:tcPr>
            <w:tcW w:w="6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40" w:type="dxa"/>
            <w:vAlign w:val="bottom"/>
            <w:gridSpan w:val="3"/>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60" w:type="dxa"/>
            <w:vAlign w:val="bottom"/>
            <w:gridSpan w:val="3"/>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00" w:type="dxa"/>
            <w:vAlign w:val="bottom"/>
            <w:gridSpan w:val="3"/>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-1645920</wp:posOffset>
            </wp:positionV>
            <wp:extent cx="699770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-1054100</wp:posOffset>
            </wp:positionV>
            <wp:extent cx="699770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-753745</wp:posOffset>
            </wp:positionV>
            <wp:extent cx="699770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-153670</wp:posOffset>
            </wp:positionV>
            <wp:extent cx="699770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sectPr>
      <w:pgSz w:w="11900" w:h="16838" w:orient="portrait"/>
      <w:cols w:equalWidth="0" w:num="2">
        <w:col w:w="4620" w:space="720"/>
        <w:col w:w="5700"/>
      </w:cols>
      <w:pgMar w:left="440" w:top="266"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2019-12-06T12:19:05Z</dcterms:created>
  <dcterms:modified xsi:type="dcterms:W3CDTF">2019-12-06T12:19:05Z</dcterms:modified>
</cp:coreProperties>
</file>