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4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254000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JANUARY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annual general meeting of shareholders of Amdocs Limited will be held at 4:00 p.m., local time, on Thursday, January 31, 2019, at the offices of Davis Polk &amp; Wardwell LLP, 450 Lexington Avenue, New York, New York, for the following purposes:</w:t>
      </w:r>
    </w:p>
    <w:p>
      <w:pPr>
        <w:spacing w:after="0" w:line="62" w:lineRule="exact"/>
        <w:rPr>
          <w:sz w:val="20"/>
          <w:szCs w:val="20"/>
          <w:color w:val="auto"/>
        </w:rPr>
      </w:pPr>
    </w:p>
    <w:p>
      <w:pPr>
        <w:ind w:left="440" w:right="120" w:firstLine="428"/>
        <w:spacing w:after="0" w:line="264" w:lineRule="auto"/>
        <w:tabs>
          <w:tab w:leader="none" w:pos="11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Ariane de Rothschild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Giora Yaron</w:t>
      </w:r>
    </w:p>
    <w:p>
      <w:pPr>
        <w:spacing w:after="0" w:line="103" w:lineRule="exact"/>
        <w:rPr>
          <w:sz w:val="20"/>
          <w:szCs w:val="20"/>
          <w:color w:val="auto"/>
        </w:rPr>
      </w:pPr>
    </w:p>
    <w:p>
      <w:pPr>
        <w:ind w:left="440" w:right="640" w:firstLine="428"/>
        <w:spacing w:after="0" w:line="277" w:lineRule="auto"/>
        <w:tabs>
          <w:tab w:leader="none" w:pos="1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increase in the dividend rate under our quarterly cash dividend program from $0.25 per share to $0.285 per share (Proposal II);</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2018 (Proposal III); and</w:t>
      </w:r>
    </w:p>
    <w:p>
      <w:pPr>
        <w:spacing w:after="0" w:line="117" w:lineRule="exact"/>
        <w:rPr>
          <w:rFonts w:ascii="Arial" w:cs="Arial" w:eastAsia="Arial" w:hAnsi="Arial"/>
          <w:sz w:val="18"/>
          <w:szCs w:val="18"/>
          <w:color w:val="auto"/>
        </w:rPr>
      </w:pPr>
    </w:p>
    <w:p>
      <w:pPr>
        <w:ind w:left="440" w:right="240" w:firstLine="428"/>
        <w:spacing w:after="0" w:line="312" w:lineRule="auto"/>
        <w:tabs>
          <w:tab w:leader="none" w:pos="1175"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Board of Directors has fixed the close of business on December 3, 2018 as the record date for the determination of our shareholders entitled to notice of, and to vote on the matters proposed at, the annual general meeting and any adjournments thereof.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E. Smith</w:t>
      </w:r>
    </w:p>
    <w:p>
      <w:pPr>
        <w:spacing w:after="0" w:line="23"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w:t>
      </w:r>
    </w:p>
    <w:p>
      <w:pPr>
        <w:spacing w:after="0" w:line="22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217805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 w:firstLine="444"/>
        <w:spacing w:after="0" w:line="259" w:lineRule="auto"/>
        <w:tabs>
          <w:tab w:leader="none" w:pos="74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2018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186" w:lineRule="exact"/>
        <w:rPr>
          <w:rFonts w:ascii="Arial" w:cs="Arial" w:eastAsia="Arial" w:hAnsi="Arial"/>
          <w:sz w:val="18"/>
          <w:szCs w:val="18"/>
          <w:color w:val="auto"/>
        </w:rPr>
      </w:pPr>
    </w:p>
    <w:p>
      <w:pPr>
        <w:ind w:right="240" w:firstLine="444"/>
        <w:spacing w:after="0" w:line="264" w:lineRule="auto"/>
        <w:tabs>
          <w:tab w:leader="none" w:pos="756"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81" w:lineRule="exact"/>
        <w:rPr>
          <w:rFonts w:ascii="Arial" w:cs="Arial" w:eastAsia="Arial" w:hAnsi="Arial"/>
          <w:sz w:val="18"/>
          <w:szCs w:val="18"/>
          <w:color w:val="auto"/>
        </w:rPr>
      </w:pPr>
    </w:p>
    <w:p>
      <w:pPr>
        <w:ind w:firstLine="444"/>
        <w:spacing w:after="0" w:line="255" w:lineRule="auto"/>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93" w:lineRule="exact"/>
        <w:rPr>
          <w:rFonts w:ascii="Arial" w:cs="Arial" w:eastAsia="Arial" w:hAnsi="Arial"/>
          <w:sz w:val="18"/>
          <w:szCs w:val="18"/>
          <w:color w:val="auto"/>
        </w:rPr>
      </w:pPr>
    </w:p>
    <w:p>
      <w:pPr>
        <w:ind w:left="760" w:hanging="3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0980"/>
          </w:cols>
          <w:pgMar w:left="440" w:top="270" w:right="4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THURSDAY, JANUARY 31, 2019</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70"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4:00 p.m., local time, on Thursday, January 31, 2019, at the offices of Davis Polk &amp; Wardwell LLP, 450 Lexington Avenue, New York, New York, or at any adjournments thereof (the “General Meeting”).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Proxy Statement and the accompanying proxy are first being mailed or delivered to our shareholders on or about December 20, 2018.</w:t>
      </w:r>
    </w:p>
    <w:p>
      <w:pPr>
        <w:spacing w:after="0" w:line="23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At the General Meeting, the holders of our ordinary shares as of the close of business on December 3, 2018 (the “Record Date”) will be asked to take the following actions:</w:t>
      </w:r>
    </w:p>
    <w:p>
      <w:pPr>
        <w:spacing w:after="0" w:line="62" w:lineRule="exact"/>
        <w:rPr>
          <w:sz w:val="20"/>
          <w:szCs w:val="20"/>
          <w:color w:val="auto"/>
        </w:rPr>
      </w:pPr>
    </w:p>
    <w:p>
      <w:pPr>
        <w:ind w:left="440" w:right="740" w:firstLine="428"/>
        <w:spacing w:after="0" w:line="277" w:lineRule="auto"/>
        <w:tabs>
          <w:tab w:leader="none" w:pos="1178"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10 directors to serve until the next annual general meeting of shareholders or until their earlier resignation or removal or successors are elected and qualified (Proposal I);</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$0.25 per share to $0.285 per share (Proposal</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II);</w:t>
      </w:r>
    </w:p>
    <w:p>
      <w:pPr>
        <w:spacing w:after="0" w:line="102" w:lineRule="exact"/>
        <w:rPr>
          <w:rFonts w:ascii="Arial" w:cs="Arial" w:eastAsia="Arial" w:hAnsi="Arial"/>
          <w:sz w:val="16"/>
          <w:szCs w:val="16"/>
          <w:color w:val="auto"/>
        </w:rPr>
      </w:pPr>
    </w:p>
    <w:p>
      <w:pPr>
        <w:ind w:left="1180" w:hanging="31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2018 (Proposal III); and</w:t>
      </w:r>
    </w:p>
    <w:p>
      <w:pPr>
        <w:spacing w:after="0" w:line="117" w:lineRule="exact"/>
        <w:rPr>
          <w:rFonts w:ascii="Arial" w:cs="Arial" w:eastAsia="Arial" w:hAnsi="Arial"/>
          <w:sz w:val="18"/>
          <w:szCs w:val="18"/>
          <w:color w:val="auto"/>
        </w:rPr>
      </w:pPr>
    </w:p>
    <w:p>
      <w:pPr>
        <w:jc w:val="both"/>
        <w:ind w:left="440" w:right="300" w:firstLine="428"/>
        <w:spacing w:after="0" w:line="312" w:lineRule="auto"/>
        <w:tabs>
          <w:tab w:leader="none" w:pos="1178"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4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As of the Record Date, Amdocs had outstanding 139,575,585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Approval of Proposals I, II, III and IV requires the affirmative vote of a majority of our ordinary shares voted in person or by proxy at the General Meeting.</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for each of the director nominees named in Proposal I and with respect</w:t>
      </w:r>
    </w:p>
    <w:p>
      <w:pPr>
        <w:sectPr>
          <w:pgSz w:w="11900" w:h="16838" w:orient="portrait"/>
          <w:cols w:equalWidth="0" w:num="1">
            <w:col w:w="10980"/>
          </w:cols>
          <w:pgMar w:left="440" w:top="270" w:right="479" w:bottom="1440" w:gutter="0" w:footer="0" w:header="0"/>
        </w:sectPr>
      </w:pPr>
    </w:p>
    <w:bookmarkStart w:id="4" w:name="page5"/>
    <w:bookmarkEnd w:id="4"/>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of Proposals II, III and IV.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8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6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31, 2019. We strongly encourage our shareholders to use the enclosed proxy card or to authorize the voting of their shares over the Internet or by telephone as provided in the instructions set forth in the enclosed proxy card.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860" w:right="12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92" w:lineRule="exact"/>
        <w:rPr>
          <w:rFonts w:ascii="Arial" w:cs="Arial" w:eastAsia="Arial" w:hAnsi="Arial"/>
          <w:sz w:val="18"/>
          <w:szCs w:val="18"/>
          <w:color w:val="auto"/>
        </w:rPr>
      </w:pPr>
    </w:p>
    <w:p>
      <w:pPr>
        <w:ind w:left="860" w:right="70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JANUARY 31, 2019</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proxy statement and the 2018 Annual Report to Shareholders are available for viewing, printing and downloading at www.amdocs.com/proxy.</w:t>
      </w:r>
    </w:p>
    <w:p>
      <w:pPr>
        <w:spacing w:after="0" w:line="16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2018 by contacting our investor relations department by telephone at (314) 212-8328 or by e-mail at dox_info@amdocs.com.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Eleven directors currently serve on our Board of Directors. As set forth below, the Board of Directors has nominated 10 individuals as nominees for election as directors at the General Meeting, nine of whom are incumbent directors and one of whom is a new nominee. Each director elected at the General Meeting will serve until the next annual general meeting of shareholders or until his or her earlier resignation or removal or a successor is elected and qualified.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Julian A. Brodsky was granted a waiver to continue as director past the age of 73 years for an additional year in light of Mr. Brodsky’s vast experience in the Multiple System Operators (“MSO”) market which is in the midst of a major modernization cycle.</w:t>
      </w:r>
    </w:p>
    <w:p>
      <w:pPr>
        <w:spacing w:after="0" w:line="19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8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000"/>
          </w:cols>
          <w:pgMar w:left="440" w:top="270"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260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Julian A. Brodsky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-1270</wp:posOffset>
            </wp:positionV>
            <wp:extent cx="4939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ind w:left="500" w:right="20" w:hanging="445"/>
        <w:spacing w:after="0" w:line="267"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Mr.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73" w:lineRule="exact"/>
        <w:rPr>
          <w:sz w:val="20"/>
          <w:szCs w:val="20"/>
          <w:color w:val="auto"/>
        </w:rPr>
      </w:pPr>
    </w:p>
    <w:p>
      <w:pPr>
        <w:ind w:left="500" w:right="80" w:hanging="445"/>
        <w:spacing w:after="0" w:line="297"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Ventures (formerly Comcast Interactive Capital, LP), a venture fund affiliated with Comcast. He is a director of RBB Fund, Inc. Mr. Brodsky brings to our Board of Directors</w:t>
      </w:r>
    </w:p>
    <w:p>
      <w:pPr>
        <w:spacing w:after="0" w:line="9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020" w:space="720"/>
            <w:col w:w="8260"/>
          </w:cols>
          <w:pgMar w:left="440" w:top="270"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778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7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1"/>
              </w:rPr>
              <w:t>deep and extensive knowledge of business in general and of the cable industry in particular gained through</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his longstanding executive leadership roles at Comcast, as well as financial expertise in capital markets,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accounting and tax matters gained through his experience as Chief Financial Officer of Comcast and as a</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rPr>
              <w:t>practicing CPA.</w:t>
            </w:r>
          </w:p>
        </w:tc>
      </w:tr>
      <w:tr>
        <w:trPr>
          <w:trHeight w:val="310"/>
        </w:trPr>
        <w:tc>
          <w:tcPr>
            <w:tcW w:w="200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rPr>
              <w:t>Mr. Gardner has been a director of Amdocs since 1998 and is Chairman of the Audit Committee.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Mr. Gardner serves as Chief Financial Officer of Ipes Holdings Limited, a provider of outsourced services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to private equity firms, from October 2016. Mr. Gardner has served as a member of the Audit &amp; Risk</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Committee of Worcester College, Oxford University since May 2017. From 2014 to September 2016,</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Mr. Gardner served as Chief Financial Officer of International Personal Finance plc, an international home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credit business. Mr. Gardner was Chief Financial Officer and a director of RSM Tenon Group PLC, a</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5"/>
              </w:rPr>
              <w:t>London-based accounting and advisory firm listed on the London Stock Exchange, from 2011 until the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acquisition in 2013 of its operating subsidiaries by Baker Tilly UK Holdings Limited, since renamed RSM</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UK Limited. Mr. Gardner was Chief Financial Officer of PA Consulting Group, a London-based business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consulting firm from 2007 to 2011. Mr. Gardner was Chief Financial Officer and a director of ProStrakan</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Group plc, a pharmaceuticals company based in the United Kingdom and listed on the London Stock</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Exchange, from 2002 until 2007. Prior to joining ProStrakan, he was a Managing Director of Lazard LLC,</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based in London, where he worked with technology and telecommunications-related companies. Prior to</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joining Lazard in 1989, Mr. Gardner qualified as a chartered accountant with Price Waterhouse (now</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PricewaterhouseCoopers). Mr. Gardner is a fellow of the Institute of Chartered Accountants in England &amp;</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5"/>
              </w:rPr>
              <w:t>Wales. Mr. Gardner’s extensive experience as an accountant, technology investment banker and chief</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rPr>
              <w:t>financial officer enables him to make valuable contributions to our strategic and financial affairs.</w:t>
            </w:r>
          </w:p>
        </w:tc>
      </w:tr>
      <w:tr>
        <w:trPr>
          <w:trHeight w:val="310"/>
        </w:trPr>
        <w:tc>
          <w:tcPr>
            <w:tcW w:w="20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5"/>
              </w:rPr>
              <w:t>Mr. Gelman has been a director of Amdocs since 2002. Mr. Gelman served as our President and Chief</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8"/>
              </w:rPr>
              <w:t>Executive Officer from 2010 to September 30, 2018. From 2010 until 2013, Mr. Gelman served as a</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0"/>
              </w:rPr>
              <w:t>director of Retalix, a global software company, and during 2010, he also served as its Chairman. From 2008</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6"/>
              </w:rPr>
              <w:t>to 2010, Mr. Gelman devoted his time to charitable matters focused on youth education. He served as</w:t>
            </w:r>
          </w:p>
        </w:tc>
      </w:tr>
    </w:tbl>
    <w:p>
      <w:pPr>
        <w:ind w:left="324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65" w:right="4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1260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James S. Kahan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-189865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-1270</wp:posOffset>
            </wp:positionV>
            <wp:extent cx="4939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ind w:left="500" w:right="20" w:hanging="445"/>
        <w:spacing w:after="0" w:line="26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72" w:lineRule="exact"/>
        <w:rPr>
          <w:sz w:val="20"/>
          <w:szCs w:val="20"/>
          <w:color w:val="auto"/>
        </w:rPr>
      </w:pPr>
    </w:p>
    <w:p>
      <w:pPr>
        <w:sectPr>
          <w:pgSz w:w="11900" w:h="16838" w:orient="portrait"/>
          <w:cols w:equalWidth="0" w:num="2">
            <w:col w:w="2020" w:space="720"/>
            <w:col w:w="8280"/>
          </w:cols>
          <w:pgMar w:left="440" w:top="265" w:right="439" w:bottom="1440" w:gutter="0" w:footer="0" w:header="0"/>
        </w:sect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Richard T.C. LeFave</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7900" w:type="dxa"/>
            <w:vAlign w:val="bottom"/>
          </w:tcPr>
          <w:p>
            <w:pPr>
              <w:ind w:left="120"/>
              <w:spacing w:after="0"/>
              <w:rPr>
                <w:sz w:val="20"/>
                <w:szCs w:val="20"/>
                <w:color w:val="auto"/>
              </w:rPr>
            </w:pPr>
            <w:r>
              <w:rPr>
                <w:rFonts w:ascii="Arial" w:cs="Arial" w:eastAsia="Arial" w:hAnsi="Arial"/>
                <w:sz w:val="18"/>
                <w:szCs w:val="18"/>
                <w:color w:val="auto"/>
                <w:w w:val="94"/>
              </w:rPr>
              <w:t>Mr. LeFave has been a director of Amdocs since 2011. Since 2008, Mr. LeFave has been a Principal at</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5"/>
              </w:rPr>
              <w:t>D&amp;L Partners, LLC, an information technology consulting firm. Mr. LeFave served as Chief Information</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2"/>
              </w:rPr>
              <w:t>Officer for Nextel Communications, a telecommunications company, from 1999 until its merger with Sprint</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3"/>
              </w:rPr>
              <w:t>Corporation in 2005, after which he served as Chief Information Officer for Sprint Nextel Corporation until</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6"/>
              </w:rPr>
              <w:t>2008. From 1995 to 1999, Mr. LeFave served as Chief Information Officer for Southern New England</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6"/>
              </w:rPr>
              <w:t>Telephone Company, a provider of communications products and services. We believe Mr. LeFave’s</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8"/>
              </w:rPr>
              <w:t>qualifications to sit on our board include his extensive experience and leadership in the information</w:t>
            </w:r>
          </w:p>
        </w:tc>
      </w:tr>
      <w:tr>
        <w:trPr>
          <w:trHeight w:val="230"/>
        </w:trPr>
        <w:tc>
          <w:tcPr>
            <w:tcW w:w="2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technology and telecommunications industry.</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Ariane de Rothschild</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7900" w:type="dxa"/>
            <w:vAlign w:val="bottom"/>
          </w:tcPr>
          <w:p>
            <w:pPr>
              <w:ind w:left="120"/>
              <w:spacing w:after="0"/>
              <w:rPr>
                <w:sz w:val="20"/>
                <w:szCs w:val="20"/>
                <w:color w:val="auto"/>
              </w:rPr>
            </w:pPr>
            <w:r>
              <w:rPr>
                <w:rFonts w:ascii="Arial" w:cs="Arial" w:eastAsia="Arial" w:hAnsi="Arial"/>
                <w:sz w:val="18"/>
                <w:szCs w:val="18"/>
                <w:color w:val="auto"/>
                <w:w w:val="89"/>
              </w:rPr>
              <w:t>Baroness Ariane de Rothschild has been a director of Amdocs since January 2018. Since January 2015, she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2"/>
              </w:rPr>
              <w:t>has served as the Chairwoman of the Executive Committee of Edmond de Rothschild Group. Since 2009,</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4"/>
              </w:rPr>
              <w:t>Baroness de Rothschild has served as the vice-president of Edmond de Rothschild Group’s supervisory</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5"/>
              </w:rPr>
              <w:t>board and has also served as the vice-president of the Edmond de Rothschild Holding SA since 1999.</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8"/>
              </w:rPr>
              <w:t>Baroness de Rothschild now holds various board positions across Holding Benjamin &amp; Edmond de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8"/>
              </w:rPr>
              <w:t>Rothschild Pregny, Compagnie Benjamin de Rothschild Conseil S.A., Siaci Saint-Honoré Insurance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0"/>
              </w:rPr>
              <w:t>Broker, and Barons and Baronne Associés. We believe Baroness de Rothschild’s qualifications to sit on our</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8"/>
              </w:rPr>
              <w:t>Board of Directors include her strong financial and banking expertise and her international business</w:t>
            </w:r>
          </w:p>
        </w:tc>
      </w:tr>
      <w:tr>
        <w:trPr>
          <w:trHeight w:val="230"/>
        </w:trPr>
        <w:tc>
          <w:tcPr>
            <w:tcW w:w="2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rPr>
              <w:t>experience.</w:t>
            </w: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Shuky Sheffer</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7900" w:type="dxa"/>
            <w:vAlign w:val="bottom"/>
          </w:tcPr>
          <w:p>
            <w:pPr>
              <w:ind w:left="120"/>
              <w:spacing w:after="0"/>
              <w:rPr>
                <w:sz w:val="20"/>
                <w:szCs w:val="20"/>
                <w:color w:val="auto"/>
              </w:rPr>
            </w:pPr>
            <w:r>
              <w:rPr>
                <w:rFonts w:ascii="Arial" w:cs="Arial" w:eastAsia="Arial" w:hAnsi="Arial"/>
                <w:sz w:val="18"/>
                <w:szCs w:val="18"/>
                <w:color w:val="auto"/>
                <w:w w:val="93"/>
              </w:rPr>
              <w:t>Mr. Sheffer is a nominee for director at Amdocs. Mr. Sheffer has been our President and Chief Executive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1"/>
              </w:rPr>
              <w:t>Officer since October 1, 2018. Mr. Sheffer previously served as Senior Vice President and President of the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2"/>
              </w:rPr>
              <w:t>Global Business Group from October 2013 to September 30, 2018. Mr. Sheffer served as Chief Executive</w:t>
            </w:r>
          </w:p>
        </w:tc>
      </w:tr>
      <w:tr>
        <w:trPr>
          <w:trHeight w:val="216"/>
        </w:trPr>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4"/>
              </w:rPr>
              <w:t>Officer of Retalix Ltd., a global software company, from 2009 until its acquisition by NCR Corporation in</w:t>
            </w:r>
          </w:p>
        </w:tc>
      </w:tr>
      <w:tr>
        <w:trPr>
          <w:trHeight w:val="230"/>
        </w:trPr>
        <w:tc>
          <w:tcPr>
            <w:tcW w:w="2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900" w:type="dxa"/>
            <w:vAlign w:val="bottom"/>
          </w:tcPr>
          <w:p>
            <w:pPr>
              <w:ind w:left="120"/>
              <w:spacing w:after="0"/>
              <w:rPr>
                <w:sz w:val="20"/>
                <w:szCs w:val="20"/>
                <w:color w:val="auto"/>
              </w:rPr>
            </w:pPr>
            <w:r>
              <w:rPr>
                <w:rFonts w:ascii="Arial" w:cs="Arial" w:eastAsia="Arial" w:hAnsi="Arial"/>
                <w:sz w:val="18"/>
                <w:szCs w:val="18"/>
                <w:color w:val="auto"/>
                <w:w w:val="90"/>
              </w:rPr>
              <w:t>2013. Following the acquisition, he served as a General Manager of Retalix through September 2013. From</w:t>
            </w:r>
          </w:p>
        </w:tc>
      </w:tr>
    </w:tbl>
    <w:p>
      <w:pPr>
        <w:ind w:left="3240"/>
        <w:spacing w:after="0" w:line="295" w:lineRule="auto"/>
        <w:rPr>
          <w:sz w:val="20"/>
          <w:szCs w:val="20"/>
          <w:color w:val="auto"/>
        </w:rPr>
      </w:pPr>
      <w:r>
        <w:rPr>
          <w:rFonts w:ascii="Arial" w:cs="Arial" w:eastAsia="Arial" w:hAnsi="Arial"/>
          <w:sz w:val="16"/>
          <w:szCs w:val="16"/>
          <w:color w:val="auto"/>
        </w:rPr>
        <w:t>1986 to 2009, Mr. Sheffer served at various managerial positions at Amdocs, most recently as President of the Emerging Markets Divisions. We believe Mr. Sheffer’s qualifications to serve on our Board of Directors include his appointment as CEO in October 2018, and his previous service as our Senior Vice President and President of Global Business Group since October 2013. In addition, with more than 30 years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5"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778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7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7"/>
              </w:rPr>
              <w:t>experience in the software industry, including more than 25 years with Amdocs, he possesses a vast</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rPr>
              <w:t>institutional knowledge and strategic understanding of our organization and industry.</w:t>
            </w:r>
          </w:p>
        </w:tc>
      </w:tr>
      <w:tr>
        <w:trPr>
          <w:trHeight w:val="310"/>
        </w:trPr>
        <w:tc>
          <w:tcPr>
            <w:tcW w:w="200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0"/>
              </w:rPr>
              <w:t>Mr. Rafael de la Vega has been a director of Amdocs since January 2018. Since 2017, he has served as the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1"/>
              </w:rPr>
              <w:t>Chairman and Founder of the De La Vega Group, a consultancy and advisory services firm. From February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2016 to December 2016, Mr. de la Vega served as the Vice Chairman of AT&amp;T Inc. and CEO of Business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8"/>
              </w:rPr>
              <w:t>Solutions &amp; International. From 2014 to 2016 Mr. de la Vega served as President and CEO of AT&amp;T</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7"/>
              </w:rPr>
              <w:t>Mobile and Business Solutions and from 2007 to 2014 he served as the President and CEO of AT&amp;T</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Mobility. Mr. de la Vega also held various positions at several telecommunications companies, including</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Cingular Wireless and Bell South Latin America. During his time at Cingular Wireless, he was responsible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5"/>
              </w:rPr>
              <w:t>for the integration of AT&amp;T Wireless and Cingular Wireless. He also serves on the boards of American</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Express Company and New York Life Insurance Company. He served on the Executive Committee of the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Boy Scouts of America until May 2018 and served as Chairman of the 2017 Boy Scouts Jamboree. He is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the former Chairman of Junior Achievement Worldwide and continues to serve on its board of directors. In</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4"/>
              </w:rPr>
              <w:t>June of 2018, Mr. de la Vega joined as the Vice Chairman of the Board of Directors of Ubicquia LLC. In</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1"/>
              </w:rPr>
              <w:t>September of 2018 he joined the Board of Advisors of RapidSOS. Mr. de la Vega also recently joined Forté</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3"/>
              </w:rPr>
              <w:t>Ventures as a Limited Partner. We believe Mr. de la Vega’s qualifications to sit on our Board of Directors</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rPr>
              <w:t>includes his extensive experience and leadership in the telecommunications industry.</w:t>
            </w:r>
          </w:p>
        </w:tc>
      </w:tr>
      <w:tr>
        <w:trPr>
          <w:trHeight w:val="310"/>
        </w:trPr>
        <w:tc>
          <w:tcPr>
            <w:tcW w:w="200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1"/>
              </w:rPr>
              <w:t>Dr. Yaron has been a director of Amdocs since 2009. Dr. Yaron co-founded Itamar Medical Ltd., a publicly-</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89"/>
              </w:rPr>
              <w:t>traded medical technology company, and has been its co-chairman since 1997 and since 2015, served as its</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8"/>
              </w:rPr>
              <w:t>chairman. Dr. Yaron provides consulting services to Itamar Medical and to various other technology</w:t>
            </w: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60" w:type="dxa"/>
            <w:vAlign w:val="bottom"/>
            <w:gridSpan w:val="2"/>
          </w:tcPr>
          <w:p>
            <w:pPr>
              <w:ind w:left="260"/>
              <w:spacing w:after="0"/>
              <w:rPr>
                <w:sz w:val="20"/>
                <w:szCs w:val="20"/>
                <w:color w:val="auto"/>
              </w:rPr>
            </w:pPr>
            <w:r>
              <w:rPr>
                <w:rFonts w:ascii="Arial" w:cs="Arial" w:eastAsia="Arial" w:hAnsi="Arial"/>
                <w:sz w:val="18"/>
                <w:szCs w:val="18"/>
                <w:color w:val="auto"/>
                <w:w w:val="92"/>
              </w:rPr>
              <w:t>companies. He co-founded P-cube, Pentacom, Qumranet, Exanet and Comsys, privately-held companies</w:t>
            </w:r>
          </w:p>
        </w:tc>
      </w:tr>
    </w:tbl>
    <w:p>
      <w:pPr>
        <w:ind w:left="3240"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6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maintains four committees as described below. Members of each committee are appointed by the Board of Directors.</w:t>
      </w:r>
    </w:p>
    <w:p>
      <w:pPr>
        <w:spacing w:after="0" w:line="23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reviews, acts on and reports to the Board of Directors with respect to various auditing and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Messrs. Gardner (Chair), LeFave and Minicucci, all of whom are independent directors (including under the heightened independence requirements for members of the Audit Committee), as defined by the rules of Nasdaq, and pursuant to the categorical director independence standards adopted by our Board of Directors to serve as members of the Audit Committee.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7"/>
          <w:szCs w:val="17"/>
          <w:i w:val="1"/>
          <w:iCs w:val="1"/>
          <w:color w:val="auto"/>
        </w:rPr>
        <w:t>www.amdocs.com.</w:t>
      </w:r>
    </w:p>
    <w:p>
      <w:pPr>
        <w:spacing w:after="0" w:line="178" w:lineRule="exact"/>
        <w:rPr>
          <w:sz w:val="20"/>
          <w:szCs w:val="20"/>
          <w:color w:val="auto"/>
        </w:rPr>
      </w:pPr>
    </w:p>
    <w:p>
      <w:pPr>
        <w:ind w:right="200" w:firstLine="441"/>
        <w:spacing w:after="0" w:line="289"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identifies individuals qualified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Subject to their election, the Board of Directors has appointed Messrs. Kahan (Chair) and Brodsky and Baroness de Rothschild, all of whom are independent directors, in accordance with Nasdaq standards, and pursuant to the categorical director independence standards adopted by our Board of Directors to serve as members of the Nominating and Corporate Governance Committee.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16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Management Resources and Compensation Committee. </w:t>
      </w:r>
      <w:r>
        <w:rPr>
          <w:rFonts w:ascii="Arial" w:cs="Arial" w:eastAsia="Arial" w:hAnsi="Arial"/>
          <w:sz w:val="17"/>
          <w:szCs w:val="17"/>
          <w:color w:val="auto"/>
        </w:rPr>
        <w:t>The Management Resources and Compensation Committee discharges the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and Minicucci, all of whom are independent directors, as defined by the rules of Nasdaq, and pursuant to the categorical director independence standards adopted by our Board of Directors to serve as members of the Management Resources and Compensation Committee. The Management Resources and Compensation Committee written charter is available on our website at </w:t>
      </w:r>
      <w:r>
        <w:rPr>
          <w:rFonts w:ascii="Arial" w:cs="Arial" w:eastAsia="Arial" w:hAnsi="Arial"/>
          <w:sz w:val="17"/>
          <w:szCs w:val="17"/>
          <w:i w:val="1"/>
          <w:iCs w:val="1"/>
          <w:color w:val="auto"/>
        </w:rPr>
        <w:t>www.amdocs.com.</w:t>
      </w:r>
    </w:p>
    <w:p>
      <w:pPr>
        <w:spacing w:after="0" w:line="17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i w:val="1"/>
          <w:iCs w:val="1"/>
          <w:color w:val="auto"/>
        </w:rPr>
        <w:t>Technology and Innovation Committee</w:t>
      </w:r>
      <w:r>
        <w:rPr>
          <w:rFonts w:ascii="Arial" w:cs="Arial" w:eastAsia="Arial" w:hAnsi="Arial"/>
          <w:sz w:val="18"/>
          <w:szCs w:val="18"/>
          <w:color w:val="auto"/>
        </w:rPr>
        <w:t>. The Technology and Innovation Committee was established to assist the Board of Directors in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our technological development, opportunities and innovation, in connection with the current and future business and markets. Subject to their election, the Board of Directors has appointed Dr. Yaron (Chair) and Messrs. Gelman and LeFave to serve as members of the Technology and Innovation Committee.</w:t>
      </w:r>
    </w:p>
    <w:p>
      <w:pPr>
        <w:spacing w:after="0" w:line="18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and Committee Meetings</w:t>
      </w:r>
    </w:p>
    <w:p>
      <w:pPr>
        <w:spacing w:after="0" w:line="121"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During the past fiscal year, the Board of Directors held six meetings. In addition, the Audit Committee held eight meetings, the Management Resources and Compensation Committee held four meetings, the Nominating and Corporate Governance Committee held four meetings and the Technology and Innovation Committee held three meetings in the 2018 fiscal year. During fiscal 2018, all but one of our directors attended at least 75% of the aggregate of the number of Board of Directors meetings held during the time he or she was serving as a director and meetings held by all committees on which he or she then served. Baroness de Rothschild, in her first year serving as director, would have attended all of the relevant meetings, but was unable to attend one of the three quarterly sets of Board and committee meetings held following her election in the 2018 fiscal year, which were held over the course of three continuous days the last week of July in 2018, due to a commitment she agreed to prior to joining the Amdocs board and being informed of the Amdocs board meeting schedule. During fiscal 2018,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2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4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Gelman is not an independent director and Mr. Sheffer would not be an independent director were he to be elected at the Meeting. Our Board of Directors has determined that each of the following nominees for director has no material relationship with us that would interfere with the exercise of independent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in carrying out the responsibilities of a director and is independent under such standards and rules: Messrs. Minicucci, Gardner, Brodsky, de la Vega, Kahan, LeFave, Baroness de Rothschild and Dr. Yaron.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w:t>
      </w:r>
    </w:p>
    <w:p>
      <w:pPr>
        <w:spacing w:after="0" w:line="24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Commencing in fiscal 2019,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 Corporate Governance and Technology and Innovation Committees each receive an annual cash payment of $27,500. Each Non-Employee Director receives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annual grant of ordinary shares at a total value of $245,000. The Chairman of the Board of Directors receives an additional annual amount equal to $200,000 awarded in the form of ordinary shares. All ordinary share awards to our Non-Employee Directors vest in four equal installments of 25% each on the last day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 year service.</w:t>
      </w:r>
    </w:p>
    <w:p>
      <w:pPr>
        <w:spacing w:after="0" w:line="17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During the 2018 fiscal year, we granted to the 12 Non-Employee Directors that served in the 2018 fiscal year an aggregate of 42,128 shares at a weighted average price of $62.93 per share, which were fully vested upon grant.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It is proposed that each of the following 10 individuals be elected to serve as a director of Amdocs Limited until the next annual general meeting of shareholders or until his or her earlier resignation or removal or until his or her respective successor is elected and qualified:</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Ariane de Rothschild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Giora Yaron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66"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3" w:name="page14"/>
    <w:bookmarkEnd w:id="13"/>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BENEFICIAL OWNERS AND MANAGEMENT</w:t>
      </w:r>
    </w:p>
    <w:p>
      <w:pPr>
        <w:spacing w:after="0" w:line="211" w:lineRule="exact"/>
        <w:rPr>
          <w:sz w:val="20"/>
          <w:szCs w:val="20"/>
          <w:color w:val="auto"/>
        </w:rPr>
      </w:pPr>
    </w:p>
    <w:p>
      <w:pPr>
        <w:ind w:left="436"/>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December 3, 2018, of</w:t>
      </w:r>
    </w:p>
    <w:p>
      <w:pPr>
        <w:spacing w:after="0" w:line="46" w:lineRule="exact"/>
        <w:rPr>
          <w:sz w:val="20"/>
          <w:szCs w:val="20"/>
          <w:color w:val="auto"/>
        </w:rPr>
      </w:pPr>
    </w:p>
    <w:p>
      <w:pPr>
        <w:ind w:left="-4" w:right="60" w:firstLine="4"/>
        <w:spacing w:after="0" w:line="252" w:lineRule="auto"/>
        <w:tabs>
          <w:tab w:leader="none" w:pos="2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139,575,585 ordinary shares outstanding as of December 3, 2018. Information concerning shareholders other than our directors and officers is based on periodic public filings made by such shareholders and may not necessarily be accurate as of December 3, 2018.</w:t>
      </w:r>
    </w:p>
    <w:p>
      <w:pPr>
        <w:spacing w:after="0" w:line="200"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20" w:type="dxa"/>
            <w:vAlign w:val="bottom"/>
            <w:gridSpan w:val="3"/>
            <w:vMerge w:val="continue"/>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FMR LLC(1)</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16,167,614</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860" w:type="dxa"/>
            <w:vAlign w:val="bottom"/>
          </w:tcPr>
          <w:p>
            <w:pPr>
              <w:jc w:val="right"/>
              <w:spacing w:after="0"/>
              <w:rPr>
                <w:sz w:val="20"/>
                <w:szCs w:val="20"/>
                <w:color w:val="auto"/>
              </w:rPr>
            </w:pPr>
            <w:r>
              <w:rPr>
                <w:rFonts w:ascii="Arial" w:cs="Arial" w:eastAsia="Arial" w:hAnsi="Arial"/>
                <w:sz w:val="18"/>
                <w:szCs w:val="18"/>
                <w:color w:val="auto"/>
              </w:rPr>
              <w:t>7,545,647</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(15 persons)(3)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2,104,041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36" w:right="140" w:hanging="436"/>
        <w:spacing w:after="0" w:line="268" w:lineRule="auto"/>
        <w:tabs>
          <w:tab w:leader="none" w:pos="4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Schedule 13G/A filed by FMR LLC, or FMR, with the SEC on February 13, 2018, as of December 29, 2017, FMR had sole power to vote or direct the vote over 1,227,489 shares and sole power to dispose or direct the disposition of 16,167,614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3" w:lineRule="exact"/>
        <w:rPr>
          <w:rFonts w:ascii="Arial" w:cs="Arial" w:eastAsia="Arial" w:hAnsi="Arial"/>
          <w:sz w:val="17"/>
          <w:szCs w:val="17"/>
          <w:color w:val="auto"/>
        </w:rPr>
      </w:pPr>
    </w:p>
    <w:p>
      <w:pPr>
        <w:ind w:left="436" w:hanging="436"/>
        <w:spacing w:after="0" w:line="284" w:lineRule="auto"/>
        <w:tabs>
          <w:tab w:leader="none" w:pos="4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12, 2018, as of December 31, 2017, Janus had an indirect 97.11% ownership stake in IntechInvestment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7,383,458 shares or 5.1%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142,920 shares or 0.1%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HGINA may be deemed to be the beneficial owner of 12,256 shares or 0.0% of the shares outstanding of Amdocs Common Stock held by such Managed Portfolios. However, HGINA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7,023 shares or 0.0% of the shares outstanding of Amdocs Common Stock held by such Managed Portfolios. However, HGIL does not have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0" w:right="459" w:bottom="1440" w:gutter="0" w:footer="0" w:header="0"/>
        </w:sectPr>
      </w:pPr>
    </w:p>
    <w:bookmarkStart w:id="14" w:name="page15"/>
    <w:bookmarkEnd w:id="14"/>
    <w:p>
      <w:pPr>
        <w:ind w:left="436" w:right="7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 to receive any dividends from, or the proceeds from the sale of, the securities held in the Managed Portfolios and disclaims any ownership associated with such rights. The address of Janus Henderson is 201 Bishopsgate EC2M 3AE, United Kingdom.</w:t>
      </w:r>
    </w:p>
    <w:p>
      <w:pPr>
        <w:ind w:left="436" w:hanging="436"/>
        <w:spacing w:after="0" w:line="261" w:lineRule="auto"/>
        <w:tabs>
          <w:tab w:leader="none" w:pos="4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3, 2018. As of such date, none of our directors or executive officers beneficially owned 1% or more of our outstanding ordinary shares.</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6"/>
          </w:cols>
          <w:pgMar w:left="444" w:top="274" w:right="4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229"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73"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2018 and has discussed these financial statements with our management and independent registered public accounting firm.</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71" w:lineRule="exact"/>
        <w:rPr>
          <w:sz w:val="20"/>
          <w:szCs w:val="20"/>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130" w:lineRule="exact"/>
        <w:rPr>
          <w:rFonts w:ascii="Arial" w:cs="Arial" w:eastAsia="Arial" w:hAnsi="Arial"/>
          <w:sz w:val="18"/>
          <w:szCs w:val="18"/>
          <w:color w:val="auto"/>
        </w:rPr>
      </w:pPr>
    </w:p>
    <w:p>
      <w:pPr>
        <w:ind w:left="860" w:right="72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75" w:lineRule="exact"/>
        <w:rPr>
          <w:rFonts w:ascii="Arial" w:cs="Arial" w:eastAsia="Arial" w:hAnsi="Arial"/>
          <w:sz w:val="18"/>
          <w:szCs w:val="18"/>
          <w:color w:val="auto"/>
        </w:rPr>
      </w:pPr>
    </w:p>
    <w:p>
      <w:pPr>
        <w:ind w:left="860" w:right="52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75" w:lineRule="exact"/>
        <w:rPr>
          <w:rFonts w:ascii="Arial" w:cs="Arial" w:eastAsia="Arial" w:hAnsi="Arial"/>
          <w:sz w:val="18"/>
          <w:szCs w:val="18"/>
          <w:color w:val="auto"/>
        </w:rPr>
      </w:pPr>
    </w:p>
    <w:p>
      <w:pPr>
        <w:ind w:left="860" w:right="66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70"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88" w:lineRule="exact"/>
        <w:rPr>
          <w:sz w:val="20"/>
          <w:szCs w:val="20"/>
          <w:color w:val="auto"/>
        </w:rPr>
      </w:pPr>
    </w:p>
    <w:p>
      <w:pPr>
        <w:jc w:val="both"/>
        <w:ind w:right="540" w:firstLine="441"/>
        <w:spacing w:after="0" w:line="312"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2018, our Audit Committee approved all of the services provided by Ernst &amp; Young.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2012, our shareholders approved the institution of a quarterly cash dividend program at the quarterly rate of $0.13 per ordinary share.</w:t>
      </w:r>
    </w:p>
    <w:p>
      <w:pPr>
        <w:spacing w:after="0" w:line="23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2014, our shareholders approved an increase in the rate of the quarterly cash dividend to $0.155 per share; in 2015, our shareholders approved an increase to $0.17 per share; in 2016, our shareholders approved our shareholders approved an increase to $0.195 per share; in 2017, our shareholders approved an increase to $0.22 per share; and, in 2018, our shareholders approved an increase to $0.25 per share.</w:t>
      </w:r>
    </w:p>
    <w:p>
      <w:pPr>
        <w:spacing w:after="0" w:line="178"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In November 2018, our Board of Directors approved an increase in the quarterly cash dividend rate to $0.285 per ordinary share. In order to permit us to implement this dividend rate increase, our Board of Directors proposes that our shareholders approve the ordinary resolution set forth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12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$413.4 million, $340.6 million and $419.2 million (excluding broker and transaction fees) of our ordinary shares during the fiscal years ended September 30, 2016, 2017 and 2018 respectively. The increase in the quarterly dividend rate coincides with our general long-term guideline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This is not a complete presentation of our financial position, results of operations and cash flows in conformity with U.S. generally accepted accounting principles, so we encourage you to review our consolidated financial statements for the fiscal year ended September 30, 2018 set forth in our Annual Report on Form 20-F filed on December 10, 2018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12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shareholder approval, we expect to begin paying the dividend at the increased rate commencing in April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$0.25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12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foreign corporation that are readily tradable on an established securities market in the United States. Since our ordinary shares are listed on Nasdaq, we believe that dividends paid by us with respect to our ordinary shares should constitute “qualified dividend income” for U.S. federal income tax purposes, provided that the applicable holding period and other requirements are satisfied. The preferential rate will not apply to dividends received to the extent that the U.S. holder elects to treat dividends as “investment income.”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(e.g., dividends, interest and certain royalties, rents and gains from commodities and securities transactions), or (ii) 50% or more of the average quarterly value of all our assets (including goodwill) is attributable to assets that produce “passive income” or are held for the production of “passive income.” We believe that we were not a PFIC for the prior taxable year and do not expect to be a PFIC for the current taxable year.</w:t>
      </w:r>
    </w:p>
    <w:p>
      <w:pPr>
        <w:spacing w:after="0" w:line="18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Dividends paid by us generally will be classified as foreign source “passive category income” or, in certain cases, “general category income” for U.S. foreign tax credit purposes.</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(currently at a rate of 24%)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93"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U.S. holders are urged to consult their tax advisors regarding the tax treatment of any dividends received by such holder in respect of ordinary shares.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an increase in the dividend rate under Amdocs Limited’s quarterly cash dividend program from $0.25 per share to $0.285 per share be, and hereby is, approved.”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66" w:lineRule="exact"/>
        <w:rPr>
          <w:sz w:val="20"/>
          <w:szCs w:val="20"/>
          <w:color w:val="auto"/>
        </w:rPr>
      </w:pPr>
    </w:p>
    <w:p>
      <w:pPr>
        <w:ind w:right="940" w:firstLine="441"/>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SEPTEMBER 30, 2018</w:t>
      </w:r>
    </w:p>
    <w:p>
      <w:pPr>
        <w:spacing w:after="0" w:line="21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Annual Report for the fiscal year ended September 30, 2018 is available on our website at https://www.amdocs.com/media-room/annual-report-2018. Our Consolidated Financial Statements for the fiscal year ended September 30, 2018 are included in our Annual Report. At the General Meeting, we will review the Operating and Financial Review and Prospects section of our Annual Report and will answer appropriate questions related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2018 be, and the same hereby are, approved.”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66" w:lineRule="exact"/>
        <w:rPr>
          <w:sz w:val="20"/>
          <w:szCs w:val="20"/>
          <w:color w:val="auto"/>
        </w:rPr>
      </w:pPr>
    </w:p>
    <w:p>
      <w:pPr>
        <w:ind w:right="840" w:firstLine="441"/>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AND APPROVAL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Audit Committee of the Board of Directors has selected the firm of Ernst &amp; Young LLP to continue to serve as our independent registered public accounting firm for the fiscal year ending September 30, 2019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2018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Fee Category</w:t>
            </w:r>
          </w:p>
        </w:tc>
        <w:tc>
          <w:tcPr>
            <w:tcW w:w="3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Fees(1)</w:t>
            </w:r>
          </w:p>
        </w:tc>
        <w:tc>
          <w:tcPr>
            <w:tcW w:w="2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$ 4,000,000</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$ 3,600,000</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$ 2,300,000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$ 1,200,000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$ 1,700,000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120" w:hanging="436"/>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1" w:lineRule="exact"/>
        <w:rPr>
          <w:rFonts w:ascii="Arial" w:cs="Arial" w:eastAsia="Arial" w:hAnsi="Arial"/>
          <w:sz w:val="18"/>
          <w:szCs w:val="18"/>
          <w:color w:val="auto"/>
        </w:rPr>
      </w:pPr>
    </w:p>
    <w:p>
      <w:pPr>
        <w:ind w:left="440" w:right="40" w:hanging="436"/>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Audit-related services principally include Statement on the System and Organization Controls Report (SOC 1 Report) issuances and due diligence examinations.</w:t>
      </w:r>
    </w:p>
    <w:p>
      <w:pPr>
        <w:ind w:left="440" w:hanging="43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left="88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2019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77"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dox_info@amdocs.com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Mr. Matthew E. Smith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14605</wp:posOffset>
            </wp:positionV>
            <wp:extent cx="25126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E. Smith</w:t>
      </w:r>
    </w:p>
    <w:p>
      <w:pPr>
        <w:spacing w:after="0" w:line="23"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w:t>
      </w:r>
    </w:p>
    <w:p>
      <w:pPr>
        <w:spacing w:after="0" w:line="229"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52" w:lineRule="exact"/>
        <w:rPr>
          <w:sz w:val="20"/>
          <w:szCs w:val="20"/>
          <w:color w:val="auto"/>
        </w:rPr>
      </w:pPr>
    </w:p>
    <w:p>
      <w:pPr>
        <w:ind w:left="860" w:right="160" w:hanging="316"/>
        <w:spacing w:after="0" w:line="26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Charitable Contributions</w:t>
      </w:r>
      <w:r>
        <w:rPr>
          <w:rFonts w:ascii="Arial" w:cs="Arial" w:eastAsia="Arial" w:hAnsi="Arial"/>
          <w:sz w:val="18"/>
          <w:szCs w:val="18"/>
          <w:color w:val="auto"/>
        </w:rPr>
        <w:t>. The director, or an immediate family member of the director, has served as an executive officer of a charitable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receives payments from the Company in an amount which, in any single fiscal year since the determination date, exceeds the greater of $200,000, or 5% of such charitable organization’s revenues;</w:t>
      </w:r>
    </w:p>
    <w:p>
      <w:pPr>
        <w:spacing w:after="0" w:line="86" w:lineRule="exact"/>
        <w:rPr>
          <w:rFonts w:ascii="Arial" w:cs="Arial" w:eastAsia="Arial" w:hAnsi="Arial"/>
          <w:sz w:val="18"/>
          <w:szCs w:val="18"/>
          <w:color w:val="auto"/>
        </w:rPr>
      </w:pPr>
    </w:p>
    <w:p>
      <w:pPr>
        <w:ind w:left="860" w:hanging="316"/>
        <w:spacing w:after="0" w:line="259"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director or an immediate family member of the director has served, as an executive 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87"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are available at www.amdocs.com/proxy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19"/>
        <w:spacing w:after="0" w:line="226" w:lineRule="auto"/>
        <w:rPr>
          <w:sz w:val="20"/>
          <w:szCs w:val="20"/>
          <w:color w:val="auto"/>
        </w:rPr>
      </w:pPr>
      <w:r>
        <w:rPr>
          <w:rFonts w:ascii="Arial" w:cs="Arial" w:eastAsia="Arial" w:hAnsi="Arial"/>
          <w:sz w:val="14"/>
          <w:szCs w:val="14"/>
          <w:b w:val="1"/>
          <w:bCs w:val="1"/>
          <w:color w:val="auto"/>
        </w:rPr>
        <w:t>AND A VOTE “FOR” PROPOSALS 2, 3 AND 4</w:t>
      </w:r>
    </w:p>
    <w:p>
      <w:pPr>
        <w:jc w:val="center"/>
        <w:ind w:right="-19"/>
        <w:spacing w:after="0" w:line="23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jc w:val="center"/>
        <w:ind w:right="-19"/>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2204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220408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4"/>
              </w:rPr>
              <w:t>FOR</w:t>
            </w:r>
          </w:p>
        </w:tc>
        <w:tc>
          <w:tcPr>
            <w:tcW w:w="940" w:type="dxa"/>
            <w:vAlign w:val="bottom"/>
          </w:tcPr>
          <w:p>
            <w:pPr>
              <w:ind w:left="140"/>
              <w:spacing w:after="0"/>
              <w:rPr>
                <w:sz w:val="20"/>
                <w:szCs w:val="20"/>
                <w:color w:val="auto"/>
              </w:rPr>
            </w:pPr>
            <w:r>
              <w:rPr>
                <w:rFonts w:ascii="Arial" w:cs="Arial" w:eastAsia="Arial" w:hAnsi="Arial"/>
                <w:sz w:val="14"/>
                <w:szCs w:val="14"/>
                <w:color w:val="auto"/>
              </w:rPr>
              <w:t>AGAINST</w:t>
            </w: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ABSTAIN</w:t>
            </w:r>
          </w:p>
        </w:tc>
      </w:tr>
      <w:tr>
        <w:trPr>
          <w:trHeight w:val="203"/>
        </w:trPr>
        <w:tc>
          <w:tcPr>
            <w:tcW w:w="2400" w:type="dxa"/>
            <w:vAlign w:val="bottom"/>
          </w:tcPr>
          <w:p>
            <w:pPr>
              <w:ind w:left="200"/>
              <w:spacing w:after="0"/>
              <w:rPr>
                <w:sz w:val="20"/>
                <w:szCs w:val="20"/>
                <w:color w:val="auto"/>
              </w:rPr>
            </w:pPr>
            <w:r>
              <w:rPr>
                <w:rFonts w:ascii="Arial" w:cs="Arial" w:eastAsia="Arial" w:hAnsi="Arial"/>
                <w:sz w:val="14"/>
                <w:szCs w:val="14"/>
                <w:color w:val="auto"/>
              </w:rPr>
              <w:t>Robert A. Minicucci</w:t>
            </w:r>
          </w:p>
        </w:tc>
        <w:tc>
          <w:tcPr>
            <w:tcW w:w="88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400" w:type="dxa"/>
            <w:vAlign w:val="bottom"/>
          </w:tcPr>
          <w:p>
            <w:pPr>
              <w:ind w:left="200"/>
              <w:spacing w:after="0"/>
              <w:rPr>
                <w:sz w:val="20"/>
                <w:szCs w:val="20"/>
                <w:color w:val="auto"/>
              </w:rPr>
            </w:pPr>
            <w:r>
              <w:rPr>
                <w:rFonts w:ascii="Arial" w:cs="Arial" w:eastAsia="Arial" w:hAnsi="Arial"/>
                <w:sz w:val="14"/>
                <w:szCs w:val="14"/>
                <w:color w:val="auto"/>
              </w:rPr>
              <w:t>Julian A. Brodsky</w:t>
            </w:r>
          </w:p>
        </w:tc>
        <w:tc>
          <w:tcPr>
            <w:tcW w:w="88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2400" w:type="dxa"/>
            <w:vAlign w:val="bottom"/>
          </w:tcPr>
          <w:p>
            <w:pPr>
              <w:ind w:left="200"/>
              <w:spacing w:after="0"/>
              <w:rPr>
                <w:sz w:val="20"/>
                <w:szCs w:val="20"/>
                <w:color w:val="auto"/>
              </w:rPr>
            </w:pPr>
            <w:r>
              <w:rPr>
                <w:rFonts w:ascii="Arial" w:cs="Arial" w:eastAsia="Arial" w:hAnsi="Arial"/>
                <w:sz w:val="14"/>
                <w:szCs w:val="14"/>
                <w:color w:val="auto"/>
              </w:rPr>
              <w:t>Adrian Gardner</w:t>
            </w:r>
          </w:p>
        </w:tc>
        <w:tc>
          <w:tcPr>
            <w:tcW w:w="88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89"/>
        </w:trPr>
        <w:tc>
          <w:tcPr>
            <w:tcW w:w="2400" w:type="dxa"/>
            <w:vAlign w:val="bottom"/>
          </w:tcPr>
          <w:p>
            <w:pPr>
              <w:ind w:left="200"/>
              <w:spacing w:after="0" w:line="90" w:lineRule="exact"/>
              <w:rPr>
                <w:sz w:val="20"/>
                <w:szCs w:val="20"/>
                <w:color w:val="auto"/>
              </w:rPr>
            </w:pPr>
            <w:r>
              <w:rPr>
                <w:rFonts w:ascii="Arial" w:cs="Arial" w:eastAsia="Arial" w:hAnsi="Arial"/>
                <w:sz w:val="10"/>
                <w:szCs w:val="10"/>
                <w:color w:val="auto"/>
              </w:rPr>
              <w:t>Eli Gelman</w:t>
            </w: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20" w:type="dxa"/>
            <w:vAlign w:val="bottom"/>
          </w:tcPr>
          <w:p>
            <w:pPr>
              <w:spacing w:after="0"/>
              <w:rPr>
                <w:sz w:val="15"/>
                <w:szCs w:val="15"/>
                <w:color w:val="auto"/>
              </w:rPr>
            </w:pPr>
          </w:p>
        </w:tc>
        <w:tc>
          <w:tcPr>
            <w:tcW w:w="560" w:type="dxa"/>
            <w:vAlign w:val="bottom"/>
          </w:tcPr>
          <w:p>
            <w:pPr>
              <w:jc w:val="center"/>
              <w:ind w:left="88"/>
              <w:spacing w:after="0"/>
              <w:rPr>
                <w:sz w:val="20"/>
                <w:szCs w:val="20"/>
                <w:color w:val="auto"/>
              </w:rPr>
            </w:pPr>
            <w:r>
              <w:rPr>
                <w:rFonts w:ascii="Arial" w:cs="Arial" w:eastAsia="Arial" w:hAnsi="Arial"/>
                <w:sz w:val="14"/>
                <w:szCs w:val="14"/>
                <w:color w:val="auto"/>
                <w:w w:val="94"/>
              </w:rPr>
              <w:t>FOR</w:t>
            </w:r>
          </w:p>
        </w:tc>
        <w:tc>
          <w:tcPr>
            <w:tcW w:w="74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Arial" w:cs="Arial" w:eastAsia="Arial" w:hAnsi="Arial"/>
                <w:sz w:val="14"/>
                <w:szCs w:val="14"/>
                <w:color w:val="auto"/>
              </w:rPr>
              <w:t>2. To approve an increase in the dividend rate under our</w:t>
            </w:r>
          </w:p>
        </w:tc>
        <w:tc>
          <w:tcPr>
            <w:tcW w:w="56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w w:val="99"/>
              </w:rPr>
              <w:t>quarterly cash dividend program from $0.25 per share to</w:t>
            </w:r>
          </w:p>
        </w:tc>
        <w:tc>
          <w:tcPr>
            <w:tcW w:w="5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140"/>
              <w:spacing w:after="0"/>
              <w:rPr>
                <w:sz w:val="20"/>
                <w:szCs w:val="20"/>
                <w:color w:val="auto"/>
              </w:rPr>
            </w:pPr>
            <w:r>
              <w:rPr>
                <w:rFonts w:ascii="Arial" w:cs="Arial" w:eastAsia="Arial" w:hAnsi="Arial"/>
                <w:sz w:val="14"/>
                <w:szCs w:val="14"/>
                <w:color w:val="auto"/>
              </w:rPr>
              <w:t>$0.285 per share (Proposal II).</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2">
            <w:col w:w="5160" w:space="200"/>
            <w:col w:w="5640"/>
          </w:cols>
          <w:pgMar w:left="440" w:top="270" w:right="459" w:bottom="1440" w:gutter="0" w:footer="0" w:header="0"/>
          <w:type w:val="continuous"/>
        </w:sectPr>
      </w:pPr>
    </w:p>
    <w:tbl>
      <w:tblPr>
        <w:tblLayout w:type="fixed"/>
        <w:tblInd w:w="360" w:type="dxa"/>
        <w:tblCellMar>
          <w:top w:w="0" w:type="dxa"/>
          <w:left w:w="0" w:type="dxa"/>
          <w:bottom w:w="0" w:type="dxa"/>
          <w:right w:w="0" w:type="dxa"/>
        </w:tblCellMar>
      </w:tblPr>
      <w:tr>
        <w:trPr>
          <w:trHeight w:val="182"/>
        </w:trPr>
        <w:tc>
          <w:tcPr>
            <w:tcW w:w="1980" w:type="dxa"/>
            <w:vAlign w:val="bottom"/>
            <w:vMerge w:val="restart"/>
          </w:tcPr>
          <w:p>
            <w:pPr>
              <w:spacing w:after="0"/>
              <w:rPr>
                <w:sz w:val="20"/>
                <w:szCs w:val="20"/>
                <w:color w:val="auto"/>
              </w:rPr>
            </w:pPr>
            <w:r>
              <w:rPr>
                <w:rFonts w:ascii="Arial" w:cs="Arial" w:eastAsia="Arial" w:hAnsi="Arial"/>
                <w:sz w:val="14"/>
                <w:szCs w:val="14"/>
                <w:color w:val="auto"/>
              </w:rPr>
              <w:t>James S. Kahan</w:t>
            </w:r>
          </w:p>
        </w:tc>
        <w:tc>
          <w:tcPr>
            <w:tcW w:w="1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88"/>
        </w:trPr>
        <w:tc>
          <w:tcPr>
            <w:tcW w:w="1980" w:type="dxa"/>
            <w:vAlign w:val="bottom"/>
            <w:vMerge w:val="continue"/>
          </w:tcPr>
          <w:p>
            <w:pPr>
              <w:spacing w:after="0"/>
              <w:rPr>
                <w:sz w:val="7"/>
                <w:szCs w:val="7"/>
                <w:color w:val="auto"/>
              </w:rPr>
            </w:pPr>
          </w:p>
        </w:tc>
        <w:tc>
          <w:tcPr>
            <w:tcW w:w="1220" w:type="dxa"/>
            <w:vAlign w:val="bottom"/>
            <w:vMerge w:val="restart"/>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38"/>
        </w:trPr>
        <w:tc>
          <w:tcPr>
            <w:tcW w:w="1980" w:type="dxa"/>
            <w:vAlign w:val="bottom"/>
            <w:vMerge w:val="restart"/>
          </w:tcPr>
          <w:p>
            <w:pPr>
              <w:spacing w:after="0"/>
              <w:rPr>
                <w:sz w:val="20"/>
                <w:szCs w:val="20"/>
                <w:color w:val="auto"/>
              </w:rPr>
            </w:pPr>
            <w:r>
              <w:rPr>
                <w:rFonts w:ascii="Arial" w:cs="Arial" w:eastAsia="Arial" w:hAnsi="Arial"/>
                <w:sz w:val="14"/>
                <w:szCs w:val="14"/>
                <w:color w:val="auto"/>
              </w:rPr>
              <w:t>Richard T.C. LeFave</w:t>
            </w:r>
          </w:p>
        </w:tc>
        <w:tc>
          <w:tcPr>
            <w:tcW w:w="12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980" w:type="dxa"/>
            <w:vAlign w:val="bottom"/>
            <w:vMerge w:val="continue"/>
          </w:tcPr>
          <w:p>
            <w:pPr>
              <w:spacing w:after="0"/>
              <w:rPr>
                <w:sz w:val="4"/>
                <w:szCs w:val="4"/>
                <w:color w:val="auto"/>
              </w:rPr>
            </w:pPr>
          </w:p>
        </w:tc>
        <w:tc>
          <w:tcPr>
            <w:tcW w:w="1220" w:type="dxa"/>
            <w:vAlign w:val="bottom"/>
            <w:vMerge w:val="restart"/>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color w:val="auto"/>
              </w:rPr>
              <w:t>Ariane de Rothschild</w:t>
            </w:r>
          </w:p>
        </w:tc>
        <w:tc>
          <w:tcPr>
            <w:tcW w:w="12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4"/>
                <w:szCs w:val="14"/>
                <w:color w:val="auto"/>
              </w:rPr>
              <w:t>Shuky Sheffer</w:t>
            </w:r>
          </w:p>
        </w:tc>
        <w:tc>
          <w:tcPr>
            <w:tcW w:w="1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4"/>
                <w:szCs w:val="14"/>
                <w:color w:val="auto"/>
              </w:rPr>
              <w:t>Rafael de la Vega</w:t>
            </w:r>
          </w:p>
        </w:tc>
        <w:tc>
          <w:tcPr>
            <w:tcW w:w="1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Arial" w:cs="Arial" w:eastAsia="Arial" w:hAnsi="Arial"/>
                <w:sz w:val="14"/>
                <w:szCs w:val="14"/>
                <w:color w:val="auto"/>
              </w:rPr>
              <w:t>Giora Yaron</w:t>
            </w:r>
          </w:p>
        </w:tc>
        <w:tc>
          <w:tcPr>
            <w:tcW w:w="1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6"/>
        </w:trPr>
        <w:tc>
          <w:tcPr>
            <w:tcW w:w="1980" w:type="dxa"/>
            <w:vAlign w:val="bottom"/>
          </w:tcPr>
          <w:p>
            <w:pPr>
              <w:spacing w:after="0"/>
              <w:rPr>
                <w:sz w:val="19"/>
                <w:szCs w:val="19"/>
                <w:color w:val="auto"/>
              </w:rPr>
            </w:pPr>
          </w:p>
        </w:tc>
        <w:tc>
          <w:tcPr>
            <w:tcW w:w="1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48" w:right="220" w:hanging="148"/>
        <w:spacing w:after="0" w:line="280" w:lineRule="auto"/>
        <w:tabs>
          <w:tab w:leader="none" w:pos="138"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approve our Consolidated Financial Statements for the fiscal year ended September 30, 2018 (Proposal III).</w:t>
      </w:r>
    </w:p>
    <w:p>
      <w:pPr>
        <w:spacing w:after="0" w:line="76" w:lineRule="exact"/>
        <w:rPr>
          <w:rFonts w:ascii="Arial" w:cs="Arial" w:eastAsia="Arial" w:hAnsi="Arial"/>
          <w:sz w:val="13"/>
          <w:szCs w:val="13"/>
          <w:color w:val="auto"/>
        </w:rPr>
      </w:pPr>
    </w:p>
    <w:p>
      <w:pPr>
        <w:ind w:left="148" w:hanging="148"/>
        <w:spacing w:after="0" w:line="247" w:lineRule="auto"/>
        <w:tabs>
          <w:tab w:leader="none" w:pos="138"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ratify and approve the appointment of Ernst &amp; Young LLP as our independent registered public accounting firm for the fiscal year ending September 30, 2019,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tabs>
          <w:tab w:leader="none" w:pos="540" w:val="left"/>
          <w:tab w:leader="none" w:pos="12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1" w:lineRule="exact"/>
        <w:rPr>
          <w:sz w:val="20"/>
          <w:szCs w:val="20"/>
          <w:color w:val="auto"/>
        </w:rPr>
      </w:pPr>
    </w:p>
    <w:p>
      <w:pPr>
        <w:spacing w:after="0" w:line="141" w:lineRule="exact"/>
        <w:tabs>
          <w:tab w:leader="none" w:pos="540" w:val="left"/>
          <w:tab w:leader="none" w:pos="12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67" w:lineRule="exact"/>
        <w:rPr>
          <w:sz w:val="20"/>
          <w:szCs w:val="20"/>
          <w:color w:val="auto"/>
        </w:rPr>
      </w:pPr>
    </w:p>
    <w:p>
      <w:pPr>
        <w:sectPr>
          <w:pgSz w:w="11900" w:h="16838" w:orient="portrait"/>
          <w:cols w:equalWidth="0" w:num="3">
            <w:col w:w="4920" w:space="432"/>
            <w:col w:w="3688" w:space="240"/>
            <w:col w:w="1720"/>
          </w:cols>
          <w:pgMar w:left="440" w:top="270" w:right="459" w:bottom="1440" w:gutter="0" w:footer="0" w:header="0"/>
          <w:type w:val="continuous"/>
        </w:sectPr>
      </w:pPr>
    </w:p>
    <w:p>
      <w:pPr>
        <w:ind w:left="160" w:right="580"/>
        <w:spacing w:after="0" w:line="268" w:lineRule="auto"/>
        <w:rPr>
          <w:sz w:val="20"/>
          <w:szCs w:val="20"/>
          <w:color w:val="auto"/>
        </w:rPr>
      </w:pPr>
      <w:r>
        <w:rPr>
          <w:rFonts w:ascii="Arial" w:cs="Arial" w:eastAsia="Arial" w:hAnsi="Arial"/>
          <w:sz w:val="12"/>
          <w:szCs w:val="12"/>
          <w:color w:val="auto"/>
        </w:rPr>
        <w:t>To change the address on your account, please check the box at right and indicate your new address in the address space above. Please note that</w:t>
      </w:r>
    </w:p>
    <w:p>
      <w:pPr>
        <w:spacing w:after="0" w:line="1" w:lineRule="exact"/>
        <w:rPr>
          <w:sz w:val="20"/>
          <w:szCs w:val="20"/>
          <w:color w:val="auto"/>
        </w:rPr>
      </w:pPr>
    </w:p>
    <w:p>
      <w:pPr>
        <w:ind w:left="160"/>
        <w:spacing w:after="0" w:line="159" w:lineRule="exact"/>
        <w:rPr>
          <w:sz w:val="20"/>
          <w:szCs w:val="20"/>
          <w:color w:val="auto"/>
        </w:rPr>
      </w:pPr>
      <w:r>
        <w:rPr>
          <w:rFonts w:ascii="Arial" w:cs="Arial" w:eastAsia="Arial" w:hAnsi="Arial"/>
          <w:sz w:val="14"/>
          <w:szCs w:val="14"/>
          <w:color w:val="auto"/>
        </w:rPr>
        <w:t xml:space="preserve">changes to the registered name(s) on the account may not be submitted via </w:t>
      </w:r>
      <w:r>
        <w:rPr>
          <w:rFonts w:ascii="MS PGothic" w:cs="MS PGothic" w:eastAsia="MS PGothic" w:hAnsi="MS PGothic"/>
          <w:sz w:val="14"/>
          <w:szCs w:val="14"/>
          <w:color w:val="auto"/>
        </w:rPr>
        <w:t>☐</w:t>
      </w:r>
      <w:r>
        <w:rPr>
          <w:rFonts w:ascii="Arial" w:cs="Arial" w:eastAsia="Arial" w:hAnsi="Arial"/>
          <w:sz w:val="14"/>
          <w:szCs w:val="14"/>
          <w:color w:val="auto"/>
        </w:rPr>
        <w:t xml:space="preserve"> this method.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7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Board of Directors has fixed the close of business on December 3, 2018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162560</wp:posOffset>
            </wp:positionV>
            <wp:extent cx="65151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440"/>
            <w:col w:w="5640"/>
          </w:cols>
          <w:pgMar w:left="440" w:top="270" w:right="459" w:bottom="1440" w:gutter="0" w:footer="0" w:header="0"/>
          <w:type w:val="continuous"/>
        </w:sectPr>
      </w:pP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1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260" w:type="dxa"/>
            <w:vAlign w:val="bottom"/>
            <w:tcBorders>
              <w:top w:val="single" w:sz="8" w:color="auto"/>
              <w:right w:val="single" w:sz="8" w:color="auto"/>
            </w:tcBorders>
          </w:tcPr>
          <w:p>
            <w:pPr>
              <w:spacing w:after="0"/>
              <w:rPr>
                <w:sz w:val="22"/>
                <w:szCs w:val="22"/>
                <w:color w:val="auto"/>
              </w:rPr>
            </w:pPr>
          </w:p>
        </w:tc>
        <w:tc>
          <w:tcPr>
            <w:tcW w:w="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000" w:type="dxa"/>
            <w:vAlign w:val="bottom"/>
            <w:tcBorders>
              <w:top w:val="single" w:sz="8" w:color="auto"/>
              <w:right w:val="single" w:sz="8" w:color="auto"/>
            </w:tcBorders>
          </w:tcPr>
          <w:p>
            <w:pPr>
              <w:spacing w:after="0"/>
              <w:rPr>
                <w:sz w:val="22"/>
                <w:szCs w:val="22"/>
                <w:color w:val="auto"/>
              </w:rPr>
            </w:pPr>
          </w:p>
        </w:tc>
        <w:tc>
          <w:tcPr>
            <w:tcW w:w="18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Signature of Shareholder</w:t>
            </w:r>
          </w:p>
        </w:tc>
        <w:tc>
          <w:tcPr>
            <w:tcW w:w="2000" w:type="dxa"/>
            <w:vAlign w:val="bottom"/>
            <w:tcBorders>
              <w:top w:val="single" w:sz="8" w:color="auto"/>
              <w:right w:val="single" w:sz="8" w:color="auto"/>
            </w:tcBorders>
          </w:tcPr>
          <w:p>
            <w:pPr>
              <w:spacing w:after="0"/>
              <w:rPr>
                <w:sz w:val="22"/>
                <w:szCs w:val="22"/>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89"/>
              </w:rPr>
              <w:t>Date:</w:t>
            </w:r>
          </w:p>
        </w:tc>
      </w:tr>
      <w:tr>
        <w:trPr>
          <w:trHeight w:val="80"/>
        </w:trPr>
        <w:tc>
          <w:tcPr>
            <w:tcW w:w="1820" w:type="dxa"/>
            <w:vAlign w:val="bottom"/>
            <w:tcBorders>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r>
    </w:tbl>
    <w:p>
      <w:pPr>
        <w:spacing w:after="0" w:line="224" w:lineRule="exact"/>
        <w:rPr>
          <w:sz w:val="20"/>
          <w:szCs w:val="20"/>
          <w:color w:val="auto"/>
        </w:rPr>
      </w:pPr>
    </w:p>
    <w:p>
      <w:pPr>
        <w:ind w:left="740" w:right="140"/>
        <w:spacing w:after="0" w:line="19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84" w:lineRule="auto"/>
        <w:tabs>
          <w:tab w:leader="none" w:pos="1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26"/>
          <w:szCs w:val="26"/>
          <w:color w:val="auto"/>
          <w:vertAlign w:val="subscript"/>
        </w:rPr>
        <w:t>¢</w:t>
      </w:r>
    </w:p>
    <w:p>
      <w:pPr>
        <w:sectPr>
          <w:pgSz w:w="11900" w:h="16838" w:orient="portrait"/>
          <w:cols w:equalWidth="0" w:num="1">
            <w:col w:w="11000"/>
          </w:cols>
          <w:pgMar w:left="440" w:top="270" w:right="45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6" w:lineRule="exact"/>
        <w:rPr>
          <w:sz w:val="20"/>
          <w:szCs w:val="20"/>
          <w:color w:val="auto"/>
        </w:rPr>
      </w:pPr>
    </w:p>
    <w:p>
      <w:pPr>
        <w:jc w:val="center"/>
        <w:spacing w:after="0" w:line="312" w:lineRule="auto"/>
        <w:rPr>
          <w:sz w:val="20"/>
          <w:szCs w:val="20"/>
          <w:color w:val="auto"/>
        </w:rPr>
      </w:pPr>
      <w:r>
        <w:rPr>
          <w:rFonts w:ascii="Arial" w:cs="Arial" w:eastAsia="Arial" w:hAnsi="Arial"/>
          <w:sz w:val="15"/>
          <w:szCs w:val="15"/>
          <w:color w:val="auto"/>
        </w:rPr>
        <w:t>The undersigned hereby appoints each of Robert A. Minicucci and Michal Topolski as Proxies, each with the power to appoint his or her substitute, and hereby authorizes each of them to represent and vote, as designated on the reverse side, all Ordinary Shares of Amdocs Limited (the “Company”) held of record by the undersigned on December 3, 2018, at the annual General Meeting of shareholders to be held on January 31, 2019 or any adjournment thereof.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11</w:t>
      </w:r>
      <w:r>
        <w:rPr>
          <w:sz w:val="20"/>
          <w:szCs w:val="20"/>
          <w:color w:val="auto"/>
        </w:rPr>
        <w:tab/>
      </w:r>
      <w:r>
        <w:rPr>
          <w:rFonts w:ascii="Arial" w:cs="Arial" w:eastAsia="Arial" w:hAnsi="Arial"/>
          <w:sz w:val="16"/>
          <w:szCs w:val="16"/>
          <w:color w:val="auto"/>
        </w:rPr>
        <w:t>14475 ¢</w:t>
      </w:r>
    </w:p>
    <w:p>
      <w:pPr>
        <w:sectPr>
          <w:pgSz w:w="11900" w:h="16838" w:orient="portrait"/>
          <w:cols w:equalWidth="0" w:num="1">
            <w:col w:w="11020"/>
          </w:cols>
          <w:pgMar w:left="440" w:top="1440" w:right="439" w:bottom="1440" w:gutter="0" w:footer="0" w:header="0"/>
        </w:sectPr>
      </w:pPr>
    </w:p>
    <w:bookmarkStart w:id="25" w:name="page26"/>
    <w:bookmarkEnd w:id="2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172085</wp:posOffset>
            </wp:positionV>
            <wp:extent cx="280416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04160" cy="31750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0940"/>
          </w:cols>
          <w:pgMar w:left="440" w:top="270" w:right="5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right="860"/>
        <w:spacing w:after="0"/>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or scan the QR code with your smartphone. Have your proxy card available when you access the web page.</w:t>
      </w:r>
    </w:p>
    <w:p>
      <w:pPr>
        <w:spacing w:after="0" w:line="98" w:lineRule="exact"/>
        <w:rPr>
          <w:sz w:val="20"/>
          <w:szCs w:val="20"/>
          <w:color w:val="auto"/>
        </w:rPr>
      </w:pPr>
    </w:p>
    <w:p>
      <w:pPr>
        <w:ind w:right="160"/>
        <w:spacing w:after="0"/>
        <w:rPr>
          <w:sz w:val="20"/>
          <w:szCs w:val="20"/>
          <w:color w:val="auto"/>
        </w:rPr>
      </w:pPr>
      <w:r>
        <w:rPr>
          <w:rFonts w:ascii="Arial" w:cs="Arial" w:eastAsia="Arial" w:hAnsi="Arial"/>
          <w:sz w:val="14"/>
          <w:szCs w:val="14"/>
          <w:b w:val="1"/>
          <w:bCs w:val="1"/>
          <w:u w:val="single" w:color="auto"/>
          <w:color w:val="auto"/>
        </w:rPr>
        <w:t>TELEPHONE</w:t>
      </w:r>
      <w:r>
        <w:rPr>
          <w:rFonts w:ascii="Arial" w:cs="Arial" w:eastAsia="Arial" w:hAnsi="Arial"/>
          <w:sz w:val="14"/>
          <w:szCs w:val="14"/>
          <w:b w:val="1"/>
          <w:bCs w:val="1"/>
          <w:color w:val="auto"/>
        </w:rPr>
        <w:t xml:space="preserve"> - </w:t>
      </w:r>
      <w:r>
        <w:rPr>
          <w:rFonts w:ascii="Arial" w:cs="Arial" w:eastAsia="Arial" w:hAnsi="Arial"/>
          <w:sz w:val="14"/>
          <w:szCs w:val="14"/>
          <w:color w:val="auto"/>
        </w:rPr>
        <w:t>Call toll-free</w:t>
      </w:r>
      <w:r>
        <w:rPr>
          <w:rFonts w:ascii="Arial" w:cs="Arial" w:eastAsia="Arial" w:hAnsi="Arial"/>
          <w:sz w:val="14"/>
          <w:szCs w:val="14"/>
          <w:b w:val="1"/>
          <w:bCs w:val="1"/>
          <w:color w:val="auto"/>
        </w:rPr>
        <w:t xml:space="preserve"> 1-800-PROXIES </w:t>
      </w:r>
      <w:r>
        <w:rPr>
          <w:rFonts w:ascii="Arial" w:cs="Arial" w:eastAsia="Arial" w:hAnsi="Arial"/>
          <w:sz w:val="14"/>
          <w:szCs w:val="14"/>
          <w:color w:val="auto"/>
        </w:rPr>
        <w:t>(1-800-776-9437) in the United States or</w:t>
      </w:r>
      <w:r>
        <w:rPr>
          <w:rFonts w:ascii="Arial" w:cs="Arial" w:eastAsia="Arial" w:hAnsi="Arial"/>
          <w:sz w:val="14"/>
          <w:szCs w:val="14"/>
          <w:b w:val="1"/>
          <w:bCs w:val="1"/>
          <w:color w:val="auto"/>
        </w:rPr>
        <w:t xml:space="preserve"> 1-718-921-8500 </w:t>
      </w:r>
      <w:r>
        <w:rPr>
          <w:rFonts w:ascii="Arial" w:cs="Arial" w:eastAsia="Arial" w:hAnsi="Arial"/>
          <w:sz w:val="14"/>
          <w:szCs w:val="14"/>
          <w:color w:val="auto"/>
        </w:rPr>
        <w:t>from foreign countries from any touch-tone telephone and follow the</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Have your proxy card available when you call.</w:t>
      </w:r>
    </w:p>
    <w:p>
      <w:pPr>
        <w:spacing w:after="0" w:line="88" w:lineRule="exact"/>
        <w:rPr>
          <w:sz w:val="20"/>
          <w:szCs w:val="20"/>
          <w:color w:val="auto"/>
        </w:rPr>
      </w:pPr>
    </w:p>
    <w:p>
      <w:pPr>
        <w:ind w:right="160"/>
        <w:spacing w:after="0" w:line="438" w:lineRule="auto"/>
        <w:rPr>
          <w:sz w:val="20"/>
          <w:szCs w:val="20"/>
          <w:color w:val="auto"/>
        </w:rPr>
      </w:pPr>
      <w:r>
        <w:rPr>
          <w:rFonts w:ascii="Arial" w:cs="Arial" w:eastAsia="Arial" w:hAnsi="Arial"/>
          <w:sz w:val="14"/>
          <w:szCs w:val="14"/>
          <w:color w:val="auto"/>
        </w:rPr>
        <w:t xml:space="preserve">Vote online/phone until 11:59 PM EST the day before the meeting. </w:t>
      </w: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 </w:t>
      </w:r>
      <w:r>
        <w:rPr>
          <w:rFonts w:ascii="Arial" w:cs="Arial" w:eastAsia="Arial" w:hAnsi="Arial"/>
          <w:sz w:val="14"/>
          <w:szCs w:val="14"/>
          <w:color w:val="auto"/>
        </w:rPr>
        <w:t>Sign, date and mail your proxy card in the envelope provided as soon as possible.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 </w:t>
      </w:r>
      <w:r>
        <w:rPr>
          <w:rFonts w:ascii="Arial" w:cs="Arial" w:eastAsia="Arial" w:hAnsi="Arial"/>
          <w:sz w:val="14"/>
          <w:szCs w:val="14"/>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7002145" cy="269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269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-558800</wp:posOffset>
            </wp:positionV>
            <wp:extent cx="3413125" cy="1063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3125" cy="106362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 NUMBER</w:t>
      </w:r>
    </w:p>
    <w:p>
      <w:pPr>
        <w:spacing w:after="0" w:line="991" w:lineRule="exact"/>
        <w:rPr>
          <w:sz w:val="20"/>
          <w:szCs w:val="20"/>
          <w:color w:val="auto"/>
        </w:rPr>
      </w:pPr>
    </w:p>
    <w:p>
      <w:pPr>
        <w:sectPr>
          <w:pgSz w:w="11900" w:h="16838" w:orient="portrait"/>
          <w:cols w:equalWidth="0" w:num="2">
            <w:col w:w="5380" w:space="720"/>
            <w:col w:w="4840"/>
          </w:cols>
          <w:pgMar w:left="440" w:top="270" w:right="519" w:bottom="1440" w:gutter="0" w:footer="0" w:header="0"/>
          <w:type w:val="continuous"/>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The Notice of Meeting, Proxy Statement, Proxy Card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are available at www.amdocs.com/proxy</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 Please detach along perforated line and mail in the envelope provided IF you are not voting via telephone or the Internet. i</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ind w:right="-79"/>
        <w:spacing w:after="0" w:line="226" w:lineRule="auto"/>
        <w:rPr>
          <w:sz w:val="20"/>
          <w:szCs w:val="20"/>
          <w:color w:val="auto"/>
        </w:rPr>
      </w:pPr>
      <w:r>
        <w:rPr>
          <w:rFonts w:ascii="Arial" w:cs="Arial" w:eastAsia="Arial" w:hAnsi="Arial"/>
          <w:sz w:val="14"/>
          <w:szCs w:val="14"/>
          <w:b w:val="1"/>
          <w:bCs w:val="1"/>
          <w:color w:val="auto"/>
        </w:rPr>
        <w:t>AND A VOTE “FOR” PROPOSALS 2, 3 AND 4</w:t>
      </w:r>
    </w:p>
    <w:p>
      <w:pPr>
        <w:jc w:val="center"/>
        <w:ind w:right="-79"/>
        <w:spacing w:after="0" w:line="23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jc w:val="center"/>
        <w:ind w:right="-79"/>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2298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229806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type w:val="continuous"/>
        </w:sectPr>
      </w:pP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w w:val="94"/>
              </w:rPr>
              <w:t>FOR</w:t>
            </w:r>
          </w:p>
        </w:tc>
        <w:tc>
          <w:tcPr>
            <w:tcW w:w="940" w:type="dxa"/>
            <w:vAlign w:val="bottom"/>
          </w:tcPr>
          <w:p>
            <w:pPr>
              <w:ind w:left="140"/>
              <w:spacing w:after="0"/>
              <w:rPr>
                <w:sz w:val="20"/>
                <w:szCs w:val="20"/>
                <w:color w:val="auto"/>
              </w:rPr>
            </w:pPr>
            <w:r>
              <w:rPr>
                <w:rFonts w:ascii="Arial" w:cs="Arial" w:eastAsia="Arial" w:hAnsi="Arial"/>
                <w:sz w:val="14"/>
                <w:szCs w:val="14"/>
                <w:color w:val="auto"/>
              </w:rPr>
              <w:t>AGAINST</w:t>
            </w:r>
          </w:p>
        </w:tc>
        <w:tc>
          <w:tcPr>
            <w:tcW w:w="800" w:type="dxa"/>
            <w:vAlign w:val="bottom"/>
          </w:tcPr>
          <w:p>
            <w:pPr>
              <w:jc w:val="center"/>
              <w:ind w:left="108"/>
              <w:spacing w:after="0"/>
              <w:rPr>
                <w:sz w:val="20"/>
                <w:szCs w:val="20"/>
                <w:color w:val="auto"/>
              </w:rPr>
            </w:pPr>
            <w:r>
              <w:rPr>
                <w:rFonts w:ascii="Arial" w:cs="Arial" w:eastAsia="Arial" w:hAnsi="Arial"/>
                <w:sz w:val="14"/>
                <w:szCs w:val="14"/>
                <w:color w:val="auto"/>
              </w:rPr>
              <w:t>ABSTAIN</w:t>
            </w:r>
          </w:p>
        </w:tc>
      </w:tr>
      <w:tr>
        <w:trPr>
          <w:trHeight w:val="203"/>
        </w:trPr>
        <w:tc>
          <w:tcPr>
            <w:tcW w:w="2400" w:type="dxa"/>
            <w:vAlign w:val="bottom"/>
          </w:tcPr>
          <w:p>
            <w:pPr>
              <w:ind w:left="200"/>
              <w:spacing w:after="0"/>
              <w:rPr>
                <w:sz w:val="20"/>
                <w:szCs w:val="20"/>
                <w:color w:val="auto"/>
              </w:rPr>
            </w:pPr>
            <w:r>
              <w:rPr>
                <w:rFonts w:ascii="Arial" w:cs="Arial" w:eastAsia="Arial" w:hAnsi="Arial"/>
                <w:sz w:val="14"/>
                <w:szCs w:val="14"/>
                <w:color w:val="auto"/>
              </w:rPr>
              <w:t>Robert A. Minicucci</w:t>
            </w:r>
          </w:p>
        </w:tc>
        <w:tc>
          <w:tcPr>
            <w:tcW w:w="8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400" w:type="dxa"/>
            <w:vAlign w:val="bottom"/>
          </w:tcPr>
          <w:p>
            <w:pPr>
              <w:ind w:left="200"/>
              <w:spacing w:after="0"/>
              <w:rPr>
                <w:sz w:val="20"/>
                <w:szCs w:val="20"/>
                <w:color w:val="auto"/>
              </w:rPr>
            </w:pPr>
            <w:r>
              <w:rPr>
                <w:rFonts w:ascii="Arial" w:cs="Arial" w:eastAsia="Arial" w:hAnsi="Arial"/>
                <w:sz w:val="14"/>
                <w:szCs w:val="14"/>
                <w:color w:val="auto"/>
              </w:rPr>
              <w:t>Julian A. Brodsky</w:t>
            </w:r>
          </w:p>
        </w:tc>
        <w:tc>
          <w:tcPr>
            <w:tcW w:w="8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2400" w:type="dxa"/>
            <w:vAlign w:val="bottom"/>
          </w:tcPr>
          <w:p>
            <w:pPr>
              <w:ind w:left="200"/>
              <w:spacing w:after="0"/>
              <w:rPr>
                <w:sz w:val="20"/>
                <w:szCs w:val="20"/>
                <w:color w:val="auto"/>
              </w:rPr>
            </w:pPr>
            <w:r>
              <w:rPr>
                <w:rFonts w:ascii="Arial" w:cs="Arial" w:eastAsia="Arial" w:hAnsi="Arial"/>
                <w:sz w:val="14"/>
                <w:szCs w:val="14"/>
                <w:color w:val="auto"/>
              </w:rPr>
              <w:t>Adrian Gardner</w:t>
            </w:r>
          </w:p>
        </w:tc>
        <w:tc>
          <w:tcPr>
            <w:tcW w:w="86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89"/>
        </w:trPr>
        <w:tc>
          <w:tcPr>
            <w:tcW w:w="2400" w:type="dxa"/>
            <w:vAlign w:val="bottom"/>
          </w:tcPr>
          <w:p>
            <w:pPr>
              <w:ind w:left="200"/>
              <w:spacing w:after="0" w:line="90" w:lineRule="exact"/>
              <w:rPr>
                <w:sz w:val="20"/>
                <w:szCs w:val="20"/>
                <w:color w:val="auto"/>
              </w:rPr>
            </w:pPr>
            <w:r>
              <w:rPr>
                <w:rFonts w:ascii="Arial" w:cs="Arial" w:eastAsia="Arial" w:hAnsi="Arial"/>
                <w:sz w:val="10"/>
                <w:szCs w:val="10"/>
                <w:color w:val="auto"/>
              </w:rPr>
              <w:t>Eli Gelman</w:t>
            </w: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ind w:left="3520"/>
              <w:spacing w:after="0"/>
              <w:rPr>
                <w:sz w:val="20"/>
                <w:szCs w:val="20"/>
                <w:color w:val="auto"/>
              </w:rPr>
            </w:pPr>
            <w:r>
              <w:rPr>
                <w:rFonts w:ascii="Arial" w:cs="Arial" w:eastAsia="Arial" w:hAnsi="Arial"/>
                <w:sz w:val="14"/>
                <w:szCs w:val="14"/>
                <w:color w:val="auto"/>
              </w:rPr>
              <w:t>FOR</w:t>
            </w:r>
          </w:p>
        </w:tc>
        <w:tc>
          <w:tcPr>
            <w:tcW w:w="8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6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20"/>
                <w:szCs w:val="20"/>
                <w:color w:val="auto"/>
              </w:rPr>
            </w:pPr>
            <w:r>
              <w:rPr>
                <w:rFonts w:ascii="Arial" w:cs="Arial" w:eastAsia="Arial" w:hAnsi="Arial"/>
                <w:sz w:val="14"/>
                <w:szCs w:val="14"/>
                <w:color w:val="auto"/>
              </w:rPr>
              <w:t>2. To approve an increase in the dividend rate under our</w:t>
            </w:r>
          </w:p>
        </w:tc>
        <w:tc>
          <w:tcPr>
            <w:tcW w:w="8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7"/>
        </w:trPr>
        <w:tc>
          <w:tcPr>
            <w:tcW w:w="3920" w:type="dxa"/>
            <w:vAlign w:val="bottom"/>
          </w:tcPr>
          <w:p>
            <w:pPr>
              <w:ind w:left="140"/>
              <w:spacing w:after="0" w:line="157" w:lineRule="exact"/>
              <w:rPr>
                <w:sz w:val="20"/>
                <w:szCs w:val="20"/>
                <w:color w:val="auto"/>
              </w:rPr>
            </w:pPr>
            <w:r>
              <w:rPr>
                <w:rFonts w:ascii="Arial" w:cs="Arial" w:eastAsia="Arial" w:hAnsi="Arial"/>
                <w:sz w:val="14"/>
                <w:szCs w:val="14"/>
                <w:color w:val="auto"/>
              </w:rPr>
              <w:t xml:space="preserve">quarterly cash dividend program from $0.25 per share to   </w:t>
            </w:r>
            <w:r>
              <w:rPr>
                <w:rFonts w:ascii="MS PGothic" w:cs="MS PGothic" w:eastAsia="MS PGothic" w:hAnsi="MS PGothic"/>
                <w:sz w:val="14"/>
                <w:szCs w:val="14"/>
                <w:color w:val="auto"/>
              </w:rPr>
              <w:t>☐</w:t>
            </w:r>
          </w:p>
        </w:tc>
        <w:tc>
          <w:tcPr>
            <w:tcW w:w="8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20" w:type="dxa"/>
            <w:vAlign w:val="bottom"/>
          </w:tcPr>
          <w:p>
            <w:pPr>
              <w:ind w:left="140"/>
              <w:spacing w:after="0"/>
              <w:rPr>
                <w:sz w:val="20"/>
                <w:szCs w:val="20"/>
                <w:color w:val="auto"/>
              </w:rPr>
            </w:pPr>
            <w:r>
              <w:rPr>
                <w:rFonts w:ascii="Arial" w:cs="Arial" w:eastAsia="Arial" w:hAnsi="Arial"/>
                <w:sz w:val="14"/>
                <w:szCs w:val="14"/>
                <w:color w:val="auto"/>
              </w:rPr>
              <w:t>$0.285 per share (Proposal II).</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2">
            <w:col w:w="5160" w:space="240"/>
            <w:col w:w="5540"/>
          </w:cols>
          <w:pgMar w:left="440" w:top="270" w:right="51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2320" w:type="dxa"/>
            <w:vAlign w:val="bottom"/>
            <w:vMerge w:val="restart"/>
          </w:tcPr>
          <w:p>
            <w:pPr>
              <w:ind w:left="340"/>
              <w:spacing w:after="0"/>
              <w:rPr>
                <w:sz w:val="20"/>
                <w:szCs w:val="20"/>
                <w:color w:val="auto"/>
              </w:rPr>
            </w:pPr>
            <w:r>
              <w:rPr>
                <w:rFonts w:ascii="Arial" w:cs="Arial" w:eastAsia="Arial" w:hAnsi="Arial"/>
                <w:sz w:val="14"/>
                <w:szCs w:val="14"/>
                <w:color w:val="auto"/>
              </w:rPr>
              <w:t>James S. Kahan</w:t>
            </w:r>
          </w:p>
        </w:tc>
        <w:tc>
          <w:tcPr>
            <w:tcW w:w="12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1200" w:type="dxa"/>
            <w:vAlign w:val="bottom"/>
            <w:vMerge w:val="restart"/>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8"/>
        </w:trPr>
        <w:tc>
          <w:tcPr>
            <w:tcW w:w="2320" w:type="dxa"/>
            <w:vAlign w:val="bottom"/>
            <w:vMerge w:val="restart"/>
          </w:tcPr>
          <w:p>
            <w:pPr>
              <w:ind w:left="340"/>
              <w:spacing w:after="0"/>
              <w:rPr>
                <w:sz w:val="20"/>
                <w:szCs w:val="20"/>
                <w:color w:val="auto"/>
              </w:rPr>
            </w:pPr>
            <w:r>
              <w:rPr>
                <w:rFonts w:ascii="Arial" w:cs="Arial" w:eastAsia="Arial" w:hAnsi="Arial"/>
                <w:sz w:val="14"/>
                <w:szCs w:val="14"/>
                <w:color w:val="auto"/>
              </w:rPr>
              <w:t>Richard T.C. LeFave</w:t>
            </w:r>
          </w:p>
        </w:tc>
        <w:tc>
          <w:tcPr>
            <w:tcW w:w="12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20" w:type="dxa"/>
            <w:vAlign w:val="bottom"/>
            <w:vMerge w:val="continue"/>
          </w:tcPr>
          <w:p>
            <w:pPr>
              <w:spacing w:after="0"/>
              <w:rPr>
                <w:sz w:val="4"/>
                <w:szCs w:val="4"/>
                <w:color w:val="auto"/>
              </w:rPr>
            </w:pPr>
          </w:p>
        </w:tc>
        <w:tc>
          <w:tcPr>
            <w:tcW w:w="1200" w:type="dxa"/>
            <w:vAlign w:val="bottom"/>
            <w:vMerge w:val="restart"/>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5"/>
        </w:trPr>
        <w:tc>
          <w:tcPr>
            <w:tcW w:w="2320" w:type="dxa"/>
            <w:vAlign w:val="bottom"/>
          </w:tcPr>
          <w:p>
            <w:pPr>
              <w:ind w:left="340"/>
              <w:spacing w:after="0" w:line="155" w:lineRule="exact"/>
              <w:rPr>
                <w:sz w:val="20"/>
                <w:szCs w:val="20"/>
                <w:color w:val="auto"/>
              </w:rPr>
            </w:pPr>
            <w:r>
              <w:rPr>
                <w:rFonts w:ascii="Arial" w:cs="Arial" w:eastAsia="Arial" w:hAnsi="Arial"/>
                <w:sz w:val="14"/>
                <w:szCs w:val="14"/>
                <w:color w:val="auto"/>
              </w:rPr>
              <w:t>Ariane de Rothschild</w:t>
            </w:r>
          </w:p>
        </w:tc>
        <w:tc>
          <w:tcPr>
            <w:tcW w:w="12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4"/>
                <w:szCs w:val="14"/>
                <w:color w:val="auto"/>
              </w:rPr>
              <w:t>Shuky Sheffer</w:t>
            </w:r>
          </w:p>
        </w:tc>
        <w:tc>
          <w:tcPr>
            <w:tcW w:w="12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3"/>
        </w:trPr>
        <w:tc>
          <w:tcPr>
            <w:tcW w:w="2320" w:type="dxa"/>
            <w:vAlign w:val="bottom"/>
          </w:tcPr>
          <w:p>
            <w:pPr>
              <w:ind w:left="340"/>
              <w:spacing w:after="0"/>
              <w:rPr>
                <w:sz w:val="20"/>
                <w:szCs w:val="20"/>
                <w:color w:val="auto"/>
              </w:rPr>
            </w:pPr>
            <w:r>
              <w:rPr>
                <w:rFonts w:ascii="Arial" w:cs="Arial" w:eastAsia="Arial" w:hAnsi="Arial"/>
                <w:sz w:val="14"/>
                <w:szCs w:val="14"/>
                <w:color w:val="auto"/>
              </w:rPr>
              <w:t>Rafael de la Vega</w:t>
            </w:r>
          </w:p>
        </w:tc>
        <w:tc>
          <w:tcPr>
            <w:tcW w:w="12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9"/>
        </w:trPr>
        <w:tc>
          <w:tcPr>
            <w:tcW w:w="2320" w:type="dxa"/>
            <w:vAlign w:val="bottom"/>
          </w:tcPr>
          <w:p>
            <w:pPr>
              <w:ind w:left="340"/>
              <w:spacing w:after="0"/>
              <w:rPr>
                <w:sz w:val="20"/>
                <w:szCs w:val="20"/>
                <w:color w:val="auto"/>
              </w:rPr>
            </w:pPr>
            <w:r>
              <w:rPr>
                <w:rFonts w:ascii="Arial" w:cs="Arial" w:eastAsia="Arial" w:hAnsi="Arial"/>
                <w:sz w:val="14"/>
                <w:szCs w:val="14"/>
                <w:color w:val="auto"/>
              </w:rPr>
              <w:t>Giora Yaron</w:t>
            </w:r>
          </w:p>
        </w:tc>
        <w:tc>
          <w:tcPr>
            <w:tcW w:w="12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12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5"/>
        </w:trPr>
        <w:tc>
          <w:tcPr>
            <w:tcW w:w="4540" w:type="dxa"/>
            <w:vAlign w:val="bottom"/>
            <w:tcBorders>
              <w:bottom w:val="single" w:sz="8" w:color="auto"/>
            </w:tcBorders>
            <w:gridSpan w:val="3"/>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40" w:type="dxa"/>
            <w:vAlign w:val="bottom"/>
            <w:gridSpan w:val="3"/>
          </w:tcPr>
          <w:p>
            <w:pPr>
              <w:ind w:left="140"/>
              <w:spacing w:after="0"/>
              <w:rPr>
                <w:sz w:val="20"/>
                <w:szCs w:val="20"/>
                <w:color w:val="auto"/>
              </w:rPr>
            </w:pPr>
            <w:r>
              <w:rPr>
                <w:rFonts w:ascii="Arial" w:cs="Arial" w:eastAsia="Arial" w:hAnsi="Arial"/>
                <w:sz w:val="14"/>
                <w:szCs w:val="14"/>
                <w:color w:val="auto"/>
                <w:w w:val="95"/>
              </w:rPr>
              <w:t>To change the address on your account, please check the box at right and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34" w:right="20" w:hanging="134"/>
        <w:spacing w:after="0" w:line="280" w:lineRule="auto"/>
        <w:tabs>
          <w:tab w:leader="none" w:pos="124" w:val="left"/>
        </w:tabs>
        <w:numPr>
          <w:ilvl w:val="0"/>
          <w:numId w:val="16"/>
        </w:numPr>
        <w:rPr>
          <w:rFonts w:ascii="Arial" w:cs="Arial" w:eastAsia="Arial" w:hAnsi="Arial"/>
          <w:sz w:val="13"/>
          <w:szCs w:val="13"/>
          <w:color w:val="auto"/>
        </w:rPr>
      </w:pPr>
      <w:r>
        <w:rPr>
          <w:rFonts w:ascii="Arial" w:cs="Arial" w:eastAsia="Arial" w:hAnsi="Arial"/>
          <w:sz w:val="13"/>
          <w:szCs w:val="13"/>
          <w:color w:val="auto"/>
        </w:rPr>
        <w:t>To approve our Consolidated Financial Statements for the fiscal year ended September 30, 2018 (Proposal III).</w:t>
      </w:r>
    </w:p>
    <w:p>
      <w:pPr>
        <w:spacing w:after="0" w:line="76" w:lineRule="exact"/>
        <w:rPr>
          <w:rFonts w:ascii="Arial" w:cs="Arial" w:eastAsia="Arial" w:hAnsi="Arial"/>
          <w:sz w:val="13"/>
          <w:szCs w:val="13"/>
          <w:color w:val="auto"/>
        </w:rPr>
      </w:pPr>
    </w:p>
    <w:p>
      <w:pPr>
        <w:ind w:left="134" w:hanging="134"/>
        <w:spacing w:after="0" w:line="246" w:lineRule="auto"/>
        <w:tabs>
          <w:tab w:leader="none" w:pos="124" w:val="left"/>
        </w:tabs>
        <w:numPr>
          <w:ilvl w:val="0"/>
          <w:numId w:val="16"/>
        </w:numPr>
        <w:rPr>
          <w:rFonts w:ascii="Arial" w:cs="Arial" w:eastAsia="Arial" w:hAnsi="Arial"/>
          <w:sz w:val="13"/>
          <w:szCs w:val="13"/>
          <w:color w:val="auto"/>
        </w:rPr>
      </w:pPr>
      <w:r>
        <w:rPr>
          <w:rFonts w:ascii="Arial" w:cs="Arial" w:eastAsia="Arial" w:hAnsi="Arial"/>
          <w:sz w:val="13"/>
          <w:szCs w:val="13"/>
          <w:color w:val="auto"/>
        </w:rPr>
        <w:t>To ratify and approve the appointment of Ernst &amp; Young LLP as our independent registered public accounting firm for the fiscal year ending September 30, 2019,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41" w:lineRule="exact"/>
        <w:tabs>
          <w:tab w:leader="none" w:pos="680" w:val="left"/>
          <w:tab w:leader="none" w:pos="15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1" w:lineRule="exact"/>
        <w:rPr>
          <w:sz w:val="20"/>
          <w:szCs w:val="20"/>
          <w:color w:val="auto"/>
        </w:rPr>
      </w:pPr>
    </w:p>
    <w:p>
      <w:pPr>
        <w:spacing w:after="0" w:line="141" w:lineRule="exact"/>
        <w:tabs>
          <w:tab w:leader="none" w:pos="680" w:val="left"/>
          <w:tab w:leader="none" w:pos="15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277" w:lineRule="exact"/>
        <w:rPr>
          <w:sz w:val="20"/>
          <w:szCs w:val="20"/>
          <w:color w:val="auto"/>
        </w:rPr>
      </w:pPr>
    </w:p>
    <w:p>
      <w:pPr>
        <w:sectPr>
          <w:pgSz w:w="11900" w:h="16838" w:orient="portrait"/>
          <w:cols w:equalWidth="0" w:num="3">
            <w:col w:w="5320" w:space="86"/>
            <w:col w:w="3394" w:space="200"/>
            <w:col w:w="1940"/>
          </w:cols>
          <w:pgMar w:left="440" w:top="270" w:right="519" w:bottom="1440" w:gutter="0" w:footer="0" w:header="0"/>
          <w:type w:val="continuous"/>
        </w:sectPr>
      </w:pPr>
    </w:p>
    <w:tbl>
      <w:tblPr>
        <w:tblLayout w:type="fixed"/>
        <w:tblInd w:w="160" w:type="dxa"/>
        <w:tblCellMar>
          <w:top w:w="0" w:type="dxa"/>
          <w:left w:w="0" w:type="dxa"/>
          <w:bottom w:w="0" w:type="dxa"/>
          <w:right w:w="0" w:type="dxa"/>
        </w:tblCellMar>
      </w:tblPr>
      <w:tr>
        <w:trPr>
          <w:trHeight w:val="137"/>
        </w:trPr>
        <w:tc>
          <w:tcPr>
            <w:tcW w:w="4380" w:type="dxa"/>
            <w:vAlign w:val="bottom"/>
          </w:tcPr>
          <w:p>
            <w:pPr>
              <w:spacing w:after="0" w:line="137" w:lineRule="exact"/>
              <w:rPr>
                <w:sz w:val="20"/>
                <w:szCs w:val="20"/>
                <w:color w:val="auto"/>
              </w:rPr>
            </w:pPr>
            <w:r>
              <w:rPr>
                <w:rFonts w:ascii="Arial" w:cs="Arial" w:eastAsia="Arial" w:hAnsi="Arial"/>
                <w:sz w:val="14"/>
                <w:szCs w:val="14"/>
                <w:color w:val="auto"/>
                <w:w w:val="97"/>
              </w:rPr>
              <w:t>indicate your new address in the address space above. Please note that</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20"/>
                <w:szCs w:val="20"/>
                <w:color w:val="auto"/>
              </w:rPr>
            </w:pPr>
            <w:r>
              <w:rPr>
                <w:rFonts w:ascii="Arial" w:cs="Arial" w:eastAsia="Arial" w:hAnsi="Arial"/>
                <w:sz w:val="14"/>
                <w:szCs w:val="14"/>
                <w:color w:val="auto"/>
                <w:w w:val="97"/>
              </w:rPr>
              <w:t>changes to the registered name(s) on the account may not be submitted</w:t>
            </w: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via this method.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79"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The Board of Directors has fixed the close of business on December 3, 2018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162560</wp:posOffset>
            </wp:positionV>
            <wp:extent cx="65151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420"/>
            <w:col w:w="5540"/>
          </w:cols>
          <w:pgMar w:left="440" w:top="270" w:right="519" w:bottom="1440" w:gutter="0" w:footer="0" w:header="0"/>
          <w:type w:val="continuous"/>
        </w:sectPr>
      </w:pP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1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260" w:type="dxa"/>
            <w:vAlign w:val="bottom"/>
            <w:tcBorders>
              <w:top w:val="single" w:sz="8" w:color="auto"/>
              <w:right w:val="single" w:sz="8" w:color="auto"/>
            </w:tcBorders>
          </w:tcPr>
          <w:p>
            <w:pPr>
              <w:spacing w:after="0"/>
              <w:rPr>
                <w:sz w:val="22"/>
                <w:szCs w:val="22"/>
                <w:color w:val="auto"/>
              </w:rPr>
            </w:pPr>
          </w:p>
        </w:tc>
        <w:tc>
          <w:tcPr>
            <w:tcW w:w="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000" w:type="dxa"/>
            <w:vAlign w:val="bottom"/>
            <w:tcBorders>
              <w:top w:val="single" w:sz="8" w:color="auto"/>
              <w:right w:val="single" w:sz="8" w:color="auto"/>
            </w:tcBorders>
          </w:tcPr>
          <w:p>
            <w:pPr>
              <w:spacing w:after="0"/>
              <w:rPr>
                <w:sz w:val="22"/>
                <w:szCs w:val="22"/>
                <w:color w:val="auto"/>
              </w:rPr>
            </w:pPr>
          </w:p>
        </w:tc>
        <w:tc>
          <w:tcPr>
            <w:tcW w:w="18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Signature of Shareholder</w:t>
            </w:r>
          </w:p>
        </w:tc>
        <w:tc>
          <w:tcPr>
            <w:tcW w:w="2000" w:type="dxa"/>
            <w:vAlign w:val="bottom"/>
            <w:tcBorders>
              <w:top w:val="single" w:sz="8" w:color="auto"/>
              <w:right w:val="single" w:sz="8" w:color="auto"/>
            </w:tcBorders>
          </w:tcPr>
          <w:p>
            <w:pPr>
              <w:spacing w:after="0"/>
              <w:rPr>
                <w:sz w:val="22"/>
                <w:szCs w:val="22"/>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89"/>
              </w:rPr>
              <w:t>Date:</w:t>
            </w:r>
          </w:p>
        </w:tc>
      </w:tr>
      <w:tr>
        <w:trPr>
          <w:trHeight w:val="80"/>
        </w:trPr>
        <w:tc>
          <w:tcPr>
            <w:tcW w:w="1820" w:type="dxa"/>
            <w:vAlign w:val="bottom"/>
            <w:tcBorders>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r>
    </w:tbl>
    <w:p>
      <w:pPr>
        <w:spacing w:after="0" w:line="224" w:lineRule="exact"/>
        <w:rPr>
          <w:sz w:val="20"/>
          <w:szCs w:val="20"/>
          <w:color w:val="auto"/>
        </w:rPr>
      </w:pPr>
    </w:p>
    <w:p>
      <w:pPr>
        <w:ind w:left="740" w:right="80"/>
        <w:spacing w:after="0" w:line="19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84" w:lineRule="auto"/>
        <w:tabs>
          <w:tab w:leader="none" w:pos="1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26"/>
          <w:szCs w:val="26"/>
          <w:color w:val="auto"/>
          <w:vertAlign w:val="subscript"/>
        </w:rPr>
        <w:t>¢</w:t>
      </w:r>
    </w:p>
    <w:p>
      <w:pPr>
        <w:sectPr>
          <w:pgSz w:w="11900" w:h="16838" w:orient="portrait"/>
          <w:cols w:equalWidth="0" w:num="1">
            <w:col w:w="10940"/>
          </w:cols>
          <w:pgMar w:left="440" w:top="270" w:right="5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E. Smith</w:t>
      </w:r>
    </w:p>
    <w:p>
      <w:pPr>
        <w:spacing w:after="0" w:line="23"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2018</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66"/>
    </w:lvl>
  </w:abstractNum>
  <w:abstractNum w:abstractNumId="6">
    <w:nsid w:val="1190CDE7"/>
    <w:multiLevelType w:val="hybridMultilevel"/>
    <w:lvl w:ilvl="0">
      <w:lvlJc w:val="left"/>
      <w:lvlText w:val="%1"/>
      <w:numFmt w:val="decimal"/>
      <w:start w:val="85"/>
    </w:lvl>
  </w:abstractNum>
  <w:abstractNum w:abstractNumId="7">
    <w:nsid w:val="66EF438D"/>
    <w:multiLevelType w:val="hybridMultilevel"/>
    <w:lvl w:ilvl="0">
      <w:lvlJc w:val="left"/>
      <w:lvlText w:val="%1"/>
      <w:numFmt w:val="decimal"/>
      <w:start w:val="7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2019-12-06T12:07:30Z</dcterms:created>
  <dcterms:modified xsi:type="dcterms:W3CDTF">2019-12-06T12:07:30Z</dcterms:modified>
</cp:coreProperties>
</file>