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50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PURSUANT TO RULE 13a-16 OR 15d-16</w:t>
      </w:r>
    </w:p>
    <w:p>
      <w:pPr>
        <w:jc w:val="center"/>
        <w:ind w:right="-7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For the month of December, 2013</w:t>
      </w:r>
    </w:p>
    <w:p>
      <w:pPr>
        <w:spacing w:after="0" w:line="22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3740"/>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262255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Hirzel House, Smith Street</w:t>
      </w:r>
    </w:p>
    <w:p>
      <w:pPr>
        <w:spacing w:after="0" w:line="27"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7"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30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ind w:left="4860"/>
        <w:spacing w:after="0" w:line="207" w:lineRule="exact"/>
        <w:tabs>
          <w:tab w:leader="none" w:pos="59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20"/>
          </w:cols>
          <w:pgMar w:left="240" w:top="368" w:right="1039" w:bottom="1440" w:gutter="0" w:footer="0" w:header="0"/>
        </w:sectPr>
      </w:pPr>
    </w:p>
    <w:bookmarkStart w:id="1" w:name="page2"/>
    <w:bookmarkEnd w:id="1"/>
    <w:p>
      <w:pPr>
        <w:jc w:val="both"/>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December 5, 2013, Amdocs Limited issued a press release announcing it has decided to transfer the listing of its ordinary shares to The NASDAQ Global Select Market from the New York Stock Exchange. A copy of the press release is furnished as Exhibit 99.1 to this Report of Foreign Private Issuer on Form 6-K.</w:t>
      </w:r>
    </w:p>
    <w:p>
      <w:pPr>
        <w:sectPr>
          <w:pgSz w:w="11900" w:h="16838" w:orient="portrait"/>
          <w:cols w:equalWidth="0" w:num="1">
            <w:col w:w="11340"/>
          </w:cols>
          <w:pgMar w:left="240" w:top="274" w:right="31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Elizabeth W. McDermon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Elizabeth W. McDermon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5, 2013</w:t>
      </w:r>
    </w:p>
    <w:p>
      <w:pPr>
        <w:sectPr>
          <w:pgSz w:w="11900" w:h="16838" w:orient="portrait"/>
          <w:cols w:equalWidth="0" w:num="1">
            <w:col w:w="11260"/>
          </w:cols>
          <w:pgMar w:left="240" w:top="270" w:right="3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0" w:type="dxa"/>
            <w:vAlign w:val="bottom"/>
          </w:tcPr>
          <w:p>
            <w:pPr>
              <w:ind w:left="2280"/>
              <w:spacing w:after="0"/>
              <w:rPr>
                <w:sz w:val="20"/>
                <w:szCs w:val="20"/>
                <w:color w:val="auto"/>
              </w:rPr>
            </w:pPr>
            <w:r>
              <w:rPr>
                <w:rFonts w:ascii="Arial" w:cs="Arial" w:eastAsia="Arial" w:hAnsi="Arial"/>
                <w:sz w:val="18"/>
                <w:szCs w:val="18"/>
                <w:color w:val="auto"/>
                <w:w w:val="99"/>
              </w:rPr>
              <w:t>EXHIBIT INDEX</w:t>
            </w:r>
          </w:p>
        </w:tc>
      </w:tr>
      <w:tr>
        <w:trPr>
          <w:trHeight w:val="392"/>
        </w:trPr>
        <w:tc>
          <w:tcPr>
            <w:tcW w:w="880" w:type="dxa"/>
            <w:vAlign w:val="bottom"/>
          </w:tcPr>
          <w:p>
            <w:pPr>
              <w:jc w:val="center"/>
              <w:spacing w:after="0"/>
              <w:rPr>
                <w:sz w:val="20"/>
                <w:szCs w:val="20"/>
                <w:color w:val="auto"/>
              </w:rPr>
            </w:pPr>
            <w:r>
              <w:rPr>
                <w:rFonts w:ascii="Arial" w:cs="Arial" w:eastAsia="Arial" w:hAnsi="Arial"/>
                <w:sz w:val="14"/>
                <w:szCs w:val="14"/>
                <w:color w:val="auto"/>
              </w:rPr>
              <w:t>EXHIBIT NO.</w:t>
            </w:r>
          </w:p>
        </w:tc>
        <w:tc>
          <w:tcPr>
            <w:tcW w:w="96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4"/>
                <w:szCs w:val="14"/>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318"/>
        </w:trPr>
        <w:tc>
          <w:tcPr>
            <w:tcW w:w="880" w:type="dxa"/>
            <w:vAlign w:val="bottom"/>
          </w:tcPr>
          <w:p>
            <w:pPr>
              <w:jc w:val="right"/>
              <w:ind w:right="199"/>
              <w:spacing w:after="0"/>
              <w:rPr>
                <w:sz w:val="20"/>
                <w:szCs w:val="20"/>
                <w:color w:val="auto"/>
              </w:rPr>
            </w:pPr>
            <w:r>
              <w:rPr>
                <w:rFonts w:ascii="Arial" w:cs="Arial" w:eastAsia="Arial" w:hAnsi="Arial"/>
                <w:sz w:val="18"/>
                <w:szCs w:val="18"/>
                <w:color w:val="auto"/>
              </w:rPr>
              <w:t>99.1</w:t>
            </w:r>
          </w:p>
        </w:tc>
        <w:tc>
          <w:tcPr>
            <w:tcW w:w="96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w w:val="98"/>
              </w:rPr>
              <w:t>Amdocs Limited Press Release dated December 5, 2013.</w:t>
            </w:r>
          </w:p>
        </w:tc>
      </w:tr>
    </w:tbl>
    <w:p>
      <w:pPr>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772160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1689735" cy="1117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89735" cy="11176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172085</wp:posOffset>
            </wp:positionV>
            <wp:extent cx="1758315" cy="411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5831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Amdocs to Transfer Stock Exchange Listing to The NASDAQ Stock Market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Company’s Ticker Symbol to Remain “DOX”</w:t>
      </w:r>
    </w:p>
    <w:p>
      <w:pPr>
        <w:spacing w:after="0" w:line="221" w:lineRule="exact"/>
        <w:rPr>
          <w:sz w:val="20"/>
          <w:szCs w:val="20"/>
          <w:color w:val="auto"/>
        </w:rPr>
      </w:pPr>
    </w:p>
    <w:p>
      <w:pPr>
        <w:jc w:val="both"/>
        <w:ind w:right="280"/>
        <w:spacing w:after="0" w:line="289" w:lineRule="auto"/>
        <w:rPr>
          <w:sz w:val="20"/>
          <w:szCs w:val="20"/>
          <w:color w:val="auto"/>
        </w:rPr>
      </w:pPr>
      <w:r>
        <w:rPr>
          <w:rFonts w:ascii="Arial" w:cs="Arial" w:eastAsia="Arial" w:hAnsi="Arial"/>
          <w:sz w:val="17"/>
          <w:szCs w:val="17"/>
          <w:b w:val="1"/>
          <w:bCs w:val="1"/>
          <w:color w:val="auto"/>
        </w:rPr>
        <w:t xml:space="preserve">ST. LOUIS — December 5, 2013 — </w:t>
      </w:r>
      <w:r>
        <w:rPr>
          <w:rFonts w:ascii="Arial" w:cs="Arial" w:eastAsia="Arial" w:hAnsi="Arial"/>
          <w:sz w:val="17"/>
          <w:szCs w:val="17"/>
          <w:color w:val="auto"/>
        </w:rPr>
        <w:t>Amdocs (NYSE: DOX), the leading provider of customer experience systems and services, today announced it has</w:t>
      </w:r>
      <w:r>
        <w:rPr>
          <w:rFonts w:ascii="Arial" w:cs="Arial" w:eastAsia="Arial" w:hAnsi="Arial"/>
          <w:sz w:val="17"/>
          <w:szCs w:val="17"/>
          <w:b w:val="1"/>
          <w:bCs w:val="1"/>
          <w:color w:val="auto"/>
        </w:rPr>
        <w:t xml:space="preserve"> </w:t>
      </w:r>
      <w:r>
        <w:rPr>
          <w:rFonts w:ascii="Arial" w:cs="Arial" w:eastAsia="Arial" w:hAnsi="Arial"/>
          <w:sz w:val="17"/>
          <w:szCs w:val="17"/>
          <w:color w:val="auto"/>
        </w:rPr>
        <w:t>decided to transfer the listing of its ordinary shares to The NASDAQ Global Select Market (“NASDAQ”) from the New York Stock Exchange. Trading of Amdocs’ shares on NASDAQ is expected to commence on December 20, 2013 under its current ticker symbol “DOX.”</w:t>
      </w:r>
    </w:p>
    <w:p>
      <w:pPr>
        <w:spacing w:after="0" w:line="162"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are excited to join the NASDAQ and to be included among the most innovative companies in the world,” said Eli Gelman, chief executive officer of Amdocs Management Limited. “We look forward to leveraging the range of cost-effective services that accompany our NASDAQ listing while also improving our visibility with investors.”</w:t>
      </w:r>
    </w:p>
    <w:p>
      <w:pPr>
        <w:spacing w:after="0" w:line="18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“For more than 30 years, Amdocs’ market-leading product portfolio has helped communication service providers simplify the customer experience, capitalize on the data explosion, and improve operational efficiency,” said Bruce Aust, executive vice president of the Corporate Client Group at NASDAQ OMX. “We are proud to welcome Amdocs to NASDAQ and look forward to a long and successful partnership.”</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Supporting Resources</w:t>
      </w:r>
    </w:p>
    <w:p>
      <w:pPr>
        <w:spacing w:after="0" w:line="135" w:lineRule="exact"/>
        <w:rPr>
          <w:sz w:val="20"/>
          <w:szCs w:val="20"/>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Keep up with Amdocs news by visiting the company’s </w:t>
      </w:r>
      <w:r>
        <w:rPr>
          <w:rFonts w:ascii="Arial" w:cs="Arial" w:eastAsia="Arial" w:hAnsi="Arial"/>
          <w:sz w:val="18"/>
          <w:szCs w:val="18"/>
          <w:u w:val="single" w:color="auto"/>
          <w:color w:val="auto"/>
        </w:rPr>
        <w:t>website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Subscribe to Amdocs’ </w:t>
      </w:r>
      <w:r>
        <w:rPr>
          <w:rFonts w:ascii="Arial" w:cs="Arial" w:eastAsia="Arial" w:hAnsi="Arial"/>
          <w:sz w:val="18"/>
          <w:szCs w:val="18"/>
          <w:u w:val="single" w:color="auto"/>
          <w:color w:val="auto"/>
        </w:rPr>
        <w:t>RSS Feed</w:t>
      </w:r>
      <w:r>
        <w:rPr>
          <w:rFonts w:ascii="Arial" w:cs="Arial" w:eastAsia="Arial" w:hAnsi="Arial"/>
          <w:sz w:val="18"/>
          <w:szCs w:val="18"/>
          <w:color w:val="auto"/>
        </w:rPr>
        <w:t xml:space="preserve"> and follow us on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Facebook</w:t>
      </w:r>
      <w:r>
        <w:rPr>
          <w:rFonts w:ascii="Arial" w:cs="Arial" w:eastAsia="Arial" w:hAnsi="Arial"/>
          <w:sz w:val="18"/>
          <w:szCs w:val="18"/>
          <w:color w:val="auto"/>
        </w:rPr>
        <w:t xml:space="preserve">, </w:t>
      </w:r>
      <w:r>
        <w:rPr>
          <w:rFonts w:ascii="Arial" w:cs="Arial" w:eastAsia="Arial" w:hAnsi="Arial"/>
          <w:sz w:val="18"/>
          <w:szCs w:val="18"/>
          <w:u w:val="single" w:color="auto"/>
          <w:color w:val="auto"/>
        </w:rPr>
        <w:t>Google+</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YouTube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Amdocs</w:t>
      </w:r>
    </w:p>
    <w:p>
      <w:pPr>
        <w:spacing w:after="0" w:line="12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For more than 30 years, Amdocs has ensured service providers’ success and embraced their biggest challenges. To win in the connected world, service providers rely on Amdocs to simplify the customer experience, harness the data explosion, stay ahead with new services and improve operational efficiency. The global company uniquely combines a market-leading BSS, OSS and network control product portfolio with value-driven professional services and managed services operations. With revenue of $3.3 billion in fiscal 2013, Amdocs and its 20,000 employees serve customers in more than 70 countries.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Amdocs: Embrace Challenge, Experience Success.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visit Amdocs at </w:t>
      </w:r>
      <w:r>
        <w:rPr>
          <w:rFonts w:ascii="Arial" w:cs="Arial" w:eastAsia="Arial" w:hAnsi="Arial"/>
          <w:sz w:val="18"/>
          <w:szCs w:val="18"/>
          <w:u w:val="single" w:color="auto"/>
          <w:color w:val="auto"/>
        </w:rPr>
        <w:t>www.amdocs.com</w:t>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Forward-Looking Statement</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the Company specifically disclaims any obligation to do so. These and other risks are discussed at greater length in the Company’s filings with the Securities and Exchange Commission, including in our Annual Report on Form 20-F for the fiscal year ended September 30, 2012 filed on December 11, 2012 and our quarterly 6-K forms furnished on February 12, May 16 and August 12, 2013.</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Elizabeth W. Grausam McDermon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Corporate Strategy and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Amdocs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314-212-8328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dox_info@amdocs.com</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r>
              <w:rPr>
                <w:rFonts w:ascii="Arial" w:cs="Arial" w:eastAsia="Arial" w:hAnsi="Arial"/>
                <w:sz w:val="18"/>
                <w:szCs w:val="18"/>
                <w:b w:val="1"/>
                <w:bCs w:val="1"/>
                <w:color w:val="auto"/>
              </w:rPr>
              <w:t>Amdocs</w:t>
            </w:r>
          </w:p>
        </w:tc>
        <w:tc>
          <w:tcPr>
            <w:tcW w:w="1980" w:type="dxa"/>
            <w:vAlign w:val="bottom"/>
          </w:tcPr>
          <w:p>
            <w:pPr>
              <w:spacing w:after="0"/>
              <w:rPr>
                <w:sz w:val="20"/>
                <w:szCs w:val="20"/>
                <w:color w:val="auto"/>
              </w:rPr>
            </w:pPr>
          </w:p>
        </w:tc>
      </w:tr>
      <w:tr>
        <w:trPr>
          <w:trHeight w:val="323"/>
        </w:trPr>
        <w:tc>
          <w:tcPr>
            <w:tcW w:w="2880" w:type="dxa"/>
            <w:vAlign w:val="bottom"/>
          </w:tcPr>
          <w:p>
            <w:pPr>
              <w:spacing w:after="0"/>
              <w:rPr>
                <w:sz w:val="20"/>
                <w:szCs w:val="20"/>
                <w:color w:val="auto"/>
              </w:rPr>
            </w:pPr>
            <w:r>
              <w:rPr>
                <w:rFonts w:ascii="Arial" w:cs="Arial" w:eastAsia="Arial" w:hAnsi="Arial"/>
                <w:sz w:val="18"/>
                <w:szCs w:val="18"/>
                <w:color w:val="auto"/>
              </w:rPr>
              <w:t>1390 Timberlake Manor Parkway</w:t>
            </w:r>
          </w:p>
        </w:tc>
        <w:tc>
          <w:tcPr>
            <w:tcW w:w="1980" w:type="dxa"/>
            <w:vAlign w:val="bottom"/>
          </w:tcPr>
          <w:p>
            <w:pPr>
              <w:ind w:left="460"/>
              <w:spacing w:after="0"/>
              <w:rPr>
                <w:sz w:val="20"/>
                <w:szCs w:val="20"/>
                <w:color w:val="auto"/>
              </w:rPr>
            </w:pPr>
            <w:r>
              <w:rPr>
                <w:rFonts w:ascii="Arial" w:cs="Arial" w:eastAsia="Arial" w:hAnsi="Arial"/>
                <w:sz w:val="18"/>
                <w:szCs w:val="18"/>
                <w:color w:val="auto"/>
                <w:w w:val="92"/>
              </w:rPr>
              <w:t xml:space="preserve">+1-314-212-7000 </w:t>
            </w:r>
            <w:r>
              <w:rPr>
                <w:rFonts w:ascii="Arial" w:cs="Arial" w:eastAsia="Arial" w:hAnsi="Arial"/>
                <w:sz w:val="18"/>
                <w:szCs w:val="18"/>
                <w:i w:val="1"/>
                <w:iCs w:val="1"/>
                <w:color w:val="auto"/>
                <w:w w:val="92"/>
              </w:rPr>
              <w:t>tel</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Chesterfield, MO 63017</w:t>
            </w:r>
          </w:p>
        </w:tc>
        <w:tc>
          <w:tcPr>
            <w:tcW w:w="1980" w:type="dxa"/>
            <w:vAlign w:val="bottom"/>
          </w:tcPr>
          <w:p>
            <w:pPr>
              <w:ind w:left="460"/>
              <w:spacing w:after="0"/>
              <w:rPr>
                <w:sz w:val="20"/>
                <w:szCs w:val="20"/>
                <w:color w:val="auto"/>
              </w:rPr>
            </w:pPr>
            <w:r>
              <w:rPr>
                <w:rFonts w:ascii="Arial" w:cs="Arial" w:eastAsia="Arial" w:hAnsi="Arial"/>
                <w:sz w:val="18"/>
                <w:szCs w:val="18"/>
                <w:color w:val="auto"/>
                <w:w w:val="89"/>
              </w:rPr>
              <w:t xml:space="preserve">+1-314-212-7500 </w:t>
            </w:r>
            <w:r>
              <w:rPr>
                <w:rFonts w:ascii="Arial" w:cs="Arial" w:eastAsia="Arial" w:hAnsi="Arial"/>
                <w:sz w:val="18"/>
                <w:szCs w:val="18"/>
                <w:i w:val="1"/>
                <w:iCs w:val="1"/>
                <w:color w:val="auto"/>
                <w:w w:val="89"/>
              </w:rPr>
              <w:t>fax</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USA</w:t>
            </w:r>
          </w:p>
        </w:tc>
        <w:tc>
          <w:tcPr>
            <w:tcW w:w="1980" w:type="dxa"/>
            <w:vAlign w:val="bottom"/>
          </w:tcPr>
          <w:p>
            <w:pPr>
              <w:spacing w:after="0"/>
              <w:rPr>
                <w:sz w:val="18"/>
                <w:szCs w:val="18"/>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www.amdocs.com</w:t>
            </w:r>
          </w:p>
        </w:tc>
        <w:tc>
          <w:tcPr>
            <w:tcW w:w="198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380"/>
      </w:cols>
      <w:pgMar w:left="240" w:top="27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2019-12-06T20:20:34Z</dcterms:created>
  <dcterms:modified xsi:type="dcterms:W3CDTF">2019-12-06T20:20:34Z</dcterms:modified>
</cp:coreProperties>
</file>