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Ordinary Shares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12/31/2023</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6,514,083**</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6,514,083**</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6,514,083**</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AMDOCS LIMITED ("Amdocs")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Hirzel House, Smith Street</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 Peter Port, Guernsey, GY1 2NG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Ordinary Shares</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6,507,265 shares or 5.6% of the shares outstanding of Amdocs Ordinary Shares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659"/>
        <w:spacing w:after="0" w:line="420" w:lineRule="auto"/>
        <w:rPr>
          <w:sz w:val="20"/>
          <w:szCs w:val="20"/>
          <w:color w:val="auto"/>
        </w:rPr>
      </w:pPr>
      <w:r>
        <w:rPr>
          <w:rFonts w:ascii="Courier New" w:cs="Courier New" w:eastAsia="Courier New" w:hAnsi="Courier New"/>
          <w:sz w:val="16"/>
          <w:szCs w:val="16"/>
          <w:color w:val="auto"/>
        </w:rPr>
        <w:t>JHIUS, JHIUKL and JHIAIFML are indirect subsidiaries of Janus Henderson and are registered investment advisers furnishing investment advice to</w:t>
      </w:r>
    </w:p>
    <w:p>
      <w:pPr>
        <w:sectPr>
          <w:pgSz w:w="11900" w:h="16942"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Managed Portfolios.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2/13/2024</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be executed as of this 9th day of December,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2024-02-13T12:06:18Z</dcterms:created>
  <dcterms:modified xsi:type="dcterms:W3CDTF">2024-02-13T12:06:18Z</dcterms:modified>
</cp:coreProperties>
</file>