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PROSPECTUS SUPPLEMENT NO. 18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 Prospectus dated September 25, 2001)</w:t>
      </w:r>
    </w:p>
    <w:p>
      <w:pPr>
        <w:spacing w:after="0" w:line="20" w:lineRule="exact"/>
        <w:rPr>
          <w:sz w:val="24"/>
          <w:szCs w:val="24"/>
          <w:color w:val="auto"/>
        </w:rPr>
      </w:pPr>
      <w:r>
        <w:rPr>
          <w:sz w:val="24"/>
          <w:szCs w:val="24"/>
          <w:color w:val="auto"/>
        </w:rPr>
        <w:br w:type="column"/>
      </w:r>
    </w:p>
    <w:p>
      <w:pPr>
        <w:ind w:right="1779" w:firstLine="421"/>
        <w:spacing w:after="0" w:line="290" w:lineRule="auto"/>
        <w:rPr>
          <w:sz w:val="20"/>
          <w:szCs w:val="20"/>
          <w:color w:val="auto"/>
        </w:rPr>
      </w:pPr>
      <w:r>
        <w:rPr>
          <w:rFonts w:ascii="Courier New" w:cs="Courier New" w:eastAsia="Courier New" w:hAnsi="Courier New"/>
          <w:sz w:val="16"/>
          <w:szCs w:val="16"/>
          <w:color w:val="auto"/>
        </w:rPr>
        <w:t>FILED PURSUANT TO RULE 424(B)(3) Registration Statement No. 333-67572</w:t>
      </w:r>
    </w:p>
    <w:p>
      <w:pPr>
        <w:spacing w:after="0" w:line="164" w:lineRule="exact"/>
        <w:rPr>
          <w:sz w:val="24"/>
          <w:szCs w:val="24"/>
          <w:color w:val="auto"/>
        </w:rPr>
      </w:pPr>
    </w:p>
    <w:p>
      <w:pPr>
        <w:sectPr>
          <w:pgSz w:w="11900" w:h="16838" w:orient="portrait"/>
          <w:cols w:equalWidth="0" w:num="2">
            <w:col w:w="4220" w:space="420"/>
            <w:col w:w="5579"/>
          </w:cols>
          <w:pgMar w:left="240" w:top="649" w:right="1440" w:bottom="1440" w:gutter="0" w:footer="0" w:header="0"/>
        </w:sect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$500,000,000</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2% Convertible Notes due June 1, 2008</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and</w:t>
      </w:r>
    </w:p>
    <w:p>
      <w:pPr>
        <w:jc w:val="center"/>
        <w:ind w:right="1779"/>
        <w:spacing w:after="0" w:line="238" w:lineRule="auto"/>
        <w:rPr>
          <w:sz w:val="20"/>
          <w:szCs w:val="20"/>
          <w:color w:val="auto"/>
        </w:rPr>
      </w:pPr>
      <w:r>
        <w:rPr>
          <w:rFonts w:ascii="Courier New" w:cs="Courier New" w:eastAsia="Courier New" w:hAnsi="Courier New"/>
          <w:sz w:val="18"/>
          <w:szCs w:val="18"/>
          <w:color w:val="auto"/>
        </w:rPr>
        <w:t>5,429,350 Ordinary Shares Issuable</w:t>
      </w:r>
    </w:p>
    <w:p>
      <w:pPr>
        <w:jc w:val="center"/>
        <w:ind w:right="1779"/>
        <w:spacing w:after="0"/>
        <w:rPr>
          <w:sz w:val="20"/>
          <w:szCs w:val="20"/>
          <w:color w:val="auto"/>
        </w:rPr>
      </w:pPr>
      <w:r>
        <w:rPr>
          <w:rFonts w:ascii="Courier New" w:cs="Courier New" w:eastAsia="Courier New" w:hAnsi="Courier New"/>
          <w:sz w:val="18"/>
          <w:szCs w:val="18"/>
          <w:color w:val="auto"/>
        </w:rPr>
        <w:t>Upon Conversion of the Notes</w:t>
      </w:r>
    </w:p>
    <w:p>
      <w:pPr>
        <w:sectPr>
          <w:pgSz w:w="11900" w:h="16838" w:orient="portrait"/>
          <w:cols w:equalWidth="0" w:num="1">
            <w:col w:w="10219"/>
          </w:cols>
          <w:pgMar w:left="240" w:top="649" w:right="1440" w:bottom="1440" w:gutter="0" w:footer="0" w:header="0"/>
          <w:type w:val="continuous"/>
        </w:sectPr>
      </w:pPr>
    </w:p>
    <w:p>
      <w:pPr>
        <w:ind w:left="296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prospectus supplement relates to the resale by holders of our 2% Convertible Notes due June 1, 2008 and ordinary shares issuable upon conversion of the notes. This prospectus supplement may only be delivered or used in connection with our prospectus dated September 25, 2001. Our ordinary shares are traded on the New York Stock Exchange under the symbol "DOX."</w:t>
      </w:r>
    </w:p>
    <w:p>
      <w:pPr>
        <w:spacing w:after="0" w:line="209"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PROSPECTUS SUPPLEMENT DATED JUNE 27, 2002</w:t>
      </w:r>
    </w:p>
    <w:p>
      <w:pPr>
        <w:sectPr>
          <w:pgSz w:w="11900" w:h="16838" w:orient="portrait"/>
          <w:cols w:equalWidth="0" w:num="1">
            <w:col w:w="10219"/>
          </w:cols>
          <w:pgMar w:left="240" w:top="649" w:right="1440" w:bottom="1440" w:gutter="0" w:footer="0" w:header="0"/>
          <w:type w:val="continuous"/>
        </w:sectPr>
      </w:pPr>
    </w:p>
    <w:bookmarkStart w:id="1" w:name="page2"/>
    <w:bookmarkEnd w:id="1"/>
    <w:p>
      <w:pPr>
        <w:ind w:right="1879" w:firstLine="527"/>
        <w:spacing w:after="0" w:line="237" w:lineRule="auto"/>
        <w:rPr>
          <w:sz w:val="20"/>
          <w:szCs w:val="20"/>
          <w:color w:val="auto"/>
        </w:rPr>
      </w:pPr>
      <w:r>
        <w:rPr>
          <w:rFonts w:ascii="Courier New" w:cs="Courier New" w:eastAsia="Courier New" w:hAnsi="Courier New"/>
          <w:sz w:val="18"/>
          <w:szCs w:val="18"/>
          <w:color w:val="auto"/>
        </w:rPr>
        <w:t>The information appearing in the following table supplements or supersedes in part the information in the table under the caption "Selling Holders", beginning on page 50 in our prospectus and was provided by or on behalf of the selling holders.</w:t>
      </w:r>
    </w:p>
    <w:p>
      <w:pPr>
        <w:spacing w:after="0" w:line="202"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PRINCIPAL</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ORDINARY</w:t>
      </w:r>
    </w:p>
    <w:p>
      <w:pPr>
        <w:jc w:val="center"/>
        <w:ind w:right="8959"/>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AMOUNT OF</w:t>
      </w:r>
    </w:p>
    <w:p>
      <w:pPr>
        <w:jc w:val="center"/>
        <w:ind w:right="8959"/>
        <w:spacing w:after="0"/>
        <w:rPr>
          <w:sz w:val="20"/>
          <w:szCs w:val="20"/>
          <w:color w:val="auto"/>
        </w:rPr>
      </w:pPr>
      <w:r>
        <w:rPr>
          <w:rFonts w:ascii="Courier New" w:cs="Courier New" w:eastAsia="Courier New" w:hAnsi="Courier New"/>
          <w:sz w:val="18"/>
          <w:szCs w:val="18"/>
          <w:color w:val="auto"/>
        </w:rPr>
        <w:t>SHARES</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NOTES</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 AFTER</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OWNED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BEFORE</w:t>
      </w:r>
    </w:p>
    <w:p>
      <w:pPr>
        <w:jc w:val="center"/>
        <w:ind w:right="8959"/>
        <w:spacing w:after="0"/>
        <w:rPr>
          <w:sz w:val="20"/>
          <w:szCs w:val="20"/>
          <w:color w:val="auto"/>
        </w:rPr>
      </w:pPr>
      <w:r>
        <w:rPr>
          <w:rFonts w:ascii="Courier New" w:cs="Courier New" w:eastAsia="Courier New" w:hAnsi="Courier New"/>
          <w:sz w:val="18"/>
          <w:szCs w:val="18"/>
          <w:color w:val="auto"/>
        </w:rPr>
        <w:t>SHARES ----</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60" w:right="9059" w:hanging="151"/>
        <w:spacing w:after="0" w:line="268" w:lineRule="auto"/>
        <w:tabs>
          <w:tab w:leader="none" w:pos="31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ADDRESS</w:t>
      </w:r>
    </w:p>
    <w:p>
      <w:pPr>
        <w:jc w:val="center"/>
        <w:ind w:right="8959"/>
        <w:spacing w:after="0" w:line="233" w:lineRule="auto"/>
        <w:rPr>
          <w:sz w:val="20"/>
          <w:szCs w:val="20"/>
          <w:color w:val="auto"/>
        </w:rPr>
      </w:pPr>
      <w:r>
        <w:rPr>
          <w:rFonts w:ascii="Courier New" w:cs="Courier New" w:eastAsia="Courier New" w:hAnsi="Courier New"/>
          <w:sz w:val="18"/>
          <w:szCs w:val="18"/>
          <w:color w:val="auto"/>
        </w:rPr>
        <w:t>OFFERED</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OFFERED(1)</w:t>
      </w:r>
    </w:p>
    <w:p>
      <w:pPr>
        <w:jc w:val="center"/>
        <w:ind w:right="8959"/>
        <w:spacing w:after="0"/>
        <w:rPr>
          <w:sz w:val="20"/>
          <w:szCs w:val="20"/>
          <w:color w:val="auto"/>
        </w:rPr>
      </w:pPr>
      <w:r>
        <w:rPr>
          <w:rFonts w:ascii="Courier New" w:cs="Courier New" w:eastAsia="Courier New" w:hAnsi="Courier New"/>
          <w:sz w:val="18"/>
          <w:szCs w:val="18"/>
          <w:color w:val="auto"/>
        </w:rPr>
        <w:t>AMOUNT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PERCENT ---</w:t>
      </w:r>
    </w:p>
    <w:p>
      <w:pPr>
        <w:ind w:left="60"/>
        <w:spacing w:after="0"/>
        <w:rPr>
          <w:sz w:val="20"/>
          <w:szCs w:val="20"/>
          <w:color w:val="auto"/>
        </w:rPr>
      </w:pPr>
      <w:r>
        <w:rPr>
          <w:rFonts w:ascii="Courier New" w:cs="Courier New" w:eastAsia="Courier New" w:hAnsi="Courier New"/>
          <w:sz w:val="18"/>
          <w:szCs w:val="18"/>
          <w:color w:val="auto"/>
        </w:rPr>
        <w:t>-----------</w:t>
      </w:r>
    </w:p>
    <w:p>
      <w:pPr>
        <w:ind w:left="380" w:hanging="323"/>
        <w:spacing w:after="0" w:line="237" w:lineRule="auto"/>
        <w:tabs>
          <w:tab w:leader="none" w:pos="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311"/>
        <w:spacing w:after="0" w:line="238" w:lineRule="auto"/>
        <w:tabs>
          <w:tab w:leader="none" w:pos="4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KBC</w:t>
      </w:r>
    </w:p>
    <w:p>
      <w:pPr>
        <w:jc w:val="center"/>
        <w:ind w:right="8959"/>
        <w:spacing w:after="0" w:line="237" w:lineRule="auto"/>
        <w:rPr>
          <w:sz w:val="20"/>
          <w:szCs w:val="20"/>
          <w:color w:val="auto"/>
        </w:rPr>
      </w:pPr>
      <w:r>
        <w:rPr>
          <w:rFonts w:ascii="Courier New" w:cs="Courier New" w:eastAsia="Courier New" w:hAnsi="Courier New"/>
          <w:sz w:val="18"/>
          <w:szCs w:val="18"/>
          <w:color w:val="auto"/>
        </w:rPr>
        <w:t>Financial</w:t>
      </w:r>
    </w:p>
    <w:p>
      <w:pPr>
        <w:jc w:val="center"/>
        <w:ind w:right="8959"/>
        <w:spacing w:after="0" w:line="238" w:lineRule="auto"/>
        <w:rPr>
          <w:sz w:val="20"/>
          <w:szCs w:val="20"/>
          <w:color w:val="auto"/>
        </w:rPr>
      </w:pPr>
      <w:r>
        <w:rPr>
          <w:rFonts w:ascii="Courier New" w:cs="Courier New" w:eastAsia="Courier New" w:hAnsi="Courier New"/>
          <w:sz w:val="18"/>
          <w:szCs w:val="18"/>
          <w:color w:val="auto"/>
        </w:rPr>
        <w:t>Products</w:t>
      </w:r>
    </w:p>
    <w:p>
      <w:pPr>
        <w:jc w:val="center"/>
        <w:ind w:right="8959"/>
        <w:spacing w:after="0"/>
        <w:rPr>
          <w:sz w:val="20"/>
          <w:szCs w:val="20"/>
          <w:color w:val="auto"/>
        </w:rPr>
      </w:pPr>
      <w:r>
        <w:rPr>
          <w:rFonts w:ascii="Courier New" w:cs="Courier New" w:eastAsia="Courier New" w:hAnsi="Courier New"/>
          <w:sz w:val="18"/>
          <w:szCs w:val="18"/>
          <w:color w:val="auto"/>
        </w:rPr>
        <w:t>(Cayman</w:t>
      </w:r>
    </w:p>
    <w:p>
      <w:pPr>
        <w:jc w:val="center"/>
        <w:ind w:right="8959"/>
        <w:spacing w:after="0" w:line="237" w:lineRule="auto"/>
        <w:rPr>
          <w:sz w:val="20"/>
          <w:szCs w:val="20"/>
          <w:color w:val="auto"/>
        </w:rPr>
      </w:pPr>
      <w:r>
        <w:rPr>
          <w:rFonts w:ascii="Courier New" w:cs="Courier New" w:eastAsia="Courier New" w:hAnsi="Courier New"/>
          <w:sz w:val="18"/>
          <w:szCs w:val="18"/>
          <w:color w:val="auto"/>
        </w:rPr>
        <w:t>Islands)</w:t>
      </w:r>
    </w:p>
    <w:p>
      <w:pPr>
        <w:jc w:val="center"/>
        <w:ind w:right="8959"/>
        <w:spacing w:after="0"/>
        <w:rPr>
          <w:sz w:val="20"/>
          <w:szCs w:val="20"/>
          <w:color w:val="auto"/>
        </w:rPr>
      </w:pPr>
      <w:r>
        <w:rPr>
          <w:rFonts w:ascii="Courier New" w:cs="Courier New" w:eastAsia="Courier New" w:hAnsi="Courier New"/>
          <w:sz w:val="18"/>
          <w:szCs w:val="18"/>
          <w:color w:val="auto"/>
        </w:rPr>
        <w:t>$10,500,000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114,016</w:t>
      </w:r>
    </w:p>
    <w:p>
      <w:pPr>
        <w:jc w:val="center"/>
        <w:ind w:right="8959"/>
        <w:spacing w:after="0"/>
        <w:rPr>
          <w:sz w:val="20"/>
          <w:szCs w:val="20"/>
          <w:color w:val="auto"/>
        </w:rPr>
      </w:pPr>
      <w:r>
        <w:rPr>
          <w:rFonts w:ascii="Courier New" w:cs="Courier New" w:eastAsia="Courier New" w:hAnsi="Courier New"/>
          <w:sz w:val="18"/>
          <w:szCs w:val="18"/>
          <w:color w:val="auto"/>
        </w:rPr>
        <w:t>114,016 0 *</w:t>
      </w:r>
    </w:p>
    <w:p>
      <w:pPr>
        <w:jc w:val="center"/>
        <w:ind w:right="8959"/>
        <w:spacing w:after="0" w:line="237" w:lineRule="auto"/>
        <w:rPr>
          <w:sz w:val="20"/>
          <w:szCs w:val="20"/>
          <w:color w:val="auto"/>
        </w:rPr>
      </w:pPr>
      <w:r>
        <w:rPr>
          <w:rFonts w:ascii="Courier New" w:cs="Courier New" w:eastAsia="Courier New" w:hAnsi="Courier New"/>
          <w:sz w:val="18"/>
          <w:szCs w:val="18"/>
          <w:color w:val="auto"/>
        </w:rPr>
        <w:t>Limited 140</w:t>
      </w:r>
    </w:p>
    <w:p>
      <w:pPr>
        <w:jc w:val="center"/>
        <w:ind w:right="8959"/>
        <w:spacing w:after="0" w:line="238" w:lineRule="auto"/>
        <w:rPr>
          <w:sz w:val="20"/>
          <w:szCs w:val="20"/>
          <w:color w:val="auto"/>
        </w:rPr>
      </w:pPr>
      <w:r>
        <w:rPr>
          <w:rFonts w:ascii="Courier New" w:cs="Courier New" w:eastAsia="Courier New" w:hAnsi="Courier New"/>
          <w:sz w:val="18"/>
          <w:szCs w:val="18"/>
          <w:color w:val="auto"/>
        </w:rPr>
        <w:t>East 45</w:t>
      </w:r>
    </w:p>
    <w:p>
      <w:pPr>
        <w:jc w:val="center"/>
        <w:ind w:right="8959"/>
        <w:spacing w:after="0"/>
        <w:rPr>
          <w:sz w:val="20"/>
          <w:szCs w:val="20"/>
          <w:color w:val="auto"/>
        </w:rPr>
      </w:pPr>
      <w:r>
        <w:rPr>
          <w:rFonts w:ascii="Courier New" w:cs="Courier New" w:eastAsia="Courier New" w:hAnsi="Courier New"/>
          <w:sz w:val="18"/>
          <w:szCs w:val="18"/>
          <w:color w:val="auto"/>
        </w:rPr>
        <w:t>Street 2</w:t>
      </w:r>
    </w:p>
    <w:p>
      <w:pPr>
        <w:jc w:val="center"/>
        <w:ind w:right="8959"/>
        <w:spacing w:after="0" w:line="237" w:lineRule="auto"/>
        <w:rPr>
          <w:sz w:val="20"/>
          <w:szCs w:val="20"/>
          <w:color w:val="auto"/>
        </w:rPr>
      </w:pPr>
      <w:r>
        <w:rPr>
          <w:rFonts w:ascii="Courier New" w:cs="Courier New" w:eastAsia="Courier New" w:hAnsi="Courier New"/>
          <w:sz w:val="18"/>
          <w:szCs w:val="18"/>
          <w:color w:val="auto"/>
        </w:rPr>
        <w:t>Grand</w:t>
      </w:r>
    </w:p>
    <w:p>
      <w:pPr>
        <w:jc w:val="center"/>
        <w:ind w:right="8959"/>
        <w:spacing w:after="0"/>
        <w:rPr>
          <w:sz w:val="20"/>
          <w:szCs w:val="20"/>
          <w:color w:val="auto"/>
        </w:rPr>
      </w:pPr>
      <w:r>
        <w:rPr>
          <w:rFonts w:ascii="Courier New" w:cs="Courier New" w:eastAsia="Courier New" w:hAnsi="Courier New"/>
          <w:sz w:val="18"/>
          <w:szCs w:val="18"/>
          <w:color w:val="auto"/>
        </w:rPr>
        <w:t>Central</w:t>
      </w:r>
    </w:p>
    <w:p>
      <w:pPr>
        <w:jc w:val="center"/>
        <w:ind w:right="8959"/>
        <w:spacing w:after="0" w:line="237" w:lineRule="auto"/>
        <w:rPr>
          <w:sz w:val="20"/>
          <w:szCs w:val="20"/>
          <w:color w:val="auto"/>
        </w:rPr>
      </w:pPr>
      <w:r>
        <w:rPr>
          <w:rFonts w:ascii="Courier New" w:cs="Courier New" w:eastAsia="Courier New" w:hAnsi="Courier New"/>
          <w:sz w:val="18"/>
          <w:szCs w:val="18"/>
          <w:color w:val="auto"/>
        </w:rPr>
        <w:t>Tower -- 42</w:t>
      </w:r>
    </w:p>
    <w:p>
      <w:pPr>
        <w:jc w:val="center"/>
        <w:ind w:right="8959"/>
        <w:spacing w:after="0"/>
        <w:rPr>
          <w:sz w:val="20"/>
          <w:szCs w:val="20"/>
          <w:color w:val="auto"/>
        </w:rPr>
      </w:pPr>
      <w:r>
        <w:rPr>
          <w:rFonts w:ascii="Courier New" w:cs="Courier New" w:eastAsia="Courier New" w:hAnsi="Courier New"/>
          <w:sz w:val="18"/>
          <w:szCs w:val="18"/>
          <w:color w:val="auto"/>
        </w:rPr>
        <w:t>Floor New</w:t>
      </w:r>
    </w:p>
    <w:p>
      <w:pPr>
        <w:jc w:val="center"/>
        <w:ind w:right="8959"/>
        <w:spacing w:after="0" w:line="237" w:lineRule="auto"/>
        <w:rPr>
          <w:sz w:val="20"/>
          <w:szCs w:val="20"/>
          <w:color w:val="auto"/>
        </w:rPr>
      </w:pPr>
      <w:r>
        <w:rPr>
          <w:rFonts w:ascii="Courier New" w:cs="Courier New" w:eastAsia="Courier New" w:hAnsi="Courier New"/>
          <w:sz w:val="18"/>
          <w:szCs w:val="18"/>
          <w:color w:val="auto"/>
        </w:rPr>
        <w:t>York, NY</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10017-3144</w:t>
      </w:r>
    </w:p>
    <w:p>
      <w:pPr>
        <w:spacing w:after="0" w:line="200" w:lineRule="exact"/>
        <w:rPr>
          <w:sz w:val="20"/>
          <w:szCs w:val="20"/>
          <w:color w:val="auto"/>
        </w:rPr>
      </w:pPr>
    </w:p>
    <w:p>
      <w:pPr>
        <w:spacing w:after="0" w:line="205"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Indicates less than 1%.</w:t>
      </w:r>
    </w:p>
    <w:p>
      <w:pPr>
        <w:spacing w:after="0" w:line="207" w:lineRule="exact"/>
        <w:rPr>
          <w:sz w:val="20"/>
          <w:szCs w:val="20"/>
          <w:color w:val="auto"/>
        </w:rPr>
      </w:pPr>
    </w:p>
    <w:p>
      <w:pPr>
        <w:ind w:left="420" w:right="1779" w:hanging="412"/>
        <w:spacing w:after="0" w:line="271" w:lineRule="auto"/>
        <w:tabs>
          <w:tab w:leader="none" w:pos="4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conversion of all the holder's notes at a conversion rate of 10.8587 ordinary shares per each $1,000 principal amount of the notes and resale of all ordinary shares offered hereby. In addition, the per share conversion price, and therefore the number of ordinary shares issuable upon conversion of the notes, is subject to adjustment. As a result, the aggregate principal amount of the notes and the number of shares of ordinary shares issuable upon conversion of the notes may increase or decrease.</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2019-12-14T19:40:13Z</dcterms:created>
  <dcterms:modified xsi:type="dcterms:W3CDTF">2019-12-14T19:40:13Z</dcterms:modified>
</cp:coreProperties>
</file>