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60"/>
        <w:spacing w:after="0"/>
        <w:rPr>
          <w:sz w:val="20"/>
          <w:szCs w:val="20"/>
          <w:color w:val="auto"/>
        </w:rPr>
      </w:pPr>
      <w:r>
        <w:rPr>
          <w:rFonts w:ascii="Courier New" w:cs="Courier New" w:eastAsia="Courier New" w:hAnsi="Courier New"/>
          <w:sz w:val="16"/>
          <w:szCs w:val="16"/>
          <w:color w:val="auto"/>
        </w:rPr>
        <w:t>FILED PURSUANT TO RULE 424(B)(3)</w:t>
      </w:r>
    </w:p>
    <w:p>
      <w:pPr>
        <w:spacing w:after="0" w:line="5" w:lineRule="exact"/>
        <w:rPr>
          <w:sz w:val="24"/>
          <w:szCs w:val="24"/>
          <w:color w:val="auto"/>
        </w:rPr>
      </w:pPr>
    </w:p>
    <w:p>
      <w:pPr>
        <w:ind w:left="4060"/>
        <w:spacing w:after="0"/>
        <w:rPr>
          <w:sz w:val="20"/>
          <w:szCs w:val="20"/>
          <w:color w:val="auto"/>
        </w:rPr>
      </w:pPr>
      <w:r>
        <w:rPr>
          <w:rFonts w:ascii="Courier New" w:cs="Courier New" w:eastAsia="Courier New" w:hAnsi="Courier New"/>
          <w:sz w:val="15"/>
          <w:szCs w:val="15"/>
          <w:color w:val="auto"/>
        </w:rPr>
        <w:t>REGISTRATION STATEMENT NO. 333-114344</w:t>
      </w:r>
    </w:p>
    <w:p>
      <w:pPr>
        <w:spacing w:after="0" w:line="372"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AMDOCS LIMITED</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$450,000,000</w:t>
      </w:r>
    </w:p>
    <w:p>
      <w:pPr>
        <w:spacing w:after="0" w:line="1"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0.50% CONVERTIBLE SENIOR NOTES DUE 2024</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10,435,995 ORDINARY SHARES ISSUABLE UPON THE CONVERSION OF THE NOTES</w:t>
      </w:r>
    </w:p>
    <w:p>
      <w:pPr>
        <w:spacing w:after="0" w:line="183" w:lineRule="exact"/>
        <w:rPr>
          <w:sz w:val="24"/>
          <w:szCs w:val="24"/>
          <w:color w:val="auto"/>
        </w:rPr>
      </w:pPr>
    </w:p>
    <w:p>
      <w:pPr>
        <w:ind w:left="1600"/>
        <w:spacing w:after="0"/>
        <w:rPr>
          <w:sz w:val="20"/>
          <w:szCs w:val="20"/>
          <w:color w:val="auto"/>
        </w:rPr>
      </w:pPr>
      <w:r>
        <w:rPr>
          <w:rFonts w:ascii="Courier New" w:cs="Courier New" w:eastAsia="Courier New" w:hAnsi="Courier New"/>
          <w:sz w:val="16"/>
          <w:szCs w:val="16"/>
          <w:color w:val="auto"/>
        </w:rPr>
        <w:t>PROSPECTUS SUPPLEMENT NO. 1 DATED JULY 14, 2005</w:t>
      </w:r>
    </w:p>
    <w:p>
      <w:pPr>
        <w:spacing w:after="0" w:line="1" w:lineRule="exact"/>
        <w:rPr>
          <w:sz w:val="24"/>
          <w:szCs w:val="24"/>
          <w:color w:val="auto"/>
        </w:rPr>
      </w:pPr>
    </w:p>
    <w:p>
      <w:pPr>
        <w:ind w:left="2080"/>
        <w:spacing w:after="0"/>
        <w:rPr>
          <w:sz w:val="20"/>
          <w:szCs w:val="20"/>
          <w:color w:val="auto"/>
        </w:rPr>
      </w:pPr>
      <w:r>
        <w:rPr>
          <w:rFonts w:ascii="Courier New" w:cs="Courier New" w:eastAsia="Courier New" w:hAnsi="Courier New"/>
          <w:sz w:val="16"/>
          <w:szCs w:val="16"/>
          <w:color w:val="auto"/>
        </w:rPr>
        <w:t>TO THE PROSPECTUS DATED JUNE 9, 2005</w:t>
      </w:r>
    </w:p>
    <w:p>
      <w:pPr>
        <w:spacing w:after="0" w:line="186" w:lineRule="exact"/>
        <w:rPr>
          <w:sz w:val="24"/>
          <w:szCs w:val="24"/>
          <w:color w:val="auto"/>
        </w:rPr>
      </w:pPr>
    </w:p>
    <w:p>
      <w:pPr>
        <w:ind w:right="2839"/>
        <w:spacing w:after="0" w:line="238" w:lineRule="auto"/>
        <w:rPr>
          <w:sz w:val="20"/>
          <w:szCs w:val="20"/>
          <w:color w:val="auto"/>
        </w:rPr>
      </w:pPr>
      <w:r>
        <w:rPr>
          <w:rFonts w:ascii="Courier New" w:cs="Courier New" w:eastAsia="Courier New" w:hAnsi="Courier New"/>
          <w:sz w:val="16"/>
          <w:szCs w:val="16"/>
          <w:color w:val="auto"/>
        </w:rPr>
        <w:t>This prospectus supplement relates to an aggregate principal amount of $450 million of 0.50% Convertible Senior Notes due 2024 and the 10,435,995 ordinary shares issuable upon conversion of the notes.</w:t>
      </w:r>
    </w:p>
    <w:p>
      <w:pPr>
        <w:spacing w:after="0" w:line="188" w:lineRule="exact"/>
        <w:rPr>
          <w:sz w:val="24"/>
          <w:szCs w:val="24"/>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This prospectus supplement should be read in conjunction with and may not be delivered or utilized without our prospectus dated June 9, 2005, including any amendments or supplements thereto. The terms of the notes are set forth in the prospectus. The notes are not listed on any securities exchange. The notes are designated for trading in the PORTAL market. Our ordinary shares are traded on the New York Stock Exchange under the symbol "DOX."</w:t>
      </w:r>
    </w:p>
    <w:p>
      <w:pPr>
        <w:spacing w:after="0" w:line="186"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right="2839"/>
        <w:spacing w:after="0" w:line="267" w:lineRule="auto"/>
        <w:rPr>
          <w:sz w:val="20"/>
          <w:szCs w:val="20"/>
          <w:color w:val="auto"/>
        </w:rPr>
      </w:pPr>
      <w:r>
        <w:rPr>
          <w:rFonts w:ascii="Courier New" w:cs="Courier New" w:eastAsia="Courier New" w:hAnsi="Courier New"/>
          <w:sz w:val="15"/>
          <w:szCs w:val="15"/>
          <w:color w:val="auto"/>
        </w:rPr>
        <w:t>SEE "RISK FACTORS" BEGINNING ON PAGE 9 OF THE PROSPECTUS TO READ ABOUT FACTORS YOU SHOULD CONSIDER BEFORE INVESTING IN THE NOTES OR OUR ORDINARY SHARES.</w:t>
      </w:r>
    </w:p>
    <w:p>
      <w:pPr>
        <w:spacing w:after="0" w:line="164"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0219"/>
          </w:cols>
          <w:pgMar w:left="240" w:top="417" w:right="1440" w:bottom="1440" w:gutter="0" w:footer="0" w:header="0"/>
        </w:sectPr>
      </w:pPr>
    </w:p>
    <w:bookmarkStart w:id="1" w:name="page2"/>
    <w:bookmarkEnd w:id="1"/>
    <w:p>
      <w:pPr>
        <w:ind w:left="3" w:right="4060"/>
        <w:spacing w:after="0"/>
        <w:rPr>
          <w:sz w:val="20"/>
          <w:szCs w:val="20"/>
          <w:color w:val="auto"/>
        </w:rPr>
      </w:pPr>
      <w:r>
        <w:rPr>
          <w:rFonts w:ascii="Courier New" w:cs="Courier New" w:eastAsia="Courier New" w:hAnsi="Courier New"/>
          <w:sz w:val="16"/>
          <w:szCs w:val="16"/>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202,360,927 of our ordinary shares outstanding as of March 31, 2005. The information set forth in the table supplements or supersedes, with respect to the securityholders listed below, the information in the table appearing under the heading "Selling Securityholders" beginning on page 50 of the prospectus dated June 9, 2005.</w:t>
      </w:r>
    </w:p>
    <w:p>
      <w:pPr>
        <w:spacing w:after="0" w:line="188" w:lineRule="exact"/>
        <w:rPr>
          <w:sz w:val="20"/>
          <w:szCs w:val="20"/>
          <w:color w:val="auto"/>
        </w:rPr>
      </w:pPr>
    </w:p>
    <w:p>
      <w:pPr>
        <w:ind w:left="3" w:right="3960"/>
        <w:spacing w:after="0"/>
        <w:rPr>
          <w:sz w:val="20"/>
          <w:szCs w:val="20"/>
          <w:color w:val="auto"/>
        </w:rPr>
      </w:pPr>
      <w:r>
        <w:rPr>
          <w:rFonts w:ascii="Courier New" w:cs="Courier New" w:eastAsia="Courier New" w:hAnsi="Courier New"/>
          <w:sz w:val="16"/>
          <w:szCs w:val="16"/>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 of 1933, as amended.</w:t>
      </w:r>
    </w:p>
    <w:p>
      <w:pPr>
        <w:spacing w:after="0" w:line="189" w:lineRule="exact"/>
        <w:rPr>
          <w:sz w:val="20"/>
          <w:szCs w:val="20"/>
          <w:color w:val="auto"/>
        </w:rPr>
      </w:pPr>
    </w:p>
    <w:p>
      <w:pPr>
        <w:ind w:left="3" w:right="3960"/>
        <w:spacing w:after="0" w:line="258" w:lineRule="auto"/>
        <w:rPr>
          <w:sz w:val="20"/>
          <w:szCs w:val="20"/>
          <w:color w:val="auto"/>
        </w:rPr>
      </w:pPr>
      <w:r>
        <w:rPr>
          <w:rFonts w:ascii="Courier New" w:cs="Courier New" w:eastAsia="Courier New" w:hAnsi="Courier New"/>
          <w:sz w:val="15"/>
          <w:szCs w:val="15"/>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176" w:lineRule="exact"/>
        <w:rPr>
          <w:sz w:val="20"/>
          <w:szCs w:val="20"/>
          <w:color w:val="auto"/>
        </w:rPr>
      </w:pPr>
    </w:p>
    <w:p>
      <w:pPr>
        <w:ind w:left="3" w:right="4060"/>
        <w:spacing w:after="0" w:line="239" w:lineRule="auto"/>
        <w:rPr>
          <w:sz w:val="20"/>
          <w:szCs w:val="20"/>
          <w:color w:val="auto"/>
        </w:rPr>
      </w:pPr>
      <w:r>
        <w:rPr>
          <w:rFonts w:ascii="Courier New" w:cs="Courier New" w:eastAsia="Courier New" w:hAnsi="Courier New"/>
          <w:sz w:val="16"/>
          <w:szCs w:val="16"/>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6"/>
                <w:szCs w:val="16"/>
                <w:color w:val="auto"/>
              </w:rPr>
              <w:t>ORDINARY</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2"/>
        </w:trPr>
        <w:tc>
          <w:tcPr>
            <w:tcW w:w="4440" w:type="dxa"/>
            <w:vAlign w:val="bottom"/>
          </w:tcPr>
          <w:p>
            <w:pPr>
              <w:spacing w:after="0"/>
              <w:rPr>
                <w:sz w:val="15"/>
                <w:szCs w:val="15"/>
                <w:color w:val="auto"/>
              </w:rPr>
            </w:pPr>
          </w:p>
        </w:tc>
        <w:tc>
          <w:tcPr>
            <w:tcW w:w="17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PRINCIPAL</w:t>
            </w:r>
          </w:p>
        </w:tc>
        <w:tc>
          <w:tcPr>
            <w:tcW w:w="20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BENEFICIALLY OWNED</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PRINCIPAL</w:t>
            </w:r>
          </w:p>
        </w:tc>
        <w:tc>
          <w:tcPr>
            <w:tcW w:w="182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ORDINARY SHARES</w:t>
            </w:r>
          </w:p>
        </w:tc>
      </w:tr>
      <w:tr>
        <w:trPr>
          <w:trHeight w:val="182"/>
        </w:trPr>
        <w:tc>
          <w:tcPr>
            <w:tcW w:w="4440" w:type="dxa"/>
            <w:vAlign w:val="bottom"/>
          </w:tcPr>
          <w:p>
            <w:pPr>
              <w:spacing w:after="0"/>
              <w:rPr>
                <w:sz w:val="15"/>
                <w:szCs w:val="15"/>
                <w:color w:val="auto"/>
              </w:rPr>
            </w:pP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AMOUNT OF NOTES</w:t>
            </w:r>
          </w:p>
        </w:tc>
        <w:tc>
          <w:tcPr>
            <w:tcW w:w="20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UPON CONVERSION</w:t>
            </w:r>
          </w:p>
        </w:tc>
        <w:tc>
          <w:tcPr>
            <w:tcW w:w="1480" w:type="dxa"/>
            <w:vAlign w:val="bottom"/>
          </w:tcPr>
          <w:p>
            <w:pPr>
              <w:spacing w:after="0"/>
              <w:rPr>
                <w:sz w:val="20"/>
                <w:szCs w:val="20"/>
                <w:color w:val="auto"/>
              </w:rPr>
            </w:pPr>
            <w:r>
              <w:rPr>
                <w:rFonts w:ascii="Courier New" w:cs="Courier New" w:eastAsia="Courier New" w:hAnsi="Courier New"/>
                <w:sz w:val="16"/>
                <w:szCs w:val="16"/>
                <w:color w:val="auto"/>
              </w:rPr>
              <w:t>AMOUNT OF NOTES</w:t>
            </w:r>
          </w:p>
        </w:tc>
        <w:tc>
          <w:tcPr>
            <w:tcW w:w="182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6"/>
              </w:rPr>
              <w:t>BENEFICIALLY OWNED</w:t>
            </w:r>
          </w:p>
        </w:tc>
      </w:tr>
      <w:tr>
        <w:trPr>
          <w:trHeight w:val="182"/>
        </w:trPr>
        <w:tc>
          <w:tcPr>
            <w:tcW w:w="44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w w:val="97"/>
              </w:rPr>
              <w:t>BENEFICIALLY OWNED</w:t>
            </w:r>
          </w:p>
        </w:tc>
        <w:tc>
          <w:tcPr>
            <w:tcW w:w="2020" w:type="dxa"/>
            <w:vAlign w:val="bottom"/>
            <w:gridSpan w:val="2"/>
          </w:tcPr>
          <w:p>
            <w:pPr>
              <w:ind w:left="320"/>
              <w:spacing w:after="0"/>
              <w:rPr>
                <w:sz w:val="20"/>
                <w:szCs w:val="20"/>
                <w:color w:val="auto"/>
              </w:rPr>
            </w:pPr>
            <w:r>
              <w:rPr>
                <w:rFonts w:ascii="Courier New" w:cs="Courier New" w:eastAsia="Courier New" w:hAnsi="Courier New"/>
                <w:sz w:val="16"/>
                <w:szCs w:val="16"/>
                <w:color w:val="auto"/>
              </w:rPr>
              <w:t>OF THE NOTES</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BENEFICIALLY</w:t>
            </w:r>
          </w:p>
        </w:tc>
        <w:tc>
          <w:tcPr>
            <w:tcW w:w="800" w:type="dxa"/>
            <w:vAlign w:val="bottom"/>
          </w:tcPr>
          <w:p>
            <w:pPr>
              <w:ind w:left="220"/>
              <w:spacing w:after="0"/>
              <w:rPr>
                <w:sz w:val="20"/>
                <w:szCs w:val="20"/>
                <w:color w:val="auto"/>
              </w:rPr>
            </w:pPr>
            <w:r>
              <w:rPr>
                <w:rFonts w:ascii="Courier New" w:cs="Courier New" w:eastAsia="Courier New" w:hAnsi="Courier New"/>
                <w:sz w:val="16"/>
                <w:szCs w:val="16"/>
                <w:color w:val="auto"/>
              </w:rPr>
              <w:t>AFTER</w:t>
            </w:r>
          </w:p>
        </w:tc>
        <w:tc>
          <w:tcPr>
            <w:tcW w:w="1020" w:type="dxa"/>
            <w:vAlign w:val="bottom"/>
          </w:tcPr>
          <w:p>
            <w:pPr>
              <w:spacing w:after="0"/>
              <w:rPr>
                <w:sz w:val="20"/>
                <w:szCs w:val="20"/>
                <w:color w:val="auto"/>
              </w:rPr>
            </w:pPr>
            <w:r>
              <w:rPr>
                <w:rFonts w:ascii="Courier New" w:cs="Courier New" w:eastAsia="Courier New" w:hAnsi="Courier New"/>
                <w:sz w:val="16"/>
                <w:szCs w:val="16"/>
                <w:color w:val="auto"/>
              </w:rPr>
              <w:t>OFFERING</w:t>
            </w:r>
          </w:p>
        </w:tc>
      </w:tr>
      <w:tr>
        <w:trPr>
          <w:trHeight w:val="182"/>
        </w:trPr>
        <w:tc>
          <w:tcPr>
            <w:tcW w:w="4440" w:type="dxa"/>
            <w:vAlign w:val="bottom"/>
          </w:tcPr>
          <w:p>
            <w:pPr>
              <w:spacing w:after="0"/>
              <w:rPr>
                <w:sz w:val="15"/>
                <w:szCs w:val="15"/>
                <w:color w:val="auto"/>
              </w:rPr>
            </w:pPr>
          </w:p>
        </w:tc>
        <w:tc>
          <w:tcPr>
            <w:tcW w:w="17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THAT MAY</w:t>
            </w:r>
          </w:p>
        </w:tc>
        <w:tc>
          <w:tcPr>
            <w:tcW w:w="2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OWNED AFTER</w:t>
            </w:r>
          </w:p>
        </w:tc>
        <w:tc>
          <w:tcPr>
            <w:tcW w:w="18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4440" w:type="dxa"/>
            <w:vAlign w:val="bottom"/>
          </w:tcPr>
          <w:p>
            <w:pPr>
              <w:ind w:left="760"/>
              <w:spacing w:after="0"/>
              <w:rPr>
                <w:sz w:val="20"/>
                <w:szCs w:val="20"/>
                <w:color w:val="auto"/>
              </w:rPr>
            </w:pPr>
            <w:r>
              <w:rPr>
                <w:rFonts w:ascii="Courier New" w:cs="Courier New" w:eastAsia="Courier New" w:hAnsi="Courier New"/>
                <w:sz w:val="16"/>
                <w:szCs w:val="16"/>
                <w:color w:val="auto"/>
              </w:rPr>
              <w:t>NAME OF SELLING SECURITYHOLDER</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BE SOLD ($)</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NUMBER</w:t>
            </w:r>
          </w:p>
        </w:tc>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PERCENTAGE</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OFFERING</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NUMBER</w:t>
            </w:r>
          </w:p>
        </w:tc>
        <w:tc>
          <w:tcPr>
            <w:tcW w:w="1020" w:type="dxa"/>
            <w:vAlign w:val="bottom"/>
          </w:tcPr>
          <w:p>
            <w:pPr>
              <w:spacing w:after="0"/>
              <w:rPr>
                <w:sz w:val="20"/>
                <w:szCs w:val="20"/>
                <w:color w:val="auto"/>
              </w:rPr>
            </w:pPr>
            <w:r>
              <w:rPr>
                <w:rFonts w:ascii="Courier New" w:cs="Courier New" w:eastAsia="Courier New" w:hAnsi="Courier New"/>
                <w:sz w:val="16"/>
                <w:szCs w:val="16"/>
                <w:color w:val="auto"/>
              </w:rPr>
              <w:t>PERCENTAGE</w:t>
            </w:r>
          </w:p>
        </w:tc>
      </w:tr>
      <w:tr>
        <w:trPr>
          <w:trHeight w:val="182"/>
        </w:trPr>
        <w:tc>
          <w:tcPr>
            <w:tcW w:w="444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
              <w:spacing w:after="0"/>
              <w:rPr>
                <w:sz w:val="20"/>
                <w:szCs w:val="20"/>
                <w:color w:val="auto"/>
              </w:rPr>
            </w:pPr>
            <w:r>
              <w:rPr>
                <w:rFonts w:ascii="Courier New" w:cs="Courier New" w:eastAsia="Courier New" w:hAnsi="Courier New"/>
                <w:sz w:val="16"/>
                <w:szCs w:val="16"/>
                <w:color w:val="auto"/>
                <w:w w:val="95"/>
              </w:rPr>
              <w:t>----------</w:t>
            </w:r>
          </w:p>
        </w:tc>
      </w:tr>
      <w:tr>
        <w:trPr>
          <w:trHeight w:val="182"/>
        </w:trPr>
        <w:tc>
          <w:tcPr>
            <w:tcW w:w="4440" w:type="dxa"/>
            <w:vAlign w:val="bottom"/>
          </w:tcPr>
          <w:p>
            <w:pPr>
              <w:spacing w:after="0"/>
              <w:rPr>
                <w:sz w:val="20"/>
                <w:szCs w:val="20"/>
                <w:color w:val="auto"/>
              </w:rPr>
            </w:pPr>
            <w:r>
              <w:rPr>
                <w:rFonts w:ascii="Courier New" w:cs="Courier New" w:eastAsia="Courier New" w:hAnsi="Courier New"/>
                <w:sz w:val="16"/>
                <w:szCs w:val="16"/>
                <w:color w:val="auto"/>
                <w:w w:val="90"/>
              </w:rPr>
              <w:t>Citadel Equity Fund Ltd. (1).......................</w:t>
            </w:r>
          </w:p>
        </w:tc>
        <w:tc>
          <w:tcPr>
            <w:tcW w:w="17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78,000,000</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1,808,905</w:t>
            </w: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580"/>
              <w:spacing w:after="0"/>
              <w:rPr>
                <w:sz w:val="20"/>
                <w:szCs w:val="20"/>
                <w:color w:val="auto"/>
              </w:rPr>
            </w:pPr>
            <w:r>
              <w:rPr>
                <w:rFonts w:ascii="Courier New" w:cs="Courier New" w:eastAsia="Courier New" w:hAnsi="Courier New"/>
                <w:sz w:val="16"/>
                <w:szCs w:val="16"/>
                <w:color w:val="auto"/>
              </w:rPr>
              <w:t>0</w:t>
            </w:r>
          </w:p>
        </w:tc>
        <w:tc>
          <w:tcPr>
            <w:tcW w:w="800" w:type="dxa"/>
            <w:vAlign w:val="bottom"/>
          </w:tcPr>
          <w:p>
            <w:pPr>
              <w:ind w:left="420"/>
              <w:spacing w:after="0"/>
              <w:rPr>
                <w:sz w:val="20"/>
                <w:szCs w:val="20"/>
                <w:color w:val="auto"/>
              </w:rPr>
            </w:pPr>
            <w:r>
              <w:rPr>
                <w:rFonts w:ascii="Courier New" w:cs="Courier New" w:eastAsia="Courier New" w:hAnsi="Courier New"/>
                <w:sz w:val="16"/>
                <w:szCs w:val="16"/>
                <w:color w:val="auto"/>
              </w:rPr>
              <w:t>0</w:t>
            </w:r>
          </w:p>
        </w:tc>
        <w:tc>
          <w:tcPr>
            <w:tcW w:w="102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Citadel Investment Group, L.L.C.</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131 South Dearborn</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Chicago, IL 60603 USA</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Less than one percent.</w:t>
      </w:r>
    </w:p>
    <w:p>
      <w:pPr>
        <w:spacing w:after="0" w:line="5" w:lineRule="exact"/>
        <w:rPr>
          <w:sz w:val="20"/>
          <w:szCs w:val="20"/>
          <w:color w:val="auto"/>
        </w:rPr>
      </w:pPr>
    </w:p>
    <w:p>
      <w:pPr>
        <w:ind w:left="463" w:right="4060" w:hanging="463"/>
        <w:spacing w:after="0"/>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 The broker-dealers are under common control with Citadel Equity Fund Ltd. and one is directly owned by Citadel Equity Fund. The broker-dealers are: Aragon Investments Ltd., Palofax Trading LLC, Citadel Trading Group, LLC, and Citadel Derivatives Group. Citadel Limited Partnership ("Citadel") is the trading manager of Citadel Equity Fund Ltd. and consequently has investment discretion over the securities held by Citadel Equity Fund Ltd. Kenneth C. Griffin indirectly controls Citadel and therefore has ultimate investment discretion over securities held by Citadel Equity Fund Ltd. Mr. Griffin disclaims beneficial ownership of the shares held by Citadel Equity Fund Ltd.</w:t>
      </w:r>
    </w:p>
    <w:p>
      <w:pPr>
        <w:spacing w:after="0" w:line="369" w:lineRule="exact"/>
        <w:rPr>
          <w:sz w:val="20"/>
          <w:szCs w:val="20"/>
          <w:color w:val="auto"/>
        </w:rPr>
      </w:pPr>
    </w:p>
    <w:p>
      <w:pPr>
        <w:ind w:left="1223"/>
        <w:spacing w:after="0"/>
        <w:rPr>
          <w:sz w:val="20"/>
          <w:szCs w:val="20"/>
          <w:color w:val="auto"/>
        </w:rPr>
      </w:pPr>
      <w:r>
        <w:rPr>
          <w:rFonts w:ascii="Courier New" w:cs="Courier New" w:eastAsia="Courier New" w:hAnsi="Courier New"/>
          <w:sz w:val="16"/>
          <w:szCs w:val="16"/>
          <w:color w:val="auto"/>
        </w:rPr>
        <w:t>The date of this prospectus supplement is July 14, 2005</w:t>
      </w:r>
    </w:p>
    <w:sectPr>
      <w:pgSz w:w="11900" w:h="16838" w:orient="portrait"/>
      <w:cols w:equalWidth="0" w:num="1">
        <w:col w:w="11523"/>
      </w:cols>
      <w:pgMar w:left="237" w:top="84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2019-12-14T21:14:50Z</dcterms:created>
  <dcterms:modified xsi:type="dcterms:W3CDTF">2019-12-14T21:14:50Z</dcterms:modified>
</cp:coreProperties>
</file>