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RULE 13a-16 OR 15d-16</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month of November 2022</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182245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Hirzel House, Smith Street,</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St. Peter Port, Island of Guernsey, GY1 2NG</w:t>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Amdocs, Inc.</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625 Maryville Centre Drive, Suite 200, Saint Louis, Missouri 63141</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33" w:lineRule="exact"/>
        <w:rPr>
          <w:sz w:val="24"/>
          <w:szCs w:val="24"/>
          <w:color w:val="auto"/>
        </w:rPr>
      </w:pPr>
    </w:p>
    <w:p>
      <w:pPr>
        <w:jc w:val="center"/>
        <w:ind w:right="19"/>
        <w:spacing w:after="0" w:line="150" w:lineRule="exact"/>
        <w:tabs>
          <w:tab w:leader="none" w:pos="360" w:val="left"/>
        </w:tabs>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15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submitting the Form 6-K in paper as permitted by Regulation S-T Rule 101(b)(1): </w:t>
      </w:r>
      <w:r>
        <w:rPr>
          <w:rFonts w:ascii="MS PGothic" w:cs="MS PGothic" w:eastAsia="MS PGothic" w:hAnsi="MS PGothic"/>
          <w:sz w:val="13"/>
          <w:szCs w:val="13"/>
          <w:color w:val="auto"/>
        </w:rPr>
        <w:t>☐</w:t>
      </w:r>
    </w:p>
    <w:p>
      <w:pPr>
        <w:spacing w:after="0" w:line="15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submitting the Form 6-K in paper as permitted by Regulation S-T Rule 101(b)(7): </w:t>
      </w:r>
      <w:r>
        <w:rPr>
          <w:rFonts w:ascii="MS PGothic" w:cs="MS PGothic" w:eastAsia="MS PGothic" w:hAnsi="MS PGothic"/>
          <w:sz w:val="13"/>
          <w:szCs w:val="13"/>
          <w:color w:val="auto"/>
        </w:rPr>
        <w:t>☐</w:t>
      </w:r>
    </w:p>
    <w:p>
      <w:pPr>
        <w:spacing w:after="0" w:line="17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2"/>
          <w:szCs w:val="12"/>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Commission pursuant to Rule 12g3-2(b) under the Securities Exchange Act of 1934:</w:t>
      </w:r>
    </w:p>
    <w:p>
      <w:pPr>
        <w:spacing w:after="0" w:line="120" w:lineRule="exact"/>
        <w:rPr>
          <w:sz w:val="24"/>
          <w:szCs w:val="24"/>
          <w:color w:val="auto"/>
        </w:rPr>
      </w:pPr>
    </w:p>
    <w:p>
      <w:pPr>
        <w:jc w:val="center"/>
        <w:ind w:right="19"/>
        <w:spacing w:after="0" w:line="150" w:lineRule="exact"/>
        <w:tabs>
          <w:tab w:leader="none" w:pos="36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7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118110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147955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right="83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 November 8, 2022, Amdocs Limited (“Amdocs”) issued a press release announcing financial results for the quarter ended September 30, 2022. A copy of the press release and the accompanying presentation are furnished as Exhibits 99.1 and 99.2 to this Report of Foreign Private Issuer on Form 6-K.</w:t>
      </w:r>
    </w:p>
    <w:p>
      <w:pPr>
        <w:spacing w:after="0" w:line="13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9019"/>
          </w:cols>
          <w:pgMar w:left="1440" w:top="231"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AMDOCS LIMITED</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Matthew E. Smith</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i w:val="1"/>
          <w:iCs w:val="1"/>
          <w:color w:val="auto"/>
        </w:rPr>
        <w:t>Secretary and Authorized Signatory</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November 8, 2022</w:t>
      </w:r>
    </w:p>
    <w:p>
      <w:pPr>
        <w:sectPr>
          <w:pgSz w:w="11900" w:h="16838" w:orient="portrait"/>
          <w:cols w:equalWidth="0" w:num="1">
            <w:col w:w="9019"/>
          </w:cols>
          <w:pgMar w:left="1440" w:top="229" w:right="1440" w:bottom="1440" w:gutter="0" w:footer="0" w:header="0"/>
        </w:sectPr>
      </w:pPr>
    </w:p>
    <w:bookmarkStart w:id="3" w:name="page4"/>
    <w:bookmarkEnd w:id="3"/>
    <w:tbl>
      <w:tblPr>
        <w:tblLayout w:type="fixed"/>
        <w:tblInd w:w="640" w:type="dxa"/>
        <w:tblCellMar>
          <w:top w:w="0" w:type="dxa"/>
          <w:left w:w="0" w:type="dxa"/>
          <w:bottom w:w="0" w:type="dxa"/>
          <w:right w:w="0" w:type="dxa"/>
        </w:tblCellMar>
      </w:tblPr>
      <w:tr>
        <w:trPr>
          <w:trHeight w:val="165"/>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w w:val="94"/>
              </w:rPr>
              <w:t>EXHIBIT INDEX</w:t>
            </w:r>
          </w:p>
        </w:tc>
      </w:tr>
      <w:tr>
        <w:trPr>
          <w:trHeight w:val="260"/>
        </w:trPr>
        <w:tc>
          <w:tcPr>
            <w:tcW w:w="400" w:type="dxa"/>
            <w:vAlign w:val="bottom"/>
          </w:tcPr>
          <w:p>
            <w:pPr>
              <w:spacing w:after="0"/>
              <w:rPr>
                <w:sz w:val="20"/>
                <w:szCs w:val="20"/>
                <w:color w:val="auto"/>
              </w:rPr>
            </w:pPr>
            <w:r>
              <w:rPr>
                <w:rFonts w:ascii="Times New Roman" w:cs="Times New Roman" w:eastAsia="Times New Roman" w:hAnsi="Times New Roman"/>
                <w:sz w:val="10"/>
                <w:szCs w:val="10"/>
                <w:color w:val="auto"/>
                <w:w w:val="94"/>
              </w:rPr>
              <w:t>EXHIBIT</w:t>
            </w: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119"/>
        </w:trPr>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NO.</w:t>
            </w:r>
          </w:p>
        </w:tc>
        <w:tc>
          <w:tcPr>
            <w:tcW w:w="460" w:type="dxa"/>
            <w:vAlign w:val="bottom"/>
          </w:tcPr>
          <w:p>
            <w:pPr>
              <w:spacing w:after="0"/>
              <w:rPr>
                <w:sz w:val="10"/>
                <w:szCs w:val="10"/>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98"/>
              </w:rPr>
              <w:t>DESCRIPTION</w:t>
            </w:r>
          </w:p>
        </w:tc>
        <w:tc>
          <w:tcPr>
            <w:tcW w:w="2800" w:type="dxa"/>
            <w:vAlign w:val="bottom"/>
            <w:gridSpan w:val="3"/>
          </w:tcPr>
          <w:p>
            <w:pPr>
              <w:spacing w:after="0"/>
              <w:rPr>
                <w:sz w:val="10"/>
                <w:szCs w:val="10"/>
                <w:color w:val="auto"/>
              </w:rPr>
            </w:pPr>
          </w:p>
        </w:tc>
      </w:tr>
      <w:tr>
        <w:trPr>
          <w:trHeight w:val="188"/>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460" w:type="dxa"/>
            <w:vAlign w:val="bottom"/>
          </w:tcPr>
          <w:p>
            <w:pPr>
              <w:spacing w:after="0"/>
              <w:rPr>
                <w:sz w:val="16"/>
                <w:szCs w:val="16"/>
                <w:color w:val="auto"/>
              </w:rPr>
            </w:pPr>
          </w:p>
        </w:tc>
        <w:tc>
          <w:tcPr>
            <w:tcW w:w="2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6"/>
              </w:rPr>
              <w:t>Amdocs Limited Press Release dated November 8, 2022.</w:t>
            </w:r>
          </w:p>
        </w:tc>
        <w:tc>
          <w:tcPr>
            <w:tcW w:w="580" w:type="dxa"/>
            <w:vAlign w:val="bottom"/>
          </w:tcPr>
          <w:p>
            <w:pPr>
              <w:spacing w:after="0"/>
              <w:rPr>
                <w:sz w:val="16"/>
                <w:szCs w:val="16"/>
                <w:color w:val="auto"/>
              </w:rPr>
            </w:pPr>
          </w:p>
        </w:tc>
      </w:t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460" w:type="dxa"/>
            <w:vAlign w:val="bottom"/>
          </w:tcPr>
          <w:p>
            <w:pPr>
              <w:spacing w:after="0"/>
              <w:rPr>
                <w:sz w:val="18"/>
                <w:szCs w:val="18"/>
                <w:color w:val="auto"/>
              </w:rPr>
            </w:pPr>
          </w:p>
        </w:tc>
        <w:tc>
          <w:tcPr>
            <w:tcW w:w="1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5"/>
              </w:rPr>
              <w:t>Fiscal Q4 2022 Earnings Presentation</w:t>
            </w:r>
          </w:p>
        </w:tc>
        <w:tc>
          <w:tcPr>
            <w:tcW w:w="1560" w:type="dxa"/>
            <w:vAlign w:val="bottom"/>
            <w:gridSpan w:val="2"/>
          </w:tcPr>
          <w:p>
            <w:pPr>
              <w:spacing w:after="0"/>
              <w:rPr>
                <w:sz w:val="18"/>
                <w:szCs w:val="18"/>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4910455" cy="1155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10455" cy="115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Amdocs Limited Reports Fourth Quarter &amp; Full Year Fiscal 2022 Results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Record Fiscal 2022 Revenue of $4.58 Billion, up 6.7% YoY as Reported and up 10.3% YoY in Pro Forma</w:t>
      </w: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3"/>
          <w:szCs w:val="13"/>
          <w:i w:val="1"/>
          <w:iCs w:val="1"/>
          <w:color w:val="auto"/>
        </w:rPr>
        <w:t xml:space="preserve"> Constant Currency</w:t>
      </w:r>
      <w:r>
        <w:rPr>
          <w:rFonts w:ascii="Times New Roman" w:cs="Times New Roman" w:eastAsia="Times New Roman" w:hAnsi="Times New Roman"/>
          <w:sz w:val="18"/>
          <w:szCs w:val="18"/>
          <w:i w:val="1"/>
          <w:iCs w:val="1"/>
          <w:color w:val="auto"/>
          <w:vertAlign w:val="superscript"/>
        </w:rPr>
        <w:t>(3)</w:t>
      </w:r>
    </w:p>
    <w:p>
      <w:pPr>
        <w:jc w:val="center"/>
        <w:spacing w:after="0"/>
        <w:rPr>
          <w:sz w:val="20"/>
          <w:szCs w:val="20"/>
          <w:color w:val="auto"/>
        </w:rPr>
      </w:pPr>
      <w:r>
        <w:rPr>
          <w:rFonts w:ascii="Times New Roman" w:cs="Times New Roman" w:eastAsia="Times New Roman" w:hAnsi="Times New Roman"/>
          <w:sz w:val="13"/>
          <w:szCs w:val="13"/>
          <w:i w:val="1"/>
          <w:iCs w:val="1"/>
          <w:color w:val="auto"/>
        </w:rPr>
        <w:t>Continued Sales Momentum &amp; Record 12-Month Backlog of $3.97 Billion, up 7.6% YoY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Expects Fiscal 2023 Revenue Growth of 4.0%-8.0% YoY as Reported and 6.0%-10.0% YoY in Constant Currency</w:t>
      </w:r>
      <w:r>
        <w:rPr>
          <w:rFonts w:ascii="Times New Roman" w:cs="Times New Roman" w:eastAsia="Times New Roman" w:hAnsi="Times New Roman"/>
          <w:sz w:val="18"/>
          <w:szCs w:val="18"/>
          <w:i w:val="1"/>
          <w:iCs w:val="1"/>
          <w:color w:val="auto"/>
          <w:vertAlign w:val="superscript"/>
        </w:rPr>
        <w:t>(3)</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Full Year Fiscal 2022 Highlights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w:t>
      </w:r>
    </w:p>
    <w:p>
      <w:pPr>
        <w:spacing w:after="0" w:line="89" w:lineRule="exact"/>
        <w:rPr>
          <w:sz w:val="20"/>
          <w:szCs w:val="20"/>
          <w:color w:val="auto"/>
        </w:rPr>
      </w:pPr>
    </w:p>
    <w:p>
      <w:pPr>
        <w:ind w:left="1320" w:right="959" w:hanging="379"/>
        <w:spacing w:after="0" w:line="212"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revenue of $4,577 million, up 6.7% as reported and up 10.3% on a pro forma</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basis in constant currency</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including record revenue of $3,100 million in North America</w:t>
      </w:r>
    </w:p>
    <w:p>
      <w:pPr>
        <w:spacing w:after="0" w:line="73" w:lineRule="exact"/>
        <w:rPr>
          <w:rFonts w:ascii="Times New Roman" w:cs="Times New Roman" w:eastAsia="Times New Roman" w:hAnsi="Times New Roman"/>
          <w:sz w:val="13"/>
          <w:szCs w:val="13"/>
          <w:color w:val="auto"/>
        </w:rPr>
      </w:pPr>
    </w:p>
    <w:p>
      <w:pPr>
        <w:ind w:left="1320" w:right="719" w:hanging="379"/>
        <w:spacing w:after="0" w:line="212"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of $4.44, down 16.5% as reported, and up 13.3% after adjusting</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3"/>
          <w:szCs w:val="13"/>
          <w:color w:val="auto"/>
        </w:rPr>
        <w:t xml:space="preserve"> for a gain from previously announced divestiture of OpenMarket in the prior fiscal year</w:t>
      </w:r>
    </w:p>
    <w:p>
      <w:pPr>
        <w:spacing w:after="0" w:line="73"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EPS of $5.30, up 12.1% on a pro forma</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basis and 10.2% as reported</w:t>
      </w:r>
    </w:p>
    <w:p>
      <w:pPr>
        <w:spacing w:after="0" w:line="43" w:lineRule="exact"/>
        <w:rPr>
          <w:rFonts w:ascii="Times New Roman" w:cs="Times New Roman" w:eastAsia="Times New Roman" w:hAnsi="Times New Roman"/>
          <w:sz w:val="13"/>
          <w:szCs w:val="13"/>
          <w:color w:val="auto"/>
        </w:rPr>
      </w:pPr>
    </w:p>
    <w:p>
      <w:pPr>
        <w:ind w:left="1320" w:right="839" w:hanging="379"/>
        <w:spacing w:after="0" w:line="261"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Free cash flow of $530 million, reflecting healthy annual cash collections, and comprised of cash flow from operations of $757 million, less $227 million in net capital expenditures and other</w:t>
      </w:r>
      <w:r>
        <w:rPr>
          <w:rFonts w:ascii="Times New Roman" w:cs="Times New Roman" w:eastAsia="Times New Roman" w:hAnsi="Times New Roman"/>
          <w:sz w:val="18"/>
          <w:szCs w:val="18"/>
          <w:color w:val="auto"/>
          <w:vertAlign w:val="superscript"/>
        </w:rPr>
        <w:t>(1)</w:t>
      </w:r>
    </w:p>
    <w:p>
      <w:pPr>
        <w:ind w:left="1320" w:hanging="379"/>
        <w:spacing w:after="0"/>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Normalized free cash flow of $665 million</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equating to a conversion rate of roughly 102% compared to non-GAAP net income</w:t>
      </w:r>
    </w:p>
    <w:p>
      <w:pPr>
        <w:spacing w:after="0" w:line="29" w:lineRule="exact"/>
        <w:rPr>
          <w:rFonts w:ascii="Times New Roman" w:cs="Times New Roman" w:eastAsia="Times New Roman" w:hAnsi="Times New Roman"/>
          <w:sz w:val="13"/>
          <w:szCs w:val="13"/>
          <w:color w:val="auto"/>
        </w:rPr>
      </w:pPr>
    </w:p>
    <w:p>
      <w:pPr>
        <w:ind w:left="1320" w:right="799" w:hanging="379"/>
        <w:spacing w:after="0" w:line="245"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twelve-month backlog of $3.97 billion, up approximately $20 million sequentially and up 7.6% as compared to last year’s fourth fiscal quarter</w:t>
      </w:r>
    </w:p>
    <w:p>
      <w:pPr>
        <w:spacing w:after="0" w:line="69"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Please refer to the Selected Financial Metrics tables (figures may not sum because of rounding).</w:t>
      </w:r>
    </w:p>
    <w:p>
      <w:pPr>
        <w:spacing w:after="0" w:line="87"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 forma growth rate excludes the financial impact of OpenMarket (which was divested on December 31, 2020) from fiscal year 2021</w:t>
      </w:r>
    </w:p>
    <w:p>
      <w:pPr>
        <w:spacing w:after="0" w:line="87"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on a constant currency basis assumes exchange rates in the current period were unchanged from the prior period</w:t>
      </w:r>
    </w:p>
    <w:p>
      <w:pPr>
        <w:spacing w:after="0" w:line="87" w:lineRule="exact"/>
        <w:rPr>
          <w:rFonts w:ascii="Times New Roman" w:cs="Times New Roman" w:eastAsia="Times New Roman" w:hAnsi="Times New Roman"/>
          <w:sz w:val="13"/>
          <w:szCs w:val="13"/>
          <w:color w:val="auto"/>
        </w:rPr>
      </w:pPr>
    </w:p>
    <w:p>
      <w:pPr>
        <w:ind w:left="940" w:right="879" w:hanging="303"/>
        <w:spacing w:after="0" w:line="267" w:lineRule="auto"/>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GAAP excludes the gain from the sale of OpenMarket, which was divested on December 31, 2020, from the current and comparable fiscal years</w:t>
      </w:r>
    </w:p>
    <w:p>
      <w:pPr>
        <w:sectPr>
          <w:pgSz w:w="11900" w:h="16838" w:orient="portrait"/>
          <w:cols w:equalWidth="0" w:num="1">
            <w:col w:w="9019"/>
          </w:cols>
          <w:pgMar w:left="1440" w:top="125"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Fourth Quarter Fiscal 2022 Highlights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year’s fourth quarter)</w:t>
      </w:r>
    </w:p>
    <w:p>
      <w:pPr>
        <w:spacing w:after="0" w:line="89" w:lineRule="exact"/>
        <w:rPr>
          <w:sz w:val="20"/>
          <w:szCs w:val="20"/>
          <w:color w:val="auto"/>
        </w:rPr>
      </w:pPr>
    </w:p>
    <w:p>
      <w:pPr>
        <w:ind w:left="1320" w:right="759" w:hanging="379"/>
        <w:spacing w:after="0" w:line="221"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revenue of $1,167 million, up 7.3% as reported and up 9.5% in constant currency</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revenue was slightly above the midpoint of $1,145-$1,185 million guidance range, despite unfavorable foreign currency movements of roughly $9 million compared to our guidance assumptions</w:t>
      </w:r>
    </w:p>
    <w:p>
      <w:pPr>
        <w:spacing w:after="0" w:line="74"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revenue of $794 million in North America, up 9.9%</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Managed services revenue of $715 million, equivalent to approximately 61% of total revenue</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of $1.05, toward the high end of $0.98-$1.06 guidance range</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EPS of $1.29, at the midpoint of $1.26-$1.32 guidance range</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operating income of $172 million; GAAP operating margin of 14.7%</w:t>
      </w:r>
    </w:p>
    <w:p>
      <w:pPr>
        <w:spacing w:after="0" w:line="87" w:lineRule="exact"/>
        <w:rPr>
          <w:rFonts w:ascii="Times New Roman" w:cs="Times New Roman" w:eastAsia="Times New Roman" w:hAnsi="Times New Roman"/>
          <w:sz w:val="13"/>
          <w:szCs w:val="13"/>
          <w:color w:val="auto"/>
        </w:rPr>
      </w:pPr>
    </w:p>
    <w:p>
      <w:pPr>
        <w:ind w:left="1320" w:right="799" w:hanging="379"/>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operating income of $205 million; non-GAAP operating margin of 17.6%, unchanged sequentially and up 10 basis points as compared to last year’s fourth fiscal quarter while accelerating R&amp;D investments</w:t>
      </w:r>
    </w:p>
    <w:p>
      <w:pPr>
        <w:spacing w:after="0" w:line="55" w:lineRule="exact"/>
        <w:rPr>
          <w:rFonts w:ascii="Times New Roman" w:cs="Times New Roman" w:eastAsia="Times New Roman" w:hAnsi="Times New Roman"/>
          <w:sz w:val="13"/>
          <w:szCs w:val="13"/>
          <w:color w:val="auto"/>
        </w:rPr>
      </w:pPr>
    </w:p>
    <w:p>
      <w:pPr>
        <w:ind w:left="1320" w:right="819" w:hanging="379"/>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approved a 10% increase in the Company’s quarterly cash dividend payment from $0.395 per share to $0.435 per share, anticipated to be first paid in April 2023, subject to shareholder approval at the January 2023 annual meeting</w:t>
      </w:r>
    </w:p>
    <w:p>
      <w:pPr>
        <w:spacing w:after="0" w:line="120" w:lineRule="exact"/>
        <w:rPr>
          <w:sz w:val="20"/>
          <w:szCs w:val="20"/>
          <w:color w:val="auto"/>
        </w:rPr>
      </w:pPr>
    </w:p>
    <w:p>
      <w:pPr>
        <w:ind w:left="640" w:right="839"/>
        <w:spacing w:after="0" w:line="313" w:lineRule="auto"/>
        <w:rPr>
          <w:sz w:val="20"/>
          <w:szCs w:val="20"/>
          <w:color w:val="auto"/>
        </w:rPr>
      </w:pPr>
      <w:r>
        <w:rPr>
          <w:rFonts w:ascii="Times New Roman" w:cs="Times New Roman" w:eastAsia="Times New Roman" w:hAnsi="Times New Roman"/>
          <w:sz w:val="12"/>
          <w:szCs w:val="12"/>
          <w:b w:val="1"/>
          <w:bCs w:val="1"/>
          <w:color w:val="auto"/>
        </w:rPr>
        <w:t xml:space="preserve">JERSEY CITY, NJ – November 8, 2022 </w:t>
      </w:r>
      <w:r>
        <w:rPr>
          <w:rFonts w:ascii="Times New Roman" w:cs="Times New Roman" w:eastAsia="Times New Roman" w:hAnsi="Times New Roman"/>
          <w:sz w:val="12"/>
          <w:szCs w:val="12"/>
          <w:color w:val="auto"/>
        </w:rPr>
        <w:t>– Amdocs Limited (NASDAQ: DOX), a leading provider of software and services to communications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media companies, today reported operating results for the fourth fiscal quarter and full fiscal year ended September 30, 2022.</w:t>
      </w:r>
    </w:p>
    <w:p>
      <w:pPr>
        <w:spacing w:after="0" w:line="97"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2"/>
          <w:szCs w:val="12"/>
          <w:color w:val="auto"/>
        </w:rPr>
        <w:t>“Fiscal 2022 was a landmark year for Amdocs, and I could not be prouder of our talented employees and our many amazing achievements. We delivered accelerated full year revenue growth of 10.3% on a pro forma</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constant currency </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basis as we executed our strategy to support the industry’s need for digital modernization, 5G monetization, cloud, and network automation with market-leading innovation. Strong sales momentum throughout fiscal 2022 continued in Q4 and included a five-year agreement to migrate Amdocs systems to the cloud for AT&amp;T Mexico. Additionally, we are working with Rogers to move existing Amdocs services and applications to Rogers’ private cloud. Overall, we ended fiscal 2022 with record-high 12-month backlog of $3.97 billion, up approximately 8% from a year ago”, said Shuky Sheffer, president and chief executive officer of Amdocs Management Limited.</w:t>
      </w:r>
    </w:p>
    <w:p>
      <w:pPr>
        <w:sectPr>
          <w:pgSz w:w="11900" w:h="16838" w:orient="portrait"/>
          <w:cols w:equalWidth="0" w:num="1">
            <w:col w:w="9019"/>
          </w:cols>
          <w:pgMar w:left="1440" w:top="229" w:right="1440" w:bottom="1440" w:gutter="0" w:footer="0" w:header="0"/>
        </w:sectPr>
      </w:pPr>
    </w:p>
    <w:bookmarkStart w:id="6" w:name="page7"/>
    <w:bookmarkEnd w:id="6"/>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reputation for project execution is unrivalled in our industry, as demonstrated by a record number of production milestones achieved for our customers in Q4 and the full 2022 fiscal year. At the same time, we maintained consistent profitability and generated robust free cash flow, primarily driven by strong levels of customer cash collections throughout the fiscal year. Fiscal year 2022 was also a record year in managed services where recent customer activity included new long-term strategic agreements that strengthen and broaden our relationships with Charter in North America, Telefonica Hispanoamerica in Argentina, Chile and Peru, and SES in Europe,” said Tamar Rapaport-Dagim, chief financial officer &amp; chief operating officer of Amdocs Management Limited.</w:t>
      </w:r>
    </w:p>
    <w:p>
      <w:pPr>
        <w:spacing w:after="0" w:line="135" w:lineRule="exact"/>
        <w:rPr>
          <w:sz w:val="20"/>
          <w:szCs w:val="20"/>
          <w:color w:val="auto"/>
        </w:rPr>
      </w:pPr>
    </w:p>
    <w:p>
      <w:pPr>
        <w:ind w:left="640" w:right="939"/>
        <w:spacing w:after="0" w:line="232" w:lineRule="auto"/>
        <w:rPr>
          <w:sz w:val="20"/>
          <w:szCs w:val="20"/>
          <w:color w:val="auto"/>
        </w:rPr>
      </w:pPr>
      <w:r>
        <w:rPr>
          <w:rFonts w:ascii="Times New Roman" w:cs="Times New Roman" w:eastAsia="Times New Roman" w:hAnsi="Times New Roman"/>
          <w:sz w:val="13"/>
          <w:szCs w:val="13"/>
          <w:color w:val="auto"/>
        </w:rPr>
        <w:t>Sheffer concluded, “We are confident in our unique and resilient business model given the strategic and mission critical nature of our products and services that we provide under multi-year customer engagements. While we are not immune to the current macro uncertainty, our role as a trusted partner is especially valuable during such times as we work to help service providers improve customer experience, accelerate cost reduction, and increase efficiency with our digital, cloud, automation and 5G monetization capabilities. Taking everything into consideration, we are positioned to deliver fiscal year 2023 revenue growth in line with the midpoint of our long-term target range of 6% to 10% on a constant currency</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basis while delivering strong earnings to cash conversion.”</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Revenue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 period)</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121"/>
        </w:trPr>
        <w:tc>
          <w:tcPr>
            <w:tcW w:w="39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7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960" w:type="dxa"/>
            <w:vAlign w:val="bottom"/>
          </w:tcPr>
          <w:p>
            <w:pPr>
              <w:spacing w:after="0"/>
              <w:rPr>
                <w:sz w:val="8"/>
                <w:szCs w:val="8"/>
                <w:color w:val="auto"/>
              </w:rPr>
            </w:pPr>
          </w:p>
        </w:tc>
        <w:tc>
          <w:tcPr>
            <w:tcW w:w="1460" w:type="dxa"/>
            <w:vAlign w:val="bottom"/>
            <w:tcBorders>
              <w:bottom w:val="single" w:sz="8" w:color="auto"/>
            </w:tcBorders>
            <w:gridSpan w:val="4"/>
          </w:tcPr>
          <w:p>
            <w:pPr>
              <w:jc w:val="right"/>
              <w:ind w:right="224"/>
              <w:spacing w:after="0" w:line="94" w:lineRule="exact"/>
              <w:rPr>
                <w:sz w:val="20"/>
                <w:szCs w:val="20"/>
                <w:color w:val="auto"/>
              </w:rPr>
            </w:pPr>
            <w:r>
              <w:rPr>
                <w:rFonts w:ascii="Times New Roman" w:cs="Times New Roman" w:eastAsia="Times New Roman" w:hAnsi="Times New Roman"/>
                <w:sz w:val="10"/>
                <w:szCs w:val="10"/>
                <w:b w:val="1"/>
                <w:bCs w:val="1"/>
                <w:color w:val="auto"/>
              </w:rPr>
              <w:t>Three months ended</w:t>
            </w:r>
          </w:p>
        </w:tc>
        <w:tc>
          <w:tcPr>
            <w:tcW w:w="260" w:type="dxa"/>
            <w:vAlign w:val="bottom"/>
          </w:tcPr>
          <w:p>
            <w:pPr>
              <w:spacing w:after="0"/>
              <w:rPr>
                <w:sz w:val="8"/>
                <w:szCs w:val="8"/>
                <w:color w:val="auto"/>
              </w:rPr>
            </w:pPr>
          </w:p>
        </w:tc>
        <w:tc>
          <w:tcPr>
            <w:tcW w:w="1380" w:type="dxa"/>
            <w:vAlign w:val="bottom"/>
            <w:tcBorders>
              <w:bottom w:val="single" w:sz="8" w:color="auto"/>
            </w:tcBorders>
            <w:gridSpan w:val="3"/>
          </w:tcPr>
          <w:p>
            <w:pPr>
              <w:jc w:val="right"/>
              <w:ind w:right="163"/>
              <w:spacing w:after="0" w:line="94" w:lineRule="exact"/>
              <w:rPr>
                <w:sz w:val="20"/>
                <w:szCs w:val="20"/>
                <w:color w:val="auto"/>
              </w:rPr>
            </w:pPr>
            <w:r>
              <w:rPr>
                <w:rFonts w:ascii="Times New Roman" w:cs="Times New Roman" w:eastAsia="Times New Roman" w:hAnsi="Times New Roman"/>
                <w:sz w:val="10"/>
                <w:szCs w:val="10"/>
                <w:b w:val="1"/>
                <w:bCs w:val="1"/>
                <w:color w:val="auto"/>
              </w:rPr>
              <w:t>Twelve months ended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960" w:type="dxa"/>
            <w:vAlign w:val="bottom"/>
          </w:tcPr>
          <w:p>
            <w:pPr>
              <w:spacing w:after="0"/>
              <w:rPr>
                <w:sz w:val="8"/>
                <w:szCs w:val="8"/>
                <w:color w:val="auto"/>
              </w:rPr>
            </w:pPr>
          </w:p>
        </w:tc>
        <w:tc>
          <w:tcPr>
            <w:tcW w:w="1460" w:type="dxa"/>
            <w:vAlign w:val="bottom"/>
            <w:tcBorders>
              <w:bottom w:val="single" w:sz="8" w:color="auto"/>
            </w:tcBorders>
            <w:gridSpan w:val="4"/>
          </w:tcPr>
          <w:p>
            <w:pPr>
              <w:jc w:val="right"/>
              <w:ind w:right="244"/>
              <w:spacing w:after="0" w:line="94" w:lineRule="exact"/>
              <w:rPr>
                <w:sz w:val="20"/>
                <w:szCs w:val="20"/>
                <w:color w:val="auto"/>
              </w:rPr>
            </w:pPr>
            <w:r>
              <w:rPr>
                <w:rFonts w:ascii="Times New Roman" w:cs="Times New Roman" w:eastAsia="Times New Roman" w:hAnsi="Times New Roman"/>
                <w:sz w:val="10"/>
                <w:szCs w:val="10"/>
                <w:b w:val="1"/>
                <w:bCs w:val="1"/>
                <w:color w:val="auto"/>
              </w:rPr>
              <w:t>September 30, 2022</w:t>
            </w:r>
          </w:p>
        </w:tc>
        <w:tc>
          <w:tcPr>
            <w:tcW w:w="260" w:type="dxa"/>
            <w:vAlign w:val="bottom"/>
          </w:tcPr>
          <w:p>
            <w:pPr>
              <w:spacing w:after="0"/>
              <w:rPr>
                <w:sz w:val="8"/>
                <w:szCs w:val="8"/>
                <w:color w:val="auto"/>
              </w:rPr>
            </w:pPr>
          </w:p>
        </w:tc>
        <w:tc>
          <w:tcPr>
            <w:tcW w:w="1380" w:type="dxa"/>
            <w:vAlign w:val="bottom"/>
            <w:tcBorders>
              <w:bottom w:val="single" w:sz="8" w:color="auto"/>
            </w:tcBorders>
            <w:gridSpan w:val="3"/>
          </w:tcPr>
          <w:p>
            <w:pPr>
              <w:jc w:val="right"/>
              <w:ind w:right="223"/>
              <w:spacing w:after="0" w:line="94" w:lineRule="exact"/>
              <w:rPr>
                <w:sz w:val="20"/>
                <w:szCs w:val="20"/>
                <w:color w:val="auto"/>
              </w:rPr>
            </w:pPr>
            <w:r>
              <w:rPr>
                <w:rFonts w:ascii="Times New Roman" w:cs="Times New Roman" w:eastAsia="Times New Roman" w:hAnsi="Times New Roman"/>
                <w:sz w:val="10"/>
                <w:szCs w:val="10"/>
                <w:b w:val="1"/>
                <w:bCs w:val="1"/>
                <w:color w:val="auto"/>
              </w:rPr>
              <w:t>September 30, 2022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960" w:type="dxa"/>
            <w:vAlign w:val="bottom"/>
          </w:tcPr>
          <w:p>
            <w:pPr>
              <w:spacing w:after="0"/>
              <w:rPr>
                <w:sz w:val="6"/>
                <w:szCs w:val="6"/>
                <w:color w:val="auto"/>
              </w:rPr>
            </w:pPr>
          </w:p>
        </w:tc>
        <w:tc>
          <w:tcPr>
            <w:tcW w:w="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Actual</w:t>
            </w:r>
          </w:p>
        </w:tc>
        <w:tc>
          <w:tcPr>
            <w:tcW w:w="120" w:type="dxa"/>
            <w:vAlign w:val="bottom"/>
          </w:tcPr>
          <w:p>
            <w:pPr>
              <w:spacing w:after="0"/>
              <w:rPr>
                <w:sz w:val="6"/>
                <w:szCs w:val="6"/>
                <w:color w:val="auto"/>
              </w:rPr>
            </w:pPr>
          </w:p>
        </w:tc>
        <w:tc>
          <w:tcPr>
            <w:tcW w:w="860" w:type="dxa"/>
            <w:vAlign w:val="bottom"/>
          </w:tcPr>
          <w:p>
            <w:pPr>
              <w:jc w:val="right"/>
              <w:ind w:right="184"/>
              <w:spacing w:after="0" w:line="77" w:lineRule="exact"/>
              <w:rPr>
                <w:sz w:val="20"/>
                <w:szCs w:val="20"/>
                <w:color w:val="auto"/>
              </w:rPr>
            </w:pPr>
            <w:r>
              <w:rPr>
                <w:rFonts w:ascii="Times New Roman" w:cs="Times New Roman" w:eastAsia="Times New Roman" w:hAnsi="Times New Roman"/>
                <w:sz w:val="8"/>
                <w:szCs w:val="8"/>
                <w:b w:val="1"/>
                <w:bCs w:val="1"/>
                <w:color w:val="auto"/>
              </w:rPr>
              <w:t>Previous</w:t>
            </w:r>
          </w:p>
        </w:tc>
        <w:tc>
          <w:tcPr>
            <w:tcW w:w="260" w:type="dxa"/>
            <w:vAlign w:val="bottom"/>
          </w:tcPr>
          <w:p>
            <w:pPr>
              <w:spacing w:after="0"/>
              <w:rPr>
                <w:sz w:val="6"/>
                <w:szCs w:val="6"/>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Actual</w:t>
            </w:r>
          </w:p>
        </w:tc>
        <w:tc>
          <w:tcPr>
            <w:tcW w:w="740" w:type="dxa"/>
            <w:vAlign w:val="bottom"/>
          </w:tcPr>
          <w:p>
            <w:pPr>
              <w:jc w:val="right"/>
              <w:ind w:right="123"/>
              <w:spacing w:after="0" w:line="77" w:lineRule="exact"/>
              <w:rPr>
                <w:sz w:val="20"/>
                <w:szCs w:val="20"/>
                <w:color w:val="auto"/>
              </w:rPr>
            </w:pPr>
            <w:r>
              <w:rPr>
                <w:rFonts w:ascii="Times New Roman" w:cs="Times New Roman" w:eastAsia="Times New Roman" w:hAnsi="Times New Roman"/>
                <w:sz w:val="8"/>
                <w:szCs w:val="8"/>
                <w:b w:val="1"/>
                <w:bCs w:val="1"/>
                <w:color w:val="auto"/>
              </w:rPr>
              <w:t>Previous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396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164"/>
              <w:spacing w:after="0"/>
              <w:rPr>
                <w:sz w:val="20"/>
                <w:szCs w:val="20"/>
                <w:color w:val="auto"/>
              </w:rPr>
            </w:pPr>
            <w:r>
              <w:rPr>
                <w:rFonts w:ascii="Times New Roman" w:cs="Times New Roman" w:eastAsia="Times New Roman" w:hAnsi="Times New Roman"/>
                <w:sz w:val="10"/>
                <w:szCs w:val="10"/>
                <w:b w:val="1"/>
                <w:bCs w:val="1"/>
                <w:color w:val="auto"/>
              </w:rPr>
              <w:t>Guidance</w:t>
            </w:r>
          </w:p>
        </w:tc>
        <w:tc>
          <w:tcPr>
            <w:tcW w:w="2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Guidance</w:t>
            </w:r>
          </w:p>
        </w:tc>
        <w:tc>
          <w:tcPr>
            <w:tcW w:w="0" w:type="dxa"/>
            <w:vAlign w:val="bottom"/>
          </w:tcPr>
          <w:p>
            <w:pPr>
              <w:spacing w:after="0"/>
              <w:rPr>
                <w:sz w:val="1"/>
                <w:szCs w:val="1"/>
                <w:color w:val="auto"/>
              </w:rPr>
            </w:pPr>
          </w:p>
        </w:tc>
      </w:tr>
      <w:tr>
        <w:trPr>
          <w:trHeight w:val="141"/>
        </w:trPr>
        <w:tc>
          <w:tcPr>
            <w:tcW w:w="396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Revenue</w:t>
            </w: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$1,167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4"/>
              <w:spacing w:after="0" w:line="141" w:lineRule="exact"/>
              <w:rPr>
                <w:sz w:val="20"/>
                <w:szCs w:val="20"/>
                <w:color w:val="auto"/>
              </w:rPr>
            </w:pPr>
            <w:r>
              <w:rPr>
                <w:rFonts w:ascii="Times New Roman" w:cs="Times New Roman" w:eastAsia="Times New Roman" w:hAnsi="Times New Roman"/>
                <w:sz w:val="13"/>
                <w:szCs w:val="13"/>
                <w:color w:val="auto"/>
                <w:w w:val="94"/>
              </w:rPr>
              <w:t>$1,145 - $1,185</w:t>
            </w:r>
          </w:p>
        </w:tc>
        <w:tc>
          <w:tcPr>
            <w:tcW w:w="2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7"/>
              </w:rPr>
              <w:t>$ 4,577</w:t>
            </w:r>
          </w:p>
        </w:tc>
        <w:tc>
          <w:tcPr>
            <w:tcW w:w="2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3"/>
              <w:spacing w:after="0" w:line="141"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Revenue growth, as reported</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6.7%</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6.2% - 7.2%</w:t>
            </w:r>
          </w:p>
        </w:tc>
        <w:tc>
          <w:tcPr>
            <w:tcW w:w="0" w:type="dxa"/>
            <w:vAlign w:val="bottom"/>
          </w:tcPr>
          <w:p>
            <w:pPr>
              <w:spacing w:after="0"/>
              <w:rPr>
                <w:sz w:val="1"/>
                <w:szCs w:val="1"/>
                <w:color w:val="auto"/>
              </w:rPr>
            </w:pPr>
          </w:p>
        </w:tc>
      </w:tr>
      <w:tr>
        <w:trPr>
          <w:trHeight w:val="152"/>
        </w:trPr>
        <w:tc>
          <w:tcPr>
            <w:tcW w:w="396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Revenue growth, constant currency</w:t>
            </w:r>
            <w:r>
              <w:rPr>
                <w:rFonts w:ascii="Times New Roman" w:cs="Times New Roman" w:eastAsia="Times New Roman" w:hAnsi="Times New Roman"/>
                <w:sz w:val="17"/>
                <w:szCs w:val="17"/>
                <w:color w:val="auto"/>
                <w:vertAlign w:val="superscript"/>
              </w:rPr>
              <w:t>(3)</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9"/>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Pro forma</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revenue growth, constant currency</w:t>
            </w:r>
            <w:r>
              <w:rPr>
                <w:rFonts w:ascii="Times New Roman" w:cs="Times New Roman" w:eastAsia="Times New Roman" w:hAnsi="Times New Roman"/>
                <w:sz w:val="18"/>
                <w:szCs w:val="18"/>
                <w:color w:val="auto"/>
                <w:vertAlign w:val="superscript"/>
              </w:rPr>
              <w:t>(3)</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10.3%</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9.6% - 10.6%</w:t>
            </w:r>
          </w:p>
        </w:tc>
        <w:tc>
          <w:tcPr>
            <w:tcW w:w="0" w:type="dxa"/>
            <w:vAlign w:val="bottom"/>
          </w:tcPr>
          <w:p>
            <w:pPr>
              <w:spacing w:after="0"/>
              <w:rPr>
                <w:sz w:val="1"/>
                <w:szCs w:val="1"/>
                <w:color w:val="auto"/>
              </w:rPr>
            </w:pPr>
          </w:p>
        </w:tc>
      </w:tr>
    </w:tbl>
    <w:p>
      <w:pPr>
        <w:sectPr>
          <w:pgSz w:w="11900" w:h="16838" w:orient="portrait"/>
          <w:cols w:equalWidth="0" w:num="1">
            <w:col w:w="9019"/>
          </w:cols>
          <w:pgMar w:left="1440" w:top="231" w:right="1440" w:bottom="1440" w:gutter="0" w:footer="0" w:header="0"/>
        </w:sectPr>
      </w:pPr>
    </w:p>
    <w:bookmarkStart w:id="7" w:name="page8"/>
    <w:bookmarkEnd w:id="7"/>
    <w:p>
      <w:pPr>
        <w:ind w:left="1320" w:right="739" w:hanging="379"/>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Revenue for the fourth fiscal quarter of 2022 was slightly above the midpoint of Amdocs’ guidance, despite unfavorable foreign currency movements of roughly $9 million compared to our guidance assumptions</w:t>
      </w:r>
    </w:p>
    <w:p>
      <w:pPr>
        <w:spacing w:after="0" w:line="55" w:lineRule="exact"/>
        <w:rPr>
          <w:rFonts w:ascii="Times New Roman" w:cs="Times New Roman" w:eastAsia="Times New Roman" w:hAnsi="Times New Roman"/>
          <w:sz w:val="13"/>
          <w:szCs w:val="13"/>
          <w:color w:val="auto"/>
        </w:rPr>
      </w:pPr>
    </w:p>
    <w:p>
      <w:pPr>
        <w:ind w:left="1320" w:right="959" w:hanging="379"/>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 the fourth fiscal quarter includes an unfavorable impact from foreign currency movements of approximately $12 million relative to the third quarter of fiscal 2022</w:t>
      </w:r>
    </w:p>
    <w:p>
      <w:pPr>
        <w:spacing w:after="0" w:line="55" w:lineRule="exact"/>
        <w:rPr>
          <w:rFonts w:ascii="Times New Roman" w:cs="Times New Roman" w:eastAsia="Times New Roman" w:hAnsi="Times New Roman"/>
          <w:sz w:val="13"/>
          <w:szCs w:val="13"/>
          <w:color w:val="auto"/>
        </w:rPr>
      </w:pPr>
    </w:p>
    <w:p>
      <w:pPr>
        <w:ind w:left="1320" w:right="719" w:hanging="379"/>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 the full year fiscal 2022 includes an unfavorable impact from foreign currency movements of approximately 1.4% year-over-year</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Net Income and Earnings Per Share</w:t>
      </w:r>
    </w:p>
    <w:p>
      <w:pPr>
        <w:spacing w:after="0" w:line="160"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28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40" w:type="dxa"/>
            <w:vAlign w:val="bottom"/>
            <w:gridSpan w:val="7"/>
          </w:tcPr>
          <w:p>
            <w:pPr>
              <w:ind w:left="40"/>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4"/>
        </w:trPr>
        <w:tc>
          <w:tcPr>
            <w:tcW w:w="28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gridSpan w:val="6"/>
          </w:tcPr>
          <w:p>
            <w:pPr>
              <w:jc w:val="center"/>
              <w:ind w:right="300"/>
              <w:spacing w:after="0" w:line="104" w:lineRule="exact"/>
              <w:rPr>
                <w:sz w:val="20"/>
                <w:szCs w:val="20"/>
                <w:color w:val="auto"/>
              </w:rPr>
            </w:pPr>
            <w:r>
              <w:rPr>
                <w:rFonts w:ascii="Times New Roman" w:cs="Times New Roman" w:eastAsia="Times New Roman" w:hAnsi="Times New Roman"/>
                <w:sz w:val="10"/>
                <w:szCs w:val="10"/>
                <w:b w:val="1"/>
                <w:bCs w:val="1"/>
                <w:color w:val="auto"/>
              </w:rPr>
              <w:t>Three months ended</w:t>
            </w:r>
          </w:p>
        </w:tc>
        <w:tc>
          <w:tcPr>
            <w:tcW w:w="60" w:type="dxa"/>
            <w:vAlign w:val="bottom"/>
          </w:tcPr>
          <w:p>
            <w:pPr>
              <w:spacing w:after="0"/>
              <w:rPr>
                <w:sz w:val="9"/>
                <w:szCs w:val="9"/>
                <w:color w:val="auto"/>
              </w:rPr>
            </w:pPr>
          </w:p>
        </w:tc>
        <w:tc>
          <w:tcPr>
            <w:tcW w:w="1180" w:type="dxa"/>
            <w:vAlign w:val="bottom"/>
            <w:gridSpan w:val="5"/>
          </w:tcPr>
          <w:p>
            <w:pPr>
              <w:ind w:left="80"/>
              <w:spacing w:after="0" w:line="104" w:lineRule="exact"/>
              <w:rPr>
                <w:sz w:val="20"/>
                <w:szCs w:val="20"/>
                <w:color w:val="auto"/>
              </w:rPr>
            </w:pPr>
            <w:r>
              <w:rPr>
                <w:rFonts w:ascii="Times New Roman" w:cs="Times New Roman" w:eastAsia="Times New Roman" w:hAnsi="Times New Roman"/>
                <w:sz w:val="10"/>
                <w:szCs w:val="10"/>
                <w:b w:val="1"/>
                <w:bCs w:val="1"/>
                <w:color w:val="auto"/>
              </w:rPr>
              <w:t>Twelve months ended</w:t>
            </w:r>
          </w:p>
        </w:tc>
      </w:tr>
      <w:tr>
        <w:trPr>
          <w:trHeight w:val="121"/>
        </w:trPr>
        <w:tc>
          <w:tcPr>
            <w:tcW w:w="28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6"/>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60" w:type="dxa"/>
            <w:vAlign w:val="bottom"/>
          </w:tcPr>
          <w:p>
            <w:pPr>
              <w:spacing w:after="0"/>
              <w:rPr>
                <w:sz w:val="10"/>
                <w:szCs w:val="10"/>
                <w:color w:val="auto"/>
              </w:rPr>
            </w:pPr>
          </w:p>
        </w:tc>
        <w:tc>
          <w:tcPr>
            <w:tcW w:w="1180" w:type="dxa"/>
            <w:vAlign w:val="bottom"/>
            <w:gridSpan w:val="5"/>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2860" w:type="dxa"/>
            <w:vAlign w:val="bottom"/>
            <w:tcBorders>
              <w:bottom w:val="single" w:sz="8" w:color="CCEEFF"/>
            </w:tcBorders>
          </w:tcPr>
          <w:p>
            <w:pPr>
              <w:spacing w:after="0"/>
              <w:rPr>
                <w:sz w:val="8"/>
                <w:szCs w:val="8"/>
                <w:color w:val="auto"/>
              </w:rPr>
            </w:pPr>
          </w:p>
        </w:tc>
        <w:tc>
          <w:tcPr>
            <w:tcW w:w="156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82"/>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top w:val="single" w:sz="8" w:color="auto"/>
              <w:bottom w:val="single" w:sz="8" w:color="CCEEFF"/>
            </w:tcBorders>
          </w:tcPr>
          <w:p>
            <w:pPr>
              <w:spacing w:after="0"/>
              <w:rPr>
                <w:sz w:val="8"/>
                <w:szCs w:val="8"/>
                <w:color w:val="auto"/>
              </w:rPr>
            </w:pPr>
          </w:p>
        </w:tc>
        <w:tc>
          <w:tcPr>
            <w:tcW w:w="20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9"/>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2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ind w:left="80"/>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39"/>
              <w:spacing w:after="0" w:line="94" w:lineRule="exact"/>
              <w:rPr>
                <w:sz w:val="20"/>
                <w:szCs w:val="20"/>
                <w:color w:val="auto"/>
              </w:rPr>
            </w:pPr>
            <w:r>
              <w:rPr>
                <w:rFonts w:ascii="Times New Roman" w:cs="Times New Roman" w:eastAsia="Times New Roman" w:hAnsi="Times New Roman"/>
                <w:sz w:val="10"/>
                <w:szCs w:val="10"/>
                <w:b w:val="1"/>
                <w:bCs w:val="1"/>
                <w:color w:val="auto"/>
              </w:rPr>
              <w:t>2021</w:t>
            </w:r>
            <w:r>
              <w:rPr>
                <w:rFonts w:ascii="Times New Roman" w:cs="Times New Roman" w:eastAsia="Times New Roman" w:hAnsi="Times New Roman"/>
                <w:sz w:val="7"/>
                <w:szCs w:val="7"/>
                <w:b w:val="1"/>
                <w:bCs w:val="1"/>
                <w:color w:val="auto"/>
              </w:rPr>
              <w:t>(a)</w:t>
            </w:r>
          </w:p>
        </w:tc>
        <w:tc>
          <w:tcPr>
            <w:tcW w:w="40" w:type="dxa"/>
            <w:vAlign w:val="bottom"/>
            <w:tcBorders>
              <w:bottom w:val="single" w:sz="8" w:color="CCEEFF"/>
            </w:tcBorders>
          </w:tcPr>
          <w:p>
            <w:pPr>
              <w:spacing w:after="0"/>
              <w:rPr>
                <w:sz w:val="8"/>
                <w:szCs w:val="8"/>
                <w:color w:val="auto"/>
              </w:rPr>
            </w:pPr>
          </w:p>
        </w:tc>
      </w:tr>
      <w:tr>
        <w:trPr>
          <w:trHeight w:val="132"/>
        </w:trPr>
        <w:tc>
          <w:tcPr>
            <w:tcW w:w="28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GAAP Measures</w:t>
            </w:r>
          </w:p>
        </w:tc>
        <w:tc>
          <w:tcPr>
            <w:tcW w:w="1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228"/>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4"/>
              </w:rPr>
              <w:t>128,936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123,525</w:t>
            </w:r>
          </w:p>
        </w:tc>
        <w:tc>
          <w:tcPr>
            <w:tcW w:w="2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w w:val="94"/>
              </w:rPr>
              <w:t>549,501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4"/>
              </w:rPr>
              <w:t>688,374</w:t>
            </w:r>
          </w:p>
        </w:tc>
      </w:tr>
      <w:tr>
        <w:trPr>
          <w:trHeight w:val="76"/>
        </w:trPr>
        <w:tc>
          <w:tcPr>
            <w:tcW w:w="28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52"/>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0.97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4.44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5.32</w:t>
            </w:r>
          </w:p>
        </w:tc>
      </w:tr>
      <w:tr>
        <w:trPr>
          <w:trHeight w:val="228"/>
        </w:trPr>
        <w:tc>
          <w:tcPr>
            <w:tcW w:w="2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Non-GAAP Measures</w:t>
            </w: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6"/>
        </w:trPr>
        <w:tc>
          <w:tcPr>
            <w:tcW w:w="28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52"/>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157,548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147,470</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4"/>
              </w:rPr>
              <w:t>655,147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621,820</w:t>
            </w:r>
          </w:p>
        </w:tc>
      </w:tr>
      <w:tr>
        <w:trPr>
          <w:trHeight w:val="228"/>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1.16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5.30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4.81</w:t>
            </w:r>
          </w:p>
        </w:tc>
      </w:tr>
    </w:tbl>
    <w:p>
      <w:pPr>
        <w:spacing w:after="0" w:line="158" w:lineRule="exact"/>
        <w:rPr>
          <w:sz w:val="20"/>
          <w:szCs w:val="20"/>
          <w:color w:val="auto"/>
        </w:rPr>
      </w:pPr>
    </w:p>
    <w:p>
      <w:pPr>
        <w:ind w:left="1320" w:right="719" w:hanging="379"/>
        <w:spacing w:after="0" w:line="255"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net income excludes amortization of purchased intangible assets and other acquisition-related costs, changes in certain acquisition related liabilities measured at fair value, equity-based compensation expenses, gain from divestiture of OpenMarket and other, net of related tax effects, in all the periods presented</w:t>
      </w:r>
    </w:p>
    <w:p>
      <w:pPr>
        <w:spacing w:after="0" w:line="63" w:lineRule="exact"/>
        <w:rPr>
          <w:rFonts w:ascii="Times New Roman" w:cs="Times New Roman" w:eastAsia="Times New Roman" w:hAnsi="Times New Roman"/>
          <w:sz w:val="13"/>
          <w:szCs w:val="13"/>
          <w:color w:val="auto"/>
        </w:rPr>
      </w:pPr>
    </w:p>
    <w:p>
      <w:pPr>
        <w:ind w:left="1320" w:right="659" w:hanging="379"/>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fiscal year 2021, the GAAP net income includes a gain from divestiture of OpenMarket, net of related tax effects, at the amount of $1.44 per share, which is excluded from the Non-GAAP net income</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further details of the reconciliation of selected financial metrics from GAAP to Non-GAAP, please refer to the tables below.</w:t>
      </w:r>
    </w:p>
    <w:p>
      <w:pPr>
        <w:sectPr>
          <w:pgSz w:w="11900" w:h="16838" w:orient="portrait"/>
          <w:cols w:equalWidth="0" w:num="1">
            <w:col w:w="9019"/>
          </w:cols>
          <w:pgMar w:left="1440" w:top="231"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Capital Allocation: Returning Cash to Shareholders</w:t>
      </w:r>
    </w:p>
    <w:p>
      <w:pPr>
        <w:spacing w:after="0" w:line="87" w:lineRule="exact"/>
        <w:rPr>
          <w:sz w:val="20"/>
          <w:szCs w:val="20"/>
          <w:color w:val="auto"/>
        </w:rPr>
      </w:pPr>
    </w:p>
    <w:p>
      <w:pPr>
        <w:ind w:left="1320" w:right="659" w:hanging="379"/>
        <w:spacing w:after="0" w:line="25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Quarterly Cash Dividend Program: </w:t>
      </w:r>
      <w:r>
        <w:rPr>
          <w:rFonts w:ascii="Times New Roman" w:cs="Times New Roman" w:eastAsia="Times New Roman" w:hAnsi="Times New Roman"/>
          <w:sz w:val="13"/>
          <w:szCs w:val="13"/>
          <w:color w:val="auto"/>
        </w:rPr>
        <w:t>On November 8, 2022, the Board approved the Company’s next quarterly cash dividend payment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$0.395 per share and set December 30, 2022 as the record date for determining the shareholders entitled to receive the dividend, which will be payable on January 27, 2023</w:t>
      </w:r>
    </w:p>
    <w:p>
      <w:pPr>
        <w:spacing w:after="0" w:line="61" w:lineRule="exact"/>
        <w:rPr>
          <w:rFonts w:ascii="Times New Roman" w:cs="Times New Roman" w:eastAsia="Times New Roman" w:hAnsi="Times New Roman"/>
          <w:sz w:val="13"/>
          <w:szCs w:val="13"/>
          <w:color w:val="auto"/>
        </w:rPr>
      </w:pPr>
    </w:p>
    <w:p>
      <w:pPr>
        <w:jc w:val="both"/>
        <w:ind w:left="1320" w:right="679" w:hanging="379"/>
        <w:spacing w:after="0" w:line="309" w:lineRule="auto"/>
        <w:tabs>
          <w:tab w:leader="none" w:pos="1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also approved a 10% increase in the Company’s quarterly cash dividend payment to $0.435 per share, which is anticipated to be first paid in April 2023, provided that the increase is approved by shareholders at the January 2023 annual general meeting of shareholders</w:t>
      </w:r>
    </w:p>
    <w:p>
      <w:pPr>
        <w:spacing w:after="0" w:line="31" w:lineRule="exact"/>
        <w:rPr>
          <w:rFonts w:ascii="Times New Roman" w:cs="Times New Roman" w:eastAsia="Times New Roman" w:hAnsi="Times New Roman"/>
          <w:sz w:val="12"/>
          <w:szCs w:val="12"/>
          <w:color w:val="auto"/>
        </w:rPr>
      </w:pPr>
    </w:p>
    <w:p>
      <w:pPr>
        <w:ind w:left="1320" w:hanging="379"/>
        <w:spacing w:after="0"/>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Share Repurchase Activity: </w:t>
      </w:r>
      <w:r>
        <w:rPr>
          <w:rFonts w:ascii="Times New Roman" w:cs="Times New Roman" w:eastAsia="Times New Roman" w:hAnsi="Times New Roman"/>
          <w:sz w:val="13"/>
          <w:szCs w:val="13"/>
          <w:color w:val="auto"/>
        </w:rPr>
        <w:t>Repurchased $108 million of ordinary shares during the fourth quarter of fiscal 2022</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Twelve-month Backlog</w:t>
      </w:r>
    </w:p>
    <w:p>
      <w:pPr>
        <w:spacing w:after="0" w:line="80"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Twelve-month backlog was a record $3.97 billion at the end of the fourth quarter of fiscal 2022, up approximately 7.6% as compared to last year’s fourth fiscal quarter. Twelve-month backlog includes anticipated revenue related to contracts, estimated revenue from managed services contracts, letters of intent, maintenance and estimated on-going support activities.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First Quarter Fiscal 2023 Outlook</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6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In millions, except per share data</w:t>
            </w:r>
          </w:p>
        </w:tc>
      </w:tr>
      <w:tr>
        <w:trPr>
          <w:trHeight w:val="121"/>
        </w:trPr>
        <w:tc>
          <w:tcPr>
            <w:tcW w:w="25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6"/>
              </w:rPr>
              <w:t>Q1 2023</w:t>
            </w:r>
          </w:p>
        </w:tc>
      </w:tr>
      <w:tr>
        <w:trPr>
          <w:trHeight w:val="141"/>
        </w:trPr>
        <w:tc>
          <w:tcPr>
            <w:tcW w:w="25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2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1,155-$1,195</w:t>
            </w:r>
          </w:p>
        </w:tc>
        <w:tc>
          <w:tcPr>
            <w:tcW w:w="20" w:type="dxa"/>
            <w:vAlign w:val="bottom"/>
            <w:tcBorders>
              <w:top w:val="single" w:sz="8" w:color="CCEEFF"/>
            </w:tcBorders>
            <w:shd w:val="clear" w:color="auto" w:fill="CCEEFF"/>
          </w:tcPr>
          <w:p>
            <w:pPr>
              <w:spacing w:after="0"/>
              <w:rPr>
                <w:sz w:val="12"/>
                <w:szCs w:val="12"/>
                <w:color w:val="auto"/>
              </w:rPr>
            </w:pPr>
          </w:p>
        </w:tc>
      </w:tr>
      <w:tr>
        <w:trPr>
          <w:trHeight w:val="152"/>
        </w:trPr>
        <w:tc>
          <w:tcPr>
            <w:tcW w:w="2500" w:type="dxa"/>
            <w:vAlign w:val="bottom"/>
          </w:tcPr>
          <w:p>
            <w:pPr>
              <w:spacing w:after="0"/>
              <w:rPr>
                <w:sz w:val="20"/>
                <w:szCs w:val="20"/>
                <w:color w:val="auto"/>
              </w:rPr>
            </w:pPr>
            <w:r>
              <w:rPr>
                <w:rFonts w:ascii="Times New Roman" w:cs="Times New Roman" w:eastAsia="Times New Roman" w:hAnsi="Times New Roman"/>
                <w:sz w:val="13"/>
                <w:szCs w:val="13"/>
                <w:color w:val="auto"/>
              </w:rPr>
              <w:t>GAAP diluted EPS</w:t>
            </w:r>
          </w:p>
        </w:tc>
        <w:tc>
          <w:tcPr>
            <w:tcW w:w="1580" w:type="dxa"/>
            <w:vAlign w:val="bottom"/>
            <w:gridSpan w:val="2"/>
          </w:tcPr>
          <w:p>
            <w:pPr>
              <w:jc w:val="right"/>
              <w:ind w:right="188"/>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1.00-$1.08</w:t>
            </w:r>
          </w:p>
        </w:tc>
      </w:tr>
      <w:tr>
        <w:trPr>
          <w:trHeight w:val="15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diluted EPS</w:t>
            </w:r>
          </w:p>
        </w:tc>
        <w:tc>
          <w:tcPr>
            <w:tcW w:w="15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1.29-$1.35</w:t>
            </w:r>
          </w:p>
        </w:tc>
      </w:tr>
    </w:tbl>
    <w:p>
      <w:pPr>
        <w:spacing w:after="0" w:line="72" w:lineRule="exact"/>
        <w:rPr>
          <w:sz w:val="20"/>
          <w:szCs w:val="20"/>
          <w:color w:val="auto"/>
        </w:rPr>
      </w:pPr>
    </w:p>
    <w:p>
      <w:pPr>
        <w:ind w:left="1320" w:right="919" w:hanging="379"/>
        <w:spacing w:after="0" w:line="267"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First quarter revenue guidance assumes approximately $7 million sequential unfavorable impact from foreign currency fluctuations as compared to the fourth quarter of fiscal 2022</w:t>
      </w:r>
    </w:p>
    <w:p>
      <w:pPr>
        <w:spacing w:after="0" w:line="55" w:lineRule="exact"/>
        <w:rPr>
          <w:rFonts w:ascii="Times New Roman" w:cs="Times New Roman" w:eastAsia="Times New Roman" w:hAnsi="Times New Roman"/>
          <w:sz w:val="13"/>
          <w:szCs w:val="13"/>
          <w:color w:val="auto"/>
        </w:rPr>
      </w:pPr>
    </w:p>
    <w:p>
      <w:pPr>
        <w:ind w:left="1320" w:right="879" w:hanging="379"/>
        <w:spacing w:after="0" w:line="255"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First quarter non-GAAP diluted EPS guidance excludes amortization of purchased intangible assets and other acquisition-related costs, changes in certain acquisitions related liabilities measured at fair value, and approximately $0.13-$0.15 per share of equity-based compensation expense and other, net of related tax effects</w:t>
      </w:r>
    </w:p>
    <w:p>
      <w:pPr>
        <w:sectPr>
          <w:pgSz w:w="11900" w:h="16838" w:orient="portrait"/>
          <w:cols w:equalWidth="0" w:num="1">
            <w:col w:w="9019"/>
          </w:cols>
          <w:pgMar w:left="1440" w:top="229" w:right="1440"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Full Year Fiscal 2023 Outlook</w:t>
      </w:r>
    </w:p>
    <w:p>
      <w:pPr>
        <w:spacing w:after="0" w:line="171" w:lineRule="exact"/>
        <w:rPr>
          <w:sz w:val="20"/>
          <w:szCs w:val="20"/>
          <w:color w:val="auto"/>
        </w:rPr>
      </w:pPr>
    </w:p>
    <w:tbl>
      <w:tblPr>
        <w:tblLayout w:type="fixed"/>
        <w:tblInd w:w="1880" w:type="dxa"/>
        <w:tblCellMar>
          <w:top w:w="0" w:type="dxa"/>
          <w:left w:w="0" w:type="dxa"/>
          <w:bottom w:w="0" w:type="dxa"/>
          <w:right w:w="0" w:type="dxa"/>
        </w:tblCellMar>
      </w:tblPr>
      <w:tr>
        <w:trPr>
          <w:trHeight w:val="121"/>
        </w:trPr>
        <w:tc>
          <w:tcPr>
            <w:tcW w:w="3880" w:type="dxa"/>
            <w:vAlign w:val="bottom"/>
            <w:tcBorders>
              <w:bottom w:val="single" w:sz="8" w:color="CCEEFF"/>
            </w:tcBorders>
          </w:tcPr>
          <w:p>
            <w:pPr>
              <w:spacing w:after="0"/>
              <w:rPr>
                <w:sz w:val="10"/>
                <w:szCs w:val="1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FY 2023, year-over-year growth</w:t>
            </w:r>
          </w:p>
        </w:tc>
      </w:tr>
      <w:tr>
        <w:trPr>
          <w:trHeight w:val="141"/>
        </w:trPr>
        <w:tc>
          <w:tcPr>
            <w:tcW w:w="38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 growth, as reported</w:t>
            </w:r>
          </w:p>
        </w:tc>
        <w:tc>
          <w:tcPr>
            <w:tcW w:w="136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5"/>
              </w:rPr>
              <w:t>4.0%-8.0%</w:t>
            </w:r>
          </w:p>
        </w:tc>
      </w:tr>
      <w:tr>
        <w:trPr>
          <w:trHeight w:val="227"/>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Revenue growth, constant currency</w:t>
            </w:r>
            <w:r>
              <w:rPr>
                <w:rFonts w:ascii="Times New Roman" w:cs="Times New Roman" w:eastAsia="Times New Roman" w:hAnsi="Times New Roman"/>
                <w:sz w:val="18"/>
                <w:szCs w:val="18"/>
                <w:color w:val="auto"/>
                <w:vertAlign w:val="superscript"/>
              </w:rPr>
              <w:t>(3)</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6.0%-10.0%</w:t>
            </w:r>
          </w:p>
        </w:tc>
      </w:tr>
      <w:tr>
        <w:trPr>
          <w:trHeight w:val="152"/>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GAAP diluted EPS growth</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3.0% - 10.0%</w:t>
            </w:r>
          </w:p>
        </w:tc>
      </w:tr>
      <w:tr>
        <w:trPr>
          <w:trHeight w:val="165"/>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Non-GAAP diluted EPS growth</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8.0%-12.0%</w:t>
            </w:r>
          </w:p>
        </w:tc>
      </w:tr>
      <w:tr>
        <w:trPr>
          <w:trHeight w:val="226"/>
        </w:trPr>
        <w:tc>
          <w:tcPr>
            <w:tcW w:w="38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 millions</w:t>
            </w:r>
          </w:p>
        </w:tc>
      </w:tr>
      <w:tr>
        <w:trPr>
          <w:trHeight w:val="121"/>
        </w:trPr>
        <w:tc>
          <w:tcPr>
            <w:tcW w:w="388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FY 2023,</w:t>
            </w:r>
          </w:p>
        </w:tc>
      </w:tr>
      <w:tr>
        <w:trPr>
          <w:trHeight w:val="152"/>
        </w:trPr>
        <w:tc>
          <w:tcPr>
            <w:tcW w:w="38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Free cash flow</w:t>
            </w:r>
            <w:r>
              <w:rPr>
                <w:rFonts w:ascii="Times New Roman" w:cs="Times New Roman" w:eastAsia="Times New Roman" w:hAnsi="Times New Roman"/>
                <w:sz w:val="17"/>
                <w:szCs w:val="17"/>
                <w:color w:val="auto"/>
                <w:vertAlign w:val="superscript"/>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~$700</w:t>
            </w:r>
          </w:p>
        </w:tc>
      </w:tr>
    </w:tbl>
    <w:p>
      <w:pPr>
        <w:spacing w:after="0" w:line="72" w:lineRule="exact"/>
        <w:rPr>
          <w:sz w:val="20"/>
          <w:szCs w:val="20"/>
          <w:color w:val="auto"/>
        </w:rPr>
      </w:pPr>
    </w:p>
    <w:p>
      <w:pPr>
        <w:ind w:left="1320" w:right="759" w:hanging="379"/>
        <w:spacing w:after="0" w:line="267"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year fiscal 2023 revenue guidance incorporates an expected unfavorable impact from foreign currency fluctuations of approximately 2% year-over-year</w:t>
      </w:r>
    </w:p>
    <w:p>
      <w:pPr>
        <w:spacing w:after="0" w:line="55" w:lineRule="exact"/>
        <w:rPr>
          <w:rFonts w:ascii="Times New Roman" w:cs="Times New Roman" w:eastAsia="Times New Roman" w:hAnsi="Times New Roman"/>
          <w:sz w:val="13"/>
          <w:szCs w:val="13"/>
          <w:color w:val="auto"/>
        </w:rPr>
      </w:pPr>
    </w:p>
    <w:p>
      <w:pPr>
        <w:ind w:left="1320" w:right="659" w:hanging="379"/>
        <w:spacing w:after="0" w:line="255"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earnings per share growth excludes amortization of purchased intangible assets and other acquisition-related costs, changes in certain acquisitions related liabilities measured at fair value, approximately $0.61-$0.69 per share of equity-based compensation expense, and other, net of related tax effects.</w:t>
      </w:r>
    </w:p>
    <w:p>
      <w:pPr>
        <w:spacing w:after="0" w:line="63"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effective tax rate is anticipated to be within a range of 13.0% to 17.0% for the full year fiscal 2023</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Free cash flow</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is comprised of cash flow from operations, less net capital expenditures and other</w:t>
      </w:r>
    </w:p>
    <w:p>
      <w:pPr>
        <w:spacing w:after="0" w:line="96"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The forward looking statements regarding our first fiscal quarter 2023 and full year fiscal 2023 guidance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certain geopolitical events, the current inflationary environment, the COVID-19 pandemic and the prevailing level of macro-economic, business and operational uncertainty, which have created, and continues to create, a significant amount of uncertainty, or from current and potential customer consolidation or their other strategic corporate activities.</w:t>
      </w:r>
    </w:p>
    <w:p>
      <w:pPr>
        <w:sectPr>
          <w:pgSz w:w="11900" w:h="16838" w:orient="portrait"/>
          <w:cols w:equalWidth="0" w:num="1">
            <w:col w:w="9019"/>
          </w:cols>
          <w:pgMar w:left="1440" w:top="229" w:right="1440"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Conference Call and Earnings Webcast Presentation Details</w:t>
      </w:r>
    </w:p>
    <w:p>
      <w:pPr>
        <w:spacing w:after="0" w:line="80"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Amdocs will host a conference call and earnings webcast presentation on November 8, 2022 at 5:00 p.m. Eastern Time to discuss the Company’s fourth quarter of fiscal 2022 results.</w:t>
      </w:r>
    </w:p>
    <w:p>
      <w:pPr>
        <w:spacing w:after="0" w:line="122" w:lineRule="exact"/>
        <w:rPr>
          <w:sz w:val="20"/>
          <w:szCs w:val="20"/>
          <w:color w:val="auto"/>
        </w:rPr>
      </w:pPr>
    </w:p>
    <w:p>
      <w:pPr>
        <w:jc w:val="both"/>
        <w:ind w:left="640" w:right="679"/>
        <w:spacing w:after="0" w:line="255" w:lineRule="auto"/>
        <w:rPr>
          <w:sz w:val="20"/>
          <w:szCs w:val="20"/>
          <w:color w:val="auto"/>
        </w:rPr>
      </w:pPr>
      <w:r>
        <w:rPr>
          <w:rFonts w:ascii="Times New Roman" w:cs="Times New Roman" w:eastAsia="Times New Roman" w:hAnsi="Times New Roman"/>
          <w:sz w:val="13"/>
          <w:szCs w:val="13"/>
          <w:color w:val="auto"/>
        </w:rPr>
        <w:t xml:space="preserve">To participate in the call, please register </w:t>
      </w:r>
      <w:r>
        <w:rPr>
          <w:rFonts w:ascii="Times New Roman" w:cs="Times New Roman" w:eastAsia="Times New Roman" w:hAnsi="Times New Roman"/>
          <w:sz w:val="13"/>
          <w:szCs w:val="13"/>
          <w:u w:val="single" w:color="auto"/>
          <w:color w:val="auto"/>
        </w:rPr>
        <w:t>here</w:t>
      </w:r>
      <w:r>
        <w:rPr>
          <w:rFonts w:ascii="Times New Roman" w:cs="Times New Roman" w:eastAsia="Times New Roman" w:hAnsi="Times New Roman"/>
          <w:sz w:val="13"/>
          <w:szCs w:val="13"/>
          <w:color w:val="auto"/>
        </w:rPr>
        <w:t xml:space="preserve"> to receive the dial-in numbers and unique access PIN. The conference call and webcast will also be carried live on the Internet and may be accessed via the Amdocs website at https://investors.amdocs.com. Presentation slides will be available shortly before the webcast.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80" w:lineRule="exact"/>
        <w:rPr>
          <w:sz w:val="20"/>
          <w:szCs w:val="20"/>
          <w:color w:val="auto"/>
        </w:rPr>
      </w:pPr>
    </w:p>
    <w:p>
      <w:pPr>
        <w:ind w:left="640" w:right="719"/>
        <w:spacing w:after="0" w:line="229" w:lineRule="auto"/>
        <w:rPr>
          <w:sz w:val="20"/>
          <w:szCs w:val="20"/>
          <w:color w:val="auto"/>
        </w:rPr>
      </w:pPr>
      <w:r>
        <w:rPr>
          <w:rFonts w:ascii="Times New Roman" w:cs="Times New Roman" w:eastAsia="Times New Roman" w:hAnsi="Times New Roman"/>
          <w:sz w:val="13"/>
          <w:szCs w:val="13"/>
          <w:color w:val="auto"/>
        </w:rPr>
        <w:t>This release includes non-GAAP diluted earnings per share and other non-GAAP financial measures, including free cash flow and normalized free cash flow, revenue on a constant currency</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These other non-GAAP measures exclude the following items:</w:t>
      </w:r>
    </w:p>
    <w:p>
      <w:pPr>
        <w:spacing w:after="0" w:line="75" w:lineRule="exact"/>
        <w:rPr>
          <w:sz w:val="20"/>
          <w:szCs w:val="20"/>
          <w:color w:val="auto"/>
        </w:rPr>
      </w:pPr>
    </w:p>
    <w:p>
      <w:pPr>
        <w:ind w:left="1320" w:hanging="379"/>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amortization of purchased intangible assets and other acquisition-related costs;</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certain acquisition-related liabilities measured at fair value;</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non-recurring and unusual charges or benefits (such as a gain from divestiture of OpenMarket);</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equity-based compensation expense;</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and</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effects related to the above.</w:t>
      </w:r>
    </w:p>
    <w:p>
      <w:pPr>
        <w:sectPr>
          <w:pgSz w:w="11900" w:h="16838" w:orient="portrait"/>
          <w:cols w:equalWidth="0" w:num="1">
            <w:col w:w="9019"/>
          </w:cols>
          <w:pgMar w:left="1440" w:top="229" w:right="1440" w:bottom="1440" w:gutter="0" w:footer="0" w:header="0"/>
        </w:sectPr>
      </w:pPr>
    </w:p>
    <w:bookmarkStart w:id="11" w:name="page12"/>
    <w:bookmarkEnd w:id="11"/>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Free cash flow equals cash generated by operating activities less net capital expenditures and other. Normalized free cash flow, a measure of our operating performance, is further adjusted to exclude net capital expenditures related to the new campus development, payments for non-recurring and unusual charges (such as capital gains tax in relation to the divestiture of OpenMarket),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39"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color w:val="auto"/>
        </w:rPr>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23" w:lineRule="exact"/>
        <w:rPr>
          <w:sz w:val="20"/>
          <w:szCs w:val="20"/>
          <w:color w:val="auto"/>
        </w:rPr>
      </w:pPr>
    </w:p>
    <w:p>
      <w:pPr>
        <w:ind w:left="640" w:right="819"/>
        <w:spacing w:after="0" w:line="286" w:lineRule="auto"/>
        <w:rPr>
          <w:sz w:val="20"/>
          <w:szCs w:val="20"/>
          <w:color w:val="auto"/>
        </w:rPr>
      </w:pPr>
      <w:r>
        <w:rPr>
          <w:rFonts w:ascii="Times New Roman" w:cs="Times New Roman" w:eastAsia="Times New Roman" w:hAnsi="Times New Roman"/>
          <w:sz w:val="12"/>
          <w:szCs w:val="12"/>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or benefits, equity-based compensation expense, other and related tax effects. Amdocs’ management also</w:t>
      </w:r>
    </w:p>
    <w:p>
      <w:pPr>
        <w:sectPr>
          <w:pgSz w:w="11900" w:h="16838" w:orient="portrait"/>
          <w:cols w:equalWidth="0" w:num="1">
            <w:col w:w="9019"/>
          </w:cols>
          <w:pgMar w:left="1440" w:top="231" w:right="1440" w:bottom="1440" w:gutter="0" w:footer="0" w:header="0"/>
        </w:sectPr>
      </w:pPr>
    </w:p>
    <w:bookmarkStart w:id="12" w:name="page13"/>
    <w:bookmarkEnd w:id="12"/>
    <w:p>
      <w:pPr>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33"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Supporting Resources</w:t>
      </w:r>
    </w:p>
    <w:p>
      <w:pPr>
        <w:spacing w:after="0" w:line="89" w:lineRule="exact"/>
        <w:rPr>
          <w:sz w:val="20"/>
          <w:szCs w:val="20"/>
          <w:color w:val="auto"/>
        </w:rPr>
      </w:pPr>
    </w:p>
    <w:p>
      <w:pPr>
        <w:ind w:left="1320" w:hanging="379"/>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Keep up with Amdocs news by visiting the Company’s </w:t>
      </w:r>
      <w:r>
        <w:rPr>
          <w:rFonts w:ascii="Times New Roman" w:cs="Times New Roman" w:eastAsia="Times New Roman" w:hAnsi="Times New Roman"/>
          <w:sz w:val="13"/>
          <w:szCs w:val="13"/>
          <w:u w:val="single" w:color="auto"/>
          <w:color w:val="auto"/>
        </w:rPr>
        <w:t>website</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Subscribe to Amdocs’ </w:t>
      </w:r>
      <w:r>
        <w:rPr>
          <w:rFonts w:ascii="Times New Roman" w:cs="Times New Roman" w:eastAsia="Times New Roman" w:hAnsi="Times New Roman"/>
          <w:sz w:val="13"/>
          <w:szCs w:val="13"/>
          <w:u w:val="single" w:color="auto"/>
          <w:color w:val="auto"/>
        </w:rPr>
        <w:t>RSS Feed</w:t>
      </w:r>
      <w:r>
        <w:rPr>
          <w:rFonts w:ascii="Times New Roman" w:cs="Times New Roman" w:eastAsia="Times New Roman" w:hAnsi="Times New Roman"/>
          <w:sz w:val="13"/>
          <w:szCs w:val="13"/>
          <w:color w:val="auto"/>
        </w:rPr>
        <w:t xml:space="preserve"> and follow us on </w:t>
      </w:r>
      <w:r>
        <w:rPr>
          <w:rFonts w:ascii="Times New Roman" w:cs="Times New Roman" w:eastAsia="Times New Roman" w:hAnsi="Times New Roman"/>
          <w:sz w:val="13"/>
          <w:szCs w:val="13"/>
          <w:u w:val="single" w:color="auto"/>
          <w:color w:val="auto"/>
        </w:rPr>
        <w:t>Twitter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Facebook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LinkedIn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YouTube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Amdocs</w:t>
      </w:r>
    </w:p>
    <w:p>
      <w:pPr>
        <w:spacing w:after="0" w:line="80"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31,000 employees around the globe are here to accelerate service providers’ migration to the cloud, enable them to differentiate in the 5G era, and digitalize and automate their operations. Listed on the NASDAQ Global Select Market, Amdocs had revenue of $4.58 billion in fiscal 2022.</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For more information, visit Amdocs at </w:t>
      </w:r>
      <w:r>
        <w:rPr>
          <w:rFonts w:ascii="Times New Roman" w:cs="Times New Roman" w:eastAsia="Times New Roman" w:hAnsi="Times New Roman"/>
          <w:sz w:val="13"/>
          <w:szCs w:val="13"/>
          <w:u w:val="single" w:color="auto"/>
          <w:color w:val="auto"/>
        </w:rPr>
        <w:t>www.amdocs.com</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3" w:name="page14"/>
    <w:bookmarkEnd w:id="13"/>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macro-economic conditions, including as a result of geopolitical events or other global or regional events such as the COVID-19 pandemic, as well as the current inflationary environment, and the effects of these conditions on the company’s clients’ businesses and levels of business activity,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2021 filed on December 9, 2021 and our Form 6-K furnished for the first quarter of fiscal 2022 on February 14, 2022, the second quarter of fiscal 2022 on May 24, 2022 and for the third quarter of fiscal 2022 on August 15, 2022.</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Matthew Smith</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Head of Investor Relations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Amdocs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314-212-8328</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dox_info@amdocs.com</w:t>
      </w:r>
    </w:p>
    <w:p>
      <w:pPr>
        <w:sectPr>
          <w:pgSz w:w="11900" w:h="16838" w:orient="portrait"/>
          <w:cols w:equalWidth="0" w:num="1">
            <w:col w:w="9019"/>
          </w:cols>
          <w:pgMar w:left="1440" w:top="231"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Income</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p>
      <w:pPr>
        <w:spacing w:after="0" w:line="13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7"/>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 w:type="dxa"/>
            <w:vAlign w:val="bottom"/>
          </w:tcPr>
          <w:p>
            <w:pPr>
              <w:spacing w:after="0"/>
              <w:rPr>
                <w:sz w:val="10"/>
                <w:szCs w:val="10"/>
                <w:color w:val="auto"/>
              </w:rPr>
            </w:pPr>
          </w:p>
        </w:tc>
        <w:tc>
          <w:tcPr>
            <w:tcW w:w="1320" w:type="dxa"/>
            <w:vAlign w:val="bottom"/>
            <w:gridSpan w:val="6"/>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Fiscal year ended</w:t>
            </w:r>
          </w:p>
        </w:tc>
      </w:tr>
      <w:tr>
        <w:trPr>
          <w:trHeight w:val="121"/>
        </w:trPr>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7"/>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0" w:type="dxa"/>
            <w:vAlign w:val="bottom"/>
          </w:tcPr>
          <w:p>
            <w:pPr>
              <w:spacing w:after="0"/>
              <w:rPr>
                <w:sz w:val="10"/>
                <w:szCs w:val="10"/>
                <w:color w:val="auto"/>
              </w:rPr>
            </w:pPr>
          </w:p>
        </w:tc>
        <w:tc>
          <w:tcPr>
            <w:tcW w:w="1320" w:type="dxa"/>
            <w:vAlign w:val="bottom"/>
            <w:gridSpan w:val="6"/>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48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9"/>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8"/>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9"/>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78"/>
              <w:spacing w:after="0" w:line="94" w:lineRule="exact"/>
              <w:rPr>
                <w:sz w:val="20"/>
                <w:szCs w:val="20"/>
                <w:color w:val="auto"/>
              </w:rPr>
            </w:pPr>
            <w:r>
              <w:rPr>
                <w:rFonts w:ascii="Times New Roman" w:cs="Times New Roman" w:eastAsia="Times New Roman" w:hAnsi="Times New Roman"/>
                <w:sz w:val="10"/>
                <w:szCs w:val="10"/>
                <w:b w:val="1"/>
                <w:bCs w:val="1"/>
                <w:color w:val="auto"/>
              </w:rPr>
              <w:t>2021</w:t>
            </w:r>
            <w:r>
              <w:rPr>
                <w:rFonts w:ascii="Times New Roman" w:cs="Times New Roman" w:eastAsia="Times New Roman" w:hAnsi="Times New Roman"/>
                <w:sz w:val="7"/>
                <w:szCs w:val="7"/>
                <w:b w:val="1"/>
                <w:bCs w:val="1"/>
                <w:color w:val="auto"/>
              </w:rPr>
              <w:t>(a)</w:t>
            </w:r>
          </w:p>
        </w:tc>
        <w:tc>
          <w:tcPr>
            <w:tcW w:w="80" w:type="dxa"/>
            <w:vAlign w:val="bottom"/>
            <w:tcBorders>
              <w:bottom w:val="single" w:sz="8" w:color="CCEEFF"/>
            </w:tcBorders>
          </w:tcPr>
          <w:p>
            <w:pPr>
              <w:spacing w:after="0"/>
              <w:rPr>
                <w:sz w:val="8"/>
                <w:szCs w:val="8"/>
                <w:color w:val="auto"/>
              </w:rPr>
            </w:pPr>
          </w:p>
        </w:tc>
      </w:tr>
      <w:tr>
        <w:trPr>
          <w:trHeight w:val="141"/>
        </w:trPr>
        <w:tc>
          <w:tcPr>
            <w:tcW w:w="48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1,166,504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1,087,309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4,576,697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4,288,640</w:t>
            </w:r>
          </w:p>
        </w:tc>
        <w:tc>
          <w:tcPr>
            <w:tcW w:w="80" w:type="dxa"/>
            <w:vAlign w:val="bottom"/>
            <w:shd w:val="clear" w:color="auto" w:fill="CCEEFF"/>
          </w:tcPr>
          <w:p>
            <w:pPr>
              <w:spacing w:after="0"/>
              <w:rPr>
                <w:sz w:val="12"/>
                <w:szCs w:val="12"/>
                <w:color w:val="auto"/>
              </w:rPr>
            </w:pP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Cost of revenue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751,358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707,366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2,957,547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6"/>
              </w:rPr>
              <w:t>2,810,967</w:t>
            </w:r>
          </w:p>
        </w:tc>
      </w:tr>
      <w:tr>
        <w:trPr>
          <w:trHeight w:val="152"/>
        </w:trPr>
        <w:tc>
          <w:tcPr>
            <w:tcW w:w="48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96,218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81,324</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354,706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312,941</w:t>
            </w:r>
          </w:p>
        </w:tc>
      </w:tr>
      <w:tr>
        <w:trPr>
          <w:trHeight w:val="152"/>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129,404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126,015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528,572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487,255</w:t>
            </w:r>
          </w:p>
        </w:tc>
      </w:tr>
      <w:tr>
        <w:trPr>
          <w:trHeight w:val="152"/>
        </w:trPr>
        <w:tc>
          <w:tcPr>
            <w:tcW w:w="48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purchased intangible assets and other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17,838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18,274</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71,075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78,784</w:t>
            </w:r>
          </w:p>
        </w:tc>
      </w:tr>
      <w:tr>
        <w:trPr>
          <w:trHeight w:val="151"/>
        </w:trPr>
        <w:tc>
          <w:tcPr>
            <w:tcW w:w="4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994,818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932,979</w:t>
            </w: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3,911,900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3,689,947</w:t>
            </w:r>
          </w:p>
        </w:tc>
        <w:tc>
          <w:tcPr>
            <w:tcW w:w="80" w:type="dxa"/>
            <w:vAlign w:val="bottom"/>
            <w:shd w:val="clear" w:color="auto" w:fill="CCEEFF"/>
          </w:tcPr>
          <w:p>
            <w:pPr>
              <w:spacing w:after="0"/>
              <w:rPr>
                <w:sz w:val="13"/>
                <w:szCs w:val="13"/>
                <w:color w:val="auto"/>
              </w:rPr>
            </w:pPr>
          </w:p>
        </w:tc>
      </w:tr>
      <w:tr>
        <w:trPr>
          <w:trHeight w:val="151"/>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171,686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154,330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664,797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598,693</w:t>
            </w:r>
          </w:p>
        </w:tc>
        <w:tc>
          <w:tcPr>
            <w:tcW w:w="80" w:type="dxa"/>
            <w:vAlign w:val="bottom"/>
          </w:tcPr>
          <w:p>
            <w:pPr>
              <w:spacing w:after="0"/>
              <w:rPr>
                <w:sz w:val="13"/>
                <w:szCs w:val="13"/>
                <w:color w:val="auto"/>
              </w:rPr>
            </w:pPr>
          </w:p>
        </w:tc>
      </w:tr>
      <w:tr>
        <w:trPr>
          <w:trHeight w:val="1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(7,399)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(1,099)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(26,391)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(10,797)</w:t>
            </w: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Gain from sale of a business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226,410</w:t>
            </w:r>
          </w:p>
        </w:tc>
      </w:tr>
      <w:tr>
        <w:trPr>
          <w:trHeight w:val="151"/>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164,287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153,231</w:t>
            </w: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648,406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814,306</w:t>
            </w:r>
          </w:p>
        </w:tc>
        <w:tc>
          <w:tcPr>
            <w:tcW w:w="80" w:type="dxa"/>
            <w:vAlign w:val="bottom"/>
            <w:shd w:val="clear" w:color="auto" w:fill="CCEEFF"/>
          </w:tcPr>
          <w:p>
            <w:pPr>
              <w:spacing w:after="0"/>
              <w:rPr>
                <w:sz w:val="13"/>
                <w:szCs w:val="13"/>
                <w:color w:val="auto"/>
              </w:rPr>
            </w:pP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35,351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29,706</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98,905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125,932</w:t>
            </w: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128,936</w:t>
            </w: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123,525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549,501</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688,374</w:t>
            </w:r>
          </w:p>
        </w:tc>
      </w:tr>
      <w:tr>
        <w:trPr>
          <w:trHeight w:val="170"/>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Basic earnings per share</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0.98</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80" w:type="dxa"/>
            <w:vAlign w:val="bottom"/>
          </w:tcPr>
          <w:p>
            <w:pPr>
              <w:spacing w:after="0"/>
              <w:rPr>
                <w:sz w:val="14"/>
                <w:szCs w:val="14"/>
                <w:color w:val="auto"/>
              </w:rPr>
            </w:pPr>
          </w:p>
        </w:tc>
      </w:tr>
      <w:tr>
        <w:trPr>
          <w:trHeight w:val="1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5.32</w:t>
            </w:r>
          </w:p>
        </w:tc>
      </w:tr>
      <w:tr>
        <w:trPr>
          <w:trHeight w:val="170"/>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Basic weighted average number of shares outstanding</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121,449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125,923</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122,812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128,495</w:t>
            </w:r>
          </w:p>
        </w:tc>
        <w:tc>
          <w:tcPr>
            <w:tcW w:w="80" w:type="dxa"/>
            <w:vAlign w:val="bottom"/>
          </w:tcPr>
          <w:p>
            <w:pPr>
              <w:spacing w:after="0"/>
              <w:rPr>
                <w:sz w:val="14"/>
                <w:szCs w:val="14"/>
                <w:color w:val="auto"/>
              </w:rPr>
            </w:pPr>
          </w:p>
        </w:tc>
      </w:tr>
      <w:tr>
        <w:trPr>
          <w:trHeight w:val="1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weighted average number of shares outstanding</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122,320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126,820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123,650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129,284</w:t>
            </w:r>
          </w:p>
        </w:tc>
      </w:tr>
      <w:tr>
        <w:trPr>
          <w:trHeight w:val="170"/>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 per share</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0.395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0.36</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1.4075</w:t>
            </w:r>
          </w:p>
        </w:tc>
        <w:tc>
          <w:tcPr>
            <w:tcW w:w="80" w:type="dxa"/>
            <w:vAlign w:val="bottom"/>
          </w:tcPr>
          <w:p>
            <w:pPr>
              <w:spacing w:after="0"/>
              <w:rPr>
                <w:sz w:val="14"/>
                <w:szCs w:val="14"/>
                <w:color w:val="auto"/>
              </w:rPr>
            </w:pPr>
          </w:p>
        </w:tc>
      </w:tr>
    </w:tbl>
    <w:p>
      <w:pPr>
        <w:sectPr>
          <w:pgSz w:w="11900" w:h="16838" w:orient="portrait"/>
          <w:cols w:equalWidth="0" w:num="1">
            <w:col w:w="9019"/>
          </w:cols>
          <w:pgMar w:left="1440" w:top="229"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Selected Financial Metrics</w:t>
      </w:r>
    </w:p>
    <w:p>
      <w:pPr>
        <w:jc w:val="center"/>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p>
      <w:pPr>
        <w:spacing w:after="0" w:line="13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9"/>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7"/>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Fiscal year ended</w:t>
            </w:r>
          </w:p>
        </w:tc>
      </w:tr>
      <w:tr>
        <w:trPr>
          <w:trHeight w:val="121"/>
        </w:trPr>
        <w:tc>
          <w:tcPr>
            <w:tcW w:w="3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9"/>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7"/>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r>
      <w:tr>
        <w:trPr>
          <w:trHeight w:val="94"/>
        </w:trPr>
        <w:tc>
          <w:tcPr>
            <w:tcW w:w="3400" w:type="dxa"/>
            <w:vAlign w:val="bottom"/>
            <w:tcBorders>
              <w:bottom w:val="single" w:sz="8" w:color="CCEEFF"/>
            </w:tcBorders>
          </w:tcPr>
          <w:p>
            <w:pPr>
              <w:spacing w:after="0"/>
              <w:rPr>
                <w:sz w:val="8"/>
                <w:szCs w:val="8"/>
                <w:color w:val="auto"/>
              </w:rPr>
            </w:pPr>
          </w:p>
        </w:tc>
        <w:tc>
          <w:tcPr>
            <w:tcW w:w="142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gridSpan w:val="2"/>
          </w:tcPr>
          <w:p>
            <w:pPr>
              <w:jc w:val="right"/>
              <w:ind w:right="121"/>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gridSpan w:val="2"/>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1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gridSpan w:val="2"/>
          </w:tcPr>
          <w:p>
            <w:pPr>
              <w:jc w:val="right"/>
              <w:ind w:right="186"/>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bottom w:val="single" w:sz="8" w:color="CCEEFF"/>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gridSpan w:val="2"/>
          </w:tcPr>
          <w:p>
            <w:pPr>
              <w:jc w:val="right"/>
              <w:ind w:right="160"/>
              <w:spacing w:after="0" w:line="94" w:lineRule="exact"/>
              <w:rPr>
                <w:sz w:val="20"/>
                <w:szCs w:val="20"/>
                <w:color w:val="auto"/>
              </w:rPr>
            </w:pPr>
            <w:r>
              <w:rPr>
                <w:rFonts w:ascii="Times New Roman" w:cs="Times New Roman" w:eastAsia="Times New Roman" w:hAnsi="Times New Roman"/>
                <w:sz w:val="10"/>
                <w:szCs w:val="10"/>
                <w:b w:val="1"/>
                <w:bCs w:val="1"/>
                <w:color w:val="auto"/>
              </w:rPr>
              <w:t>2021</w:t>
            </w:r>
            <w:r>
              <w:rPr>
                <w:rFonts w:ascii="Times New Roman" w:cs="Times New Roman" w:eastAsia="Times New Roman" w:hAnsi="Times New Roman"/>
                <w:sz w:val="7"/>
                <w:szCs w:val="7"/>
                <w:b w:val="1"/>
                <w:bCs w:val="1"/>
                <w:color w:val="auto"/>
              </w:rPr>
              <w:t>(a)</w:t>
            </w:r>
          </w:p>
        </w:tc>
        <w:tc>
          <w:tcPr>
            <w:tcW w:w="40" w:type="dxa"/>
            <w:vAlign w:val="bottom"/>
            <w:tcBorders>
              <w:bottom w:val="single" w:sz="8" w:color="CCEEFF"/>
            </w:tcBorders>
          </w:tcPr>
          <w:p>
            <w:pPr>
              <w:spacing w:after="0"/>
              <w:rPr>
                <w:sz w:val="8"/>
                <w:szCs w:val="8"/>
                <w:color w:val="auto"/>
              </w:rPr>
            </w:pPr>
          </w:p>
        </w:tc>
      </w:tr>
      <w:tr>
        <w:trPr>
          <w:trHeight w:val="141"/>
        </w:trPr>
        <w:tc>
          <w:tcPr>
            <w:tcW w:w="34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4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$1,166,504</w:t>
            </w:r>
          </w:p>
        </w:tc>
        <w:tc>
          <w:tcPr>
            <w:tcW w:w="20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$1,087,309</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3"/>
            <w:shd w:val="clear" w:color="auto" w:fill="CCEEFF"/>
          </w:tcPr>
          <w:p>
            <w:pPr>
              <w:jc w:val="right"/>
              <w:ind w:right="6"/>
              <w:spacing w:after="0" w:line="141" w:lineRule="exact"/>
              <w:rPr>
                <w:sz w:val="20"/>
                <w:szCs w:val="20"/>
                <w:color w:val="auto"/>
              </w:rPr>
            </w:pPr>
            <w:r>
              <w:rPr>
                <w:rFonts w:ascii="Times New Roman" w:cs="Times New Roman" w:eastAsia="Times New Roman" w:hAnsi="Times New Roman"/>
                <w:sz w:val="13"/>
                <w:szCs w:val="13"/>
                <w:color w:val="auto"/>
                <w:w w:val="95"/>
              </w:rPr>
              <w:t>$4,576,697</w:t>
            </w:r>
          </w:p>
        </w:tc>
        <w:tc>
          <w:tcPr>
            <w:tcW w:w="14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$4,288,640</w:t>
            </w:r>
          </w:p>
        </w:tc>
        <w:tc>
          <w:tcPr>
            <w:tcW w:w="40" w:type="dxa"/>
            <w:vAlign w:val="bottom"/>
            <w:shd w:val="clear" w:color="auto" w:fill="CCEEFF"/>
          </w:tcPr>
          <w:p>
            <w:pPr>
              <w:spacing w:after="0"/>
              <w:rPr>
                <w:sz w:val="12"/>
                <w:szCs w:val="12"/>
                <w:color w:val="auto"/>
              </w:rPr>
            </w:pPr>
          </w:p>
        </w:tc>
      </w:tr>
      <w:tr>
        <w:trPr>
          <w:trHeight w:val="152"/>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Non-GAAP operating income</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205,337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w w:val="94"/>
              </w:rPr>
              <w:t>190,195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804,894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750,665</w:t>
            </w:r>
          </w:p>
        </w:tc>
        <w:tc>
          <w:tcPr>
            <w:tcW w:w="40" w:type="dxa"/>
            <w:vAlign w:val="bottom"/>
          </w:tcPr>
          <w:p>
            <w:pPr>
              <w:spacing w:after="0"/>
              <w:rPr>
                <w:sz w:val="13"/>
                <w:szCs w:val="13"/>
                <w:color w:val="auto"/>
              </w:rPr>
            </w:pPr>
          </w:p>
        </w:tc>
      </w:tr>
      <w:tr>
        <w:trPr>
          <w:trHeight w:val="152"/>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net income</w:t>
            </w: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157,548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4"/>
              </w:rPr>
              <w:t>147,470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655,147</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621,820</w:t>
            </w:r>
          </w:p>
        </w:tc>
        <w:tc>
          <w:tcPr>
            <w:tcW w:w="40" w:type="dxa"/>
            <w:vAlign w:val="bottom"/>
            <w:shd w:val="clear" w:color="auto" w:fill="CCEEFF"/>
          </w:tcPr>
          <w:p>
            <w:pPr>
              <w:spacing w:after="0"/>
              <w:rPr>
                <w:sz w:val="13"/>
                <w:szCs w:val="13"/>
                <w:color w:val="auto"/>
              </w:rPr>
            </w:pPr>
          </w:p>
        </w:tc>
      </w:tr>
      <w:tr>
        <w:trPr>
          <w:trHeight w:val="152"/>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1.16</w:t>
            </w:r>
          </w:p>
        </w:tc>
        <w:tc>
          <w:tcPr>
            <w:tcW w:w="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5.30</w:t>
            </w:r>
          </w:p>
        </w:tc>
        <w:tc>
          <w:tcPr>
            <w:tcW w:w="14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4.81</w:t>
            </w:r>
          </w:p>
        </w:tc>
      </w:tr>
      <w:tr>
        <w:trPr>
          <w:trHeight w:val="152"/>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weighted average number of shares outstanding</w:t>
            </w: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122,320</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4"/>
              </w:rPr>
              <w:t>126,820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123,650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129,284</w:t>
            </w:r>
          </w:p>
        </w:tc>
        <w:tc>
          <w:tcPr>
            <w:tcW w:w="40" w:type="dxa"/>
            <w:vAlign w:val="bottom"/>
            <w:shd w:val="clear" w:color="auto" w:fill="CCEEFF"/>
          </w:tcPr>
          <w:p>
            <w:pPr>
              <w:spacing w:after="0"/>
              <w:rPr>
                <w:sz w:val="13"/>
                <w:szCs w:val="13"/>
                <w:color w:val="auto"/>
              </w:rPr>
            </w:pPr>
          </w:p>
        </w:tc>
      </w:tr>
      <w:tr>
        <w:trPr>
          <w:trHeight w:val="438"/>
        </w:trPr>
        <w:tc>
          <w:tcPr>
            <w:tcW w:w="5380" w:type="dxa"/>
            <w:vAlign w:val="bottom"/>
            <w:gridSpan w:val="5"/>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Free Cash Flows and Normalized Free Cash Flow</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400" w:type="dxa"/>
            <w:vAlign w:val="bottom"/>
          </w:tcPr>
          <w:p>
            <w:pPr>
              <w:spacing w:after="0"/>
              <w:rPr>
                <w:sz w:val="11"/>
                <w:szCs w:val="11"/>
                <w:color w:val="auto"/>
              </w:rPr>
            </w:pPr>
          </w:p>
        </w:tc>
        <w:tc>
          <w:tcPr>
            <w:tcW w:w="1520" w:type="dxa"/>
            <w:vAlign w:val="bottom"/>
            <w:gridSpan w:val="2"/>
          </w:tcPr>
          <w:p>
            <w:pPr>
              <w:jc w:val="right"/>
              <w:ind w:right="677"/>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47"/>
        </w:trPr>
        <w:tc>
          <w:tcPr>
            <w:tcW w:w="3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8"/>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7"/>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Fiscal year ended</w:t>
            </w:r>
          </w:p>
        </w:tc>
      </w:tr>
      <w:tr>
        <w:trPr>
          <w:trHeight w:val="121"/>
        </w:trPr>
        <w:tc>
          <w:tcPr>
            <w:tcW w:w="3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7"/>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7"/>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r>
      <w:tr>
        <w:trPr>
          <w:trHeight w:val="94"/>
        </w:trPr>
        <w:tc>
          <w:tcPr>
            <w:tcW w:w="34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top w:val="single" w:sz="8" w:color="auto"/>
            </w:tcBorders>
            <w:gridSpan w:val="2"/>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3"/>
          </w:tcPr>
          <w:p>
            <w:pPr>
              <w:jc w:val="right"/>
              <w:ind w:right="140"/>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top w:val="single" w:sz="8" w:color="auto"/>
            </w:tcBorders>
          </w:tcPr>
          <w:p>
            <w:pPr>
              <w:jc w:val="right"/>
              <w:ind w:right="106"/>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59"/>
              <w:spacing w:after="0" w:line="94" w:lineRule="exact"/>
              <w:rPr>
                <w:sz w:val="20"/>
                <w:szCs w:val="20"/>
                <w:color w:val="auto"/>
              </w:rPr>
            </w:pPr>
            <w:r>
              <w:rPr>
                <w:rFonts w:ascii="Times New Roman" w:cs="Times New Roman" w:eastAsia="Times New Roman" w:hAnsi="Times New Roman"/>
                <w:sz w:val="10"/>
                <w:szCs w:val="10"/>
                <w:b w:val="1"/>
                <w:bCs w:val="1"/>
                <w:color w:val="auto"/>
              </w:rPr>
              <w:t>2021</w:t>
            </w:r>
            <w:r>
              <w:rPr>
                <w:rFonts w:ascii="Times New Roman" w:cs="Times New Roman" w:eastAsia="Times New Roman" w:hAnsi="Times New Roman"/>
                <w:sz w:val="7"/>
                <w:szCs w:val="7"/>
                <w:b w:val="1"/>
                <w:bCs w:val="1"/>
                <w:color w:val="auto"/>
              </w:rPr>
              <w:t>(a)</w:t>
            </w:r>
          </w:p>
        </w:tc>
        <w:tc>
          <w:tcPr>
            <w:tcW w:w="80" w:type="dxa"/>
            <w:vAlign w:val="bottom"/>
            <w:gridSpan w:val="2"/>
          </w:tcPr>
          <w:p>
            <w:pPr>
              <w:spacing w:after="0"/>
              <w:rPr>
                <w:sz w:val="8"/>
                <w:szCs w:val="8"/>
                <w:color w:val="auto"/>
              </w:rPr>
            </w:pPr>
          </w:p>
        </w:tc>
      </w:tr>
      <w:tr>
        <w:trPr>
          <w:trHeight w:val="141"/>
        </w:trPr>
        <w:tc>
          <w:tcPr>
            <w:tcW w:w="34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14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$216,919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$199,713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righ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$ 756,719</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925,807</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40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 xml:space="preserve">Purchases of property and equipment, net </w:t>
            </w:r>
            <w:r>
              <w:rPr>
                <w:rFonts w:ascii="Times New Roman" w:cs="Times New Roman" w:eastAsia="Times New Roman" w:hAnsi="Times New Roman"/>
                <w:sz w:val="17"/>
                <w:szCs w:val="17"/>
                <w:color w:val="auto"/>
                <w:vertAlign w:val="superscript"/>
              </w:rPr>
              <w:t>(c)</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(81,819)</w:t>
            </w:r>
          </w:p>
        </w:tc>
        <w:tc>
          <w:tcPr>
            <w:tcW w:w="700" w:type="dxa"/>
            <w:vAlign w:val="bottom"/>
            <w:gridSpan w:val="5"/>
          </w:tcPr>
          <w:p>
            <w:pPr>
              <w:jc w:val="right"/>
              <w:ind w:right="17"/>
              <w:spacing w:after="0"/>
              <w:rPr>
                <w:sz w:val="20"/>
                <w:szCs w:val="20"/>
                <w:color w:val="auto"/>
              </w:rPr>
            </w:pPr>
            <w:r>
              <w:rPr>
                <w:rFonts w:ascii="Times New Roman" w:cs="Times New Roman" w:eastAsia="Times New Roman" w:hAnsi="Times New Roman"/>
                <w:sz w:val="13"/>
                <w:szCs w:val="13"/>
                <w:color w:val="auto"/>
              </w:rPr>
              <w:t>(60,873)</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(227,219)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4"/>
              </w:rPr>
              <w:t>(210,438)</w:t>
            </w:r>
          </w:p>
        </w:tc>
      </w:tr>
      <w:tr>
        <w:trPr>
          <w:trHeight w:val="20"/>
        </w:trPr>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135,100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138,840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529,500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715,369</w:t>
            </w:r>
          </w:p>
        </w:tc>
        <w:tc>
          <w:tcPr>
            <w:tcW w:w="40" w:type="dxa"/>
            <w:vAlign w:val="bottom"/>
            <w:shd w:val="clear" w:color="auto" w:fill="CCEEFF"/>
          </w:tcPr>
          <w:p>
            <w:pPr>
              <w:spacing w:after="0"/>
              <w:rPr>
                <w:sz w:val="13"/>
                <w:szCs w:val="13"/>
                <w:color w:val="auto"/>
              </w:rPr>
            </w:pPr>
          </w:p>
        </w:tc>
      </w:tr>
      <w:tr>
        <w:trPr>
          <w:trHeight w:val="152"/>
        </w:trPr>
        <w:tc>
          <w:tcPr>
            <w:tcW w:w="340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Tax payment on sale of business</w:t>
            </w:r>
            <w:r>
              <w:rPr>
                <w:rFonts w:ascii="Times New Roman" w:cs="Times New Roman" w:eastAsia="Times New Roman" w:hAnsi="Times New Roman"/>
                <w:sz w:val="17"/>
                <w:szCs w:val="17"/>
                <w:color w:val="auto"/>
                <w:vertAlign w:val="superscript"/>
              </w:rPr>
              <w:t>(b)</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809</w:t>
            </w:r>
          </w:p>
        </w:tc>
        <w:tc>
          <w:tcPr>
            <w:tcW w:w="10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3,193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39,596</w:t>
            </w:r>
          </w:p>
        </w:tc>
        <w:tc>
          <w:tcPr>
            <w:tcW w:w="40" w:type="dxa"/>
            <w:vAlign w:val="bottom"/>
          </w:tcPr>
          <w:p>
            <w:pPr>
              <w:spacing w:after="0"/>
              <w:rPr>
                <w:sz w:val="13"/>
                <w:szCs w:val="13"/>
                <w:color w:val="auto"/>
              </w:rPr>
            </w:pPr>
          </w:p>
        </w:tc>
      </w:tr>
      <w:tr>
        <w:trPr>
          <w:trHeight w:val="152"/>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of acquisition related liabilities</w:t>
            </w: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5"/>
              </w:rPr>
              <w:t>1,925</w:t>
            </w: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16,275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13,234</w:t>
            </w:r>
          </w:p>
        </w:tc>
        <w:tc>
          <w:tcPr>
            <w:tcW w:w="40" w:type="dxa"/>
            <w:vAlign w:val="bottom"/>
            <w:shd w:val="clear" w:color="auto" w:fill="CCEEFF"/>
          </w:tcPr>
          <w:p>
            <w:pPr>
              <w:spacing w:after="0"/>
              <w:rPr>
                <w:sz w:val="13"/>
                <w:szCs w:val="13"/>
                <w:color w:val="auto"/>
              </w:rPr>
            </w:pPr>
          </w:p>
        </w:tc>
      </w:tr>
      <w:tr>
        <w:trPr>
          <w:trHeight w:val="152"/>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Net capital expenditures related to the new campus development</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38,683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32,801</w:t>
            </w:r>
          </w:p>
        </w:tc>
        <w:tc>
          <w:tcPr>
            <w:tcW w:w="10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116,359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100,680</w:t>
            </w:r>
          </w:p>
        </w:tc>
        <w:tc>
          <w:tcPr>
            <w:tcW w:w="40" w:type="dxa"/>
            <w:vAlign w:val="bottom"/>
          </w:tcPr>
          <w:p>
            <w:pPr>
              <w:spacing w:after="0"/>
              <w:rPr>
                <w:sz w:val="13"/>
                <w:szCs w:val="13"/>
                <w:color w:val="auto"/>
              </w:rPr>
            </w:pPr>
          </w:p>
        </w:tc>
      </w:tr>
      <w:tr>
        <w:trPr>
          <w:trHeight w:val="20"/>
        </w:trPr>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Normalized Free Cash Flow</w:t>
            </w: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175,708</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172,450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9"/>
              </w:rPr>
              <w:t>$ 665,327</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868,879</w:t>
            </w:r>
          </w:p>
        </w:tc>
        <w:tc>
          <w:tcPr>
            <w:tcW w:w="40" w:type="dxa"/>
            <w:vAlign w:val="bottom"/>
            <w:shd w:val="clear" w:color="auto" w:fill="CCEEFF"/>
          </w:tcPr>
          <w:p>
            <w:pPr>
              <w:spacing w:after="0"/>
              <w:rPr>
                <w:sz w:val="13"/>
                <w:szCs w:val="13"/>
                <w:color w:val="auto"/>
              </w:rPr>
            </w:pPr>
          </w:p>
        </w:tc>
      </w:tr>
      <w:tr>
        <w:trPr>
          <w:trHeight w:val="20"/>
        </w:trPr>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72390</wp:posOffset>
            </wp:positionV>
            <wp:extent cx="54165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9" w:lineRule="exact"/>
        <w:rPr>
          <w:sz w:val="20"/>
          <w:szCs w:val="20"/>
          <w:color w:val="auto"/>
        </w:rPr>
      </w:pPr>
    </w:p>
    <w:p>
      <w:pPr>
        <w:ind w:left="940" w:hanging="303"/>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2021, OpenMarket results are not included in the Consolidated Statements of Income given its divestiture.</w:t>
      </w:r>
    </w:p>
    <w:p>
      <w:pPr>
        <w:spacing w:after="0" w:line="15"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payment related to capital gain from divesture of OpenMarket, which was completed on December 31, 2020.</w:t>
      </w:r>
    </w:p>
    <w:p>
      <w:pPr>
        <w:spacing w:after="0" w:line="2" w:lineRule="exact"/>
        <w:rPr>
          <w:rFonts w:ascii="Times New Roman" w:cs="Times New Roman" w:eastAsia="Times New Roman" w:hAnsi="Times New Roman"/>
          <w:sz w:val="13"/>
          <w:szCs w:val="13"/>
          <w:color w:val="auto"/>
        </w:rPr>
      </w:pPr>
    </w:p>
    <w:p>
      <w:pPr>
        <w:ind w:left="940" w:right="859" w:hanging="303"/>
        <w:spacing w:after="0" w:line="246" w:lineRule="auto"/>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under “Purchase of property and equipment, net” include proceeds from sale of property and equipment of $521 and $328 for the Fiscal years ended September 30, 2022 and 2021, respectively.</w:t>
      </w:r>
    </w:p>
    <w:p>
      <w:pPr>
        <w:sectPr>
          <w:pgSz w:w="11900" w:h="16838" w:orient="portrait"/>
          <w:cols w:equalWidth="0" w:num="1">
            <w:col w:w="9019"/>
          </w:cols>
          <w:pgMar w:left="1440" w:top="229"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Reconciliation of Selected Financial Metrics from GAAP to Non-GAAP</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 thousands)</w:t>
      </w:r>
    </w:p>
    <w:p>
      <w:pPr>
        <w:spacing w:after="0" w:line="14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ind w:left="5540"/>
        <w:spacing w:after="0" w:line="230" w:lineRule="auto"/>
        <w:rPr>
          <w:sz w:val="20"/>
          <w:szCs w:val="20"/>
          <w:color w:val="auto"/>
        </w:rPr>
      </w:pPr>
      <w:r>
        <w:rPr>
          <w:rFonts w:ascii="Times New Roman" w:cs="Times New Roman" w:eastAsia="Times New Roman" w:hAnsi="Times New Roman"/>
          <w:sz w:val="10"/>
          <w:szCs w:val="10"/>
          <w:b w:val="1"/>
          <w:bCs w:val="1"/>
          <w:color w:val="auto"/>
        </w:rPr>
        <w:t>September 30, 2022</w:t>
      </w:r>
    </w:p>
    <w:tbl>
      <w:tblPr>
        <w:tblLayout w:type="fixed"/>
        <w:tblInd w:w="640" w:type="dxa"/>
        <w:tblCellMar>
          <w:top w:w="0" w:type="dxa"/>
          <w:left w:w="0" w:type="dxa"/>
          <w:bottom w:w="0" w:type="dxa"/>
          <w:right w:w="0" w:type="dxa"/>
        </w:tblCellMar>
      </w:tblPr>
      <w:tr>
        <w:trPr>
          <w:trHeight w:val="94"/>
        </w:trPr>
        <w:tc>
          <w:tcPr>
            <w:tcW w:w="3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420" w:type="dxa"/>
            <w:vAlign w:val="bottom"/>
            <w:tcBorders>
              <w:top w:val="single" w:sz="8" w:color="auto"/>
              <w:bottom w:val="single" w:sz="8" w:color="auto"/>
            </w:tcBorders>
            <w:gridSpan w:val="9"/>
          </w:tcPr>
          <w:p>
            <w:pPr>
              <w:jc w:val="center"/>
              <w:ind w:left="80"/>
              <w:spacing w:after="0" w:line="94" w:lineRule="exact"/>
              <w:rPr>
                <w:sz w:val="20"/>
                <w:szCs w:val="20"/>
                <w:color w:val="auto"/>
              </w:rPr>
            </w:pPr>
            <w:r>
              <w:rPr>
                <w:rFonts w:ascii="Times New Roman" w:cs="Times New Roman" w:eastAsia="Times New Roman" w:hAnsi="Times New Roman"/>
                <w:sz w:val="10"/>
                <w:szCs w:val="10"/>
                <w:b w:val="1"/>
                <w:bCs w:val="1"/>
                <w:color w:val="auto"/>
              </w:rPr>
              <w:t>Reconciliation items</w:t>
            </w:r>
          </w:p>
        </w:tc>
        <w:tc>
          <w:tcPr>
            <w:tcW w:w="6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00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3"/>
          </w:tcPr>
          <w:p>
            <w:pPr>
              <w:jc w:val="center"/>
              <w:ind w:right="12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certain</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acquisitions</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5"/>
          </w:tcPr>
          <w:p>
            <w:pPr>
              <w:jc w:val="center"/>
              <w:ind w:right="20"/>
              <w:spacing w:after="0" w:line="104" w:lineRule="exact"/>
              <w:rPr>
                <w:sz w:val="20"/>
                <w:szCs w:val="20"/>
                <w:color w:val="auto"/>
              </w:rPr>
            </w:pPr>
            <w:r>
              <w:rPr>
                <w:rFonts w:ascii="Times New Roman" w:cs="Times New Roman" w:eastAsia="Times New Roman" w:hAnsi="Times New Roman"/>
                <w:sz w:val="10"/>
                <w:szCs w:val="10"/>
                <w:b w:val="1"/>
                <w:bCs w:val="1"/>
                <w:color w:val="auto"/>
              </w:rPr>
              <w:t>related liabilities</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3"/>
            <w:vMerge w:val="restart"/>
          </w:tcPr>
          <w:p>
            <w:pPr>
              <w:jc w:val="center"/>
              <w:ind w:right="117"/>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GAAP</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rPr>
              <w:t>assets and</w:t>
            </w:r>
          </w:p>
        </w:tc>
        <w:tc>
          <w:tcPr>
            <w:tcW w:w="80" w:type="dxa"/>
            <w:vAlign w:val="bottom"/>
          </w:tcPr>
          <w:p>
            <w:pPr>
              <w:spacing w:after="0"/>
              <w:rPr>
                <w:sz w:val="9"/>
                <w:szCs w:val="9"/>
                <w:color w:val="auto"/>
              </w:rPr>
            </w:pPr>
          </w:p>
        </w:tc>
        <w:tc>
          <w:tcPr>
            <w:tcW w:w="720" w:type="dxa"/>
            <w:vAlign w:val="bottom"/>
            <w:gridSpan w:val="5"/>
          </w:tcPr>
          <w:p>
            <w:pPr>
              <w:jc w:val="center"/>
              <w:ind w:right="120"/>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60" w:type="dxa"/>
            <w:vAlign w:val="bottom"/>
          </w:tcPr>
          <w:p>
            <w:pPr>
              <w:spacing w:after="0"/>
              <w:rPr>
                <w:sz w:val="9"/>
                <w:szCs w:val="9"/>
                <w:color w:val="auto"/>
              </w:rPr>
            </w:pPr>
          </w:p>
        </w:tc>
        <w:tc>
          <w:tcPr>
            <w:tcW w:w="740" w:type="dxa"/>
            <w:vAlign w:val="bottom"/>
            <w:gridSpan w:val="5"/>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9"/>
              </w:rPr>
              <w:t>measured at fair</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Non-GAAP</w:t>
            </w: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value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3"/>
          </w:tcPr>
          <w:p>
            <w:pPr>
              <w:jc w:val="center"/>
              <w:ind w:right="117"/>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00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0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Cost of revenue</w:t>
            </w:r>
          </w:p>
        </w:tc>
        <w:tc>
          <w:tcPr>
            <w:tcW w:w="6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w w:val="94"/>
              </w:rPr>
              <w:t>$751,358</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(8,356)</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3,294</w:t>
            </w:r>
          </w:p>
        </w:tc>
        <w:tc>
          <w:tcPr>
            <w:tcW w:w="60" w:type="dxa"/>
            <w:vAlign w:val="bottom"/>
          </w:tcPr>
          <w:p>
            <w:pPr>
              <w:spacing w:after="0"/>
              <w:rPr>
                <w:sz w:val="13"/>
                <w:szCs w:val="13"/>
                <w:color w:val="auto"/>
              </w:rPr>
            </w:pPr>
          </w:p>
        </w:tc>
        <w:tc>
          <w:tcPr>
            <w:tcW w:w="46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$ 746,296</w:t>
            </w:r>
          </w:p>
        </w:tc>
        <w:tc>
          <w:tcPr>
            <w:tcW w:w="0" w:type="dxa"/>
            <w:vAlign w:val="bottom"/>
          </w:tcPr>
          <w:p>
            <w:pPr>
              <w:spacing w:after="0"/>
              <w:rPr>
                <w:sz w:val="1"/>
                <w:szCs w:val="1"/>
                <w:color w:val="auto"/>
              </w:rPr>
            </w:pPr>
          </w:p>
        </w:tc>
      </w:tr>
      <w:tr>
        <w:trPr>
          <w:trHeight w:val="152"/>
        </w:trPr>
        <w:tc>
          <w:tcPr>
            <w:tcW w:w="3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Research and development</w:t>
            </w:r>
          </w:p>
        </w:tc>
        <w:tc>
          <w:tcPr>
            <w:tcW w:w="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96,218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(1,538)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94,680</w:t>
            </w:r>
          </w:p>
        </w:tc>
        <w:tc>
          <w:tcPr>
            <w:tcW w:w="0" w:type="dxa"/>
            <w:vAlign w:val="bottom"/>
          </w:tcPr>
          <w:p>
            <w:pPr>
              <w:spacing w:after="0"/>
              <w:rPr>
                <w:sz w:val="1"/>
                <w:szCs w:val="1"/>
                <w:color w:val="auto"/>
              </w:rPr>
            </w:pPr>
          </w:p>
        </w:tc>
      </w:tr>
      <w:tr>
        <w:trPr>
          <w:trHeight w:val="152"/>
        </w:trPr>
        <w:tc>
          <w:tcPr>
            <w:tcW w:w="30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6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129,404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(9,213)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120,191</w:t>
            </w:r>
          </w:p>
        </w:tc>
        <w:tc>
          <w:tcPr>
            <w:tcW w:w="0" w:type="dxa"/>
            <w:vAlign w:val="bottom"/>
          </w:tcPr>
          <w:p>
            <w:pPr>
              <w:spacing w:after="0"/>
              <w:rPr>
                <w:sz w:val="1"/>
                <w:szCs w:val="1"/>
                <w:color w:val="auto"/>
              </w:rPr>
            </w:pPr>
          </w:p>
        </w:tc>
      </w:tr>
      <w:tr>
        <w:trPr>
          <w:trHeight w:val="139"/>
        </w:trPr>
        <w:tc>
          <w:tcPr>
            <w:tcW w:w="3000" w:type="dxa"/>
            <w:vAlign w:val="bottom"/>
            <w:shd w:val="clear" w:color="auto" w:fill="CCEEFF"/>
          </w:tcPr>
          <w:p>
            <w:pPr>
              <w:ind w:left="500"/>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 assets</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and other</w:t>
            </w:r>
          </w:p>
        </w:tc>
        <w:tc>
          <w:tcPr>
            <w:tcW w:w="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17,838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(17,838)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20" w:type="dxa"/>
            <w:vAlign w:val="bottom"/>
          </w:tcPr>
          <w:p>
            <w:pPr>
              <w:spacing w:after="0"/>
              <w:rPr>
                <w:sz w:val="13"/>
                <w:szCs w:val="13"/>
                <w:color w:val="auto"/>
              </w:rPr>
            </w:pP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994,818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(19,107)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3,294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961,167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171,686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17,838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19,107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205,337</w:t>
            </w:r>
          </w:p>
        </w:tc>
        <w:tc>
          <w:tcPr>
            <w:tcW w:w="0" w:type="dxa"/>
            <w:vAlign w:val="bottom"/>
          </w:tcPr>
          <w:p>
            <w:pPr>
              <w:spacing w:after="0"/>
              <w:rPr>
                <w:sz w:val="1"/>
                <w:szCs w:val="1"/>
                <w:color w:val="auto"/>
              </w:rPr>
            </w:pPr>
          </w:p>
        </w:tc>
      </w:tr>
      <w:tr>
        <w:trPr>
          <w:trHeight w:val="151"/>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20" w:type="dxa"/>
            <w:vAlign w:val="bottom"/>
          </w:tcPr>
          <w:p>
            <w:pPr>
              <w:spacing w:after="0"/>
              <w:rPr>
                <w:sz w:val="13"/>
                <w:szCs w:val="13"/>
                <w:color w:val="auto"/>
              </w:rPr>
            </w:pP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(7,399)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35,351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5,439</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40,790</w:t>
            </w:r>
          </w:p>
        </w:tc>
        <w:tc>
          <w:tcPr>
            <w:tcW w:w="0" w:type="dxa"/>
            <w:vAlign w:val="bottom"/>
          </w:tcPr>
          <w:p>
            <w:pPr>
              <w:spacing w:after="0"/>
              <w:rPr>
                <w:sz w:val="1"/>
                <w:szCs w:val="1"/>
                <w:color w:val="auto"/>
              </w:rPr>
            </w:pPr>
          </w:p>
        </w:tc>
      </w:tr>
      <w:tr>
        <w:trPr>
          <w:trHeight w:val="151"/>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Pr>
          <w:p>
            <w:pPr>
              <w:spacing w:after="0"/>
              <w:rPr>
                <w:sz w:val="13"/>
                <w:szCs w:val="13"/>
                <w:color w:val="auto"/>
              </w:rPr>
            </w:pP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w w:val="90"/>
              </w:rPr>
              <w:t>$</w:t>
            </w:r>
            <w:r>
              <w:rPr>
                <w:rFonts w:ascii="Times New Roman" w:cs="Times New Roman" w:eastAsia="Times New Roman" w:hAnsi="Times New Roman"/>
                <w:sz w:val="13"/>
                <w:szCs w:val="13"/>
                <w:color w:val="auto"/>
                <w:w w:val="90"/>
              </w:rPr>
              <w:t>128,936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19,107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(3,294)</w:t>
            </w:r>
          </w:p>
        </w:tc>
        <w:tc>
          <w:tcPr>
            <w:tcW w:w="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400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5"/>
              </w:rPr>
              <w:t>(5,439</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$ 157,548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gridSpan w:val="9"/>
          </w:tcPr>
          <w:p>
            <w:pPr>
              <w:jc w:val="center"/>
              <w:ind w:left="8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9"/>
          </w:tcPr>
          <w:p>
            <w:pPr>
              <w:jc w:val="center"/>
              <w:ind w:left="80"/>
              <w:spacing w:after="0"/>
              <w:rPr>
                <w:sz w:val="20"/>
                <w:szCs w:val="20"/>
                <w:color w:val="auto"/>
              </w:rPr>
            </w:pPr>
            <w:r>
              <w:rPr>
                <w:rFonts w:ascii="Times New Roman" w:cs="Times New Roman" w:eastAsia="Times New Roman" w:hAnsi="Times New Roman"/>
                <w:sz w:val="10"/>
                <w:szCs w:val="10"/>
                <w:b w:val="1"/>
                <w:bCs w:val="1"/>
                <w:color w:val="auto"/>
              </w:rPr>
              <w:t>September 30, 2021</w:t>
            </w: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gridSpan w:val="9"/>
          </w:tcPr>
          <w:p>
            <w:pPr>
              <w:jc w:val="center"/>
              <w:ind w:left="80"/>
              <w:spacing w:after="0" w:line="94" w:lineRule="exact"/>
              <w:rPr>
                <w:sz w:val="20"/>
                <w:szCs w:val="20"/>
                <w:color w:val="auto"/>
              </w:rPr>
            </w:pPr>
            <w:r>
              <w:rPr>
                <w:rFonts w:ascii="Times New Roman" w:cs="Times New Roman" w:eastAsia="Times New Roman" w:hAnsi="Times New Roman"/>
                <w:sz w:val="10"/>
                <w:szCs w:val="10"/>
                <w:b w:val="1"/>
                <w:bCs w:val="1"/>
                <w:color w:val="auto"/>
              </w:rPr>
              <w:t>Reconciliation items</w:t>
            </w: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00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4"/>
          </w:tcPr>
          <w:p>
            <w:pPr>
              <w:jc w:val="center"/>
              <w:ind w:right="20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certain</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4"/>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acquisitions</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related</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4"/>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liabilities</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4"/>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rPr>
              <w:t>measured</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3"/>
            <w:vMerge w:val="restart"/>
          </w:tcPr>
          <w:p>
            <w:pPr>
              <w:jc w:val="center"/>
              <w:ind w:right="117"/>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GAAP</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rPr>
              <w:t>assets and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tcPr>
          <w:p>
            <w:pPr>
              <w:jc w:val="center"/>
              <w:ind w:right="120"/>
              <w:spacing w:after="0" w:line="104" w:lineRule="exact"/>
              <w:rPr>
                <w:sz w:val="20"/>
                <w:szCs w:val="20"/>
                <w:color w:val="auto"/>
              </w:rPr>
            </w:pPr>
            <w:r>
              <w:rPr>
                <w:rFonts w:ascii="Times New Roman" w:cs="Times New Roman" w:eastAsia="Times New Roman" w:hAnsi="Times New Roman"/>
                <w:sz w:val="10"/>
                <w:szCs w:val="10"/>
                <w:b w:val="1"/>
                <w:bCs w:val="1"/>
                <w:color w:val="auto"/>
                <w:w w:val="98"/>
              </w:rPr>
              <w:t>compensation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at fair</w:t>
            </w:r>
          </w:p>
        </w:tc>
        <w:tc>
          <w:tcPr>
            <w:tcW w:w="60" w:type="dxa"/>
            <w:vAlign w:val="bottom"/>
          </w:tcPr>
          <w:p>
            <w:pPr>
              <w:spacing w:after="0"/>
              <w:rPr>
                <w:sz w:val="9"/>
                <w:szCs w:val="9"/>
                <w:color w:val="auto"/>
              </w:rPr>
            </w:pPr>
          </w:p>
        </w:tc>
        <w:tc>
          <w:tcPr>
            <w:tcW w:w="46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Non-GAAP</w:t>
            </w: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60" w:type="dxa"/>
            <w:vAlign w:val="bottom"/>
          </w:tcPr>
          <w:p>
            <w:pPr>
              <w:spacing w:after="0"/>
              <w:rPr>
                <w:sz w:val="10"/>
                <w:szCs w:val="10"/>
                <w:color w:val="auto"/>
              </w:rPr>
            </w:pPr>
          </w:p>
        </w:tc>
        <w:tc>
          <w:tcPr>
            <w:tcW w:w="4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3"/>
          </w:tcPr>
          <w:p>
            <w:pPr>
              <w:jc w:val="center"/>
              <w:ind w:right="117"/>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00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Cost of revenue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4"/>
              </w:rPr>
              <w:t>$707,366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(6,148)</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(3,285)</w:t>
            </w:r>
          </w:p>
        </w:tc>
        <w:tc>
          <w:tcPr>
            <w:tcW w:w="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3"/>
                <w:szCs w:val="13"/>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$ 697,933</w:t>
            </w:r>
          </w:p>
        </w:tc>
        <w:tc>
          <w:tcPr>
            <w:tcW w:w="0" w:type="dxa"/>
            <w:vAlign w:val="bottom"/>
          </w:tcPr>
          <w:p>
            <w:pPr>
              <w:spacing w:after="0"/>
              <w:rPr>
                <w:sz w:val="1"/>
                <w:szCs w:val="1"/>
                <w:color w:val="auto"/>
              </w:rPr>
            </w:pPr>
          </w:p>
        </w:tc>
      </w:tr>
      <w:tr>
        <w:trPr>
          <w:trHeight w:val="152"/>
        </w:trPr>
        <w:tc>
          <w:tcPr>
            <w:tcW w:w="3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81,324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(1,145)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80,179</w:t>
            </w:r>
          </w:p>
        </w:tc>
        <w:tc>
          <w:tcPr>
            <w:tcW w:w="0" w:type="dxa"/>
            <w:vAlign w:val="bottom"/>
          </w:tcPr>
          <w:p>
            <w:pPr>
              <w:spacing w:after="0"/>
              <w:rPr>
                <w:sz w:val="1"/>
                <w:szCs w:val="1"/>
                <w:color w:val="auto"/>
              </w:rPr>
            </w:pPr>
          </w:p>
        </w:tc>
      </w:tr>
      <w:tr>
        <w:trPr>
          <w:trHeight w:val="152"/>
        </w:trPr>
        <w:tc>
          <w:tcPr>
            <w:tcW w:w="3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126,015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(7,013)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119,002</w:t>
            </w:r>
          </w:p>
        </w:tc>
        <w:tc>
          <w:tcPr>
            <w:tcW w:w="0" w:type="dxa"/>
            <w:vAlign w:val="bottom"/>
          </w:tcPr>
          <w:p>
            <w:pPr>
              <w:spacing w:after="0"/>
              <w:rPr>
                <w:sz w:val="1"/>
                <w:szCs w:val="1"/>
                <w:color w:val="auto"/>
              </w:rPr>
            </w:pPr>
          </w:p>
        </w:tc>
      </w:tr>
      <w:tr>
        <w:trPr>
          <w:trHeight w:val="139"/>
        </w:trPr>
        <w:tc>
          <w:tcPr>
            <w:tcW w:w="3000" w:type="dxa"/>
            <w:vAlign w:val="bottom"/>
            <w:shd w:val="clear" w:color="auto" w:fill="CCEEFF"/>
          </w:tcPr>
          <w:p>
            <w:pPr>
              <w:ind w:left="260"/>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 assets and</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other</w:t>
            </w: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18,274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(18,274)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932,979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(14,306)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897,114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154,330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18,274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14,306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3,285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190,195</w:t>
            </w:r>
          </w:p>
        </w:tc>
        <w:tc>
          <w:tcPr>
            <w:tcW w:w="0" w:type="dxa"/>
            <w:vAlign w:val="bottom"/>
          </w:tcPr>
          <w:p>
            <w:pPr>
              <w:spacing w:after="0"/>
              <w:rPr>
                <w:sz w:val="1"/>
                <w:szCs w:val="1"/>
                <w:color w:val="auto"/>
              </w:rPr>
            </w:pPr>
          </w:p>
        </w:tc>
      </w:tr>
      <w:tr>
        <w:trPr>
          <w:trHeight w:val="151"/>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84"/>
              </w:rPr>
              <w:t>(4,360)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29,706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37,266</w:t>
            </w:r>
          </w:p>
        </w:tc>
        <w:tc>
          <w:tcPr>
            <w:tcW w:w="0" w:type="dxa"/>
            <w:vAlign w:val="bottom"/>
          </w:tcPr>
          <w:p>
            <w:pPr>
              <w:spacing w:after="0"/>
              <w:rPr>
                <w:sz w:val="1"/>
                <w:szCs w:val="1"/>
                <w:color w:val="auto"/>
              </w:rPr>
            </w:pPr>
          </w:p>
        </w:tc>
      </w:tr>
      <w:tr>
        <w:trPr>
          <w:trHeight w:val="151"/>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w w:val="94"/>
              </w:rPr>
              <w:t>$</w:t>
            </w:r>
            <w:r>
              <w:rPr>
                <w:rFonts w:ascii="Times New Roman" w:cs="Times New Roman" w:eastAsia="Times New Roman" w:hAnsi="Times New Roman"/>
                <w:sz w:val="13"/>
                <w:szCs w:val="13"/>
                <w:color w:val="auto"/>
                <w:w w:val="94"/>
              </w:rPr>
              <w:t>123,525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18,274</w:t>
            </w: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14,306</w:t>
            </w:r>
          </w:p>
        </w:tc>
        <w:tc>
          <w:tcPr>
            <w:tcW w:w="10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u w:val="single" w:color="auto"/>
                <w:color w:val="auto"/>
                <w:w w:val="94"/>
              </w:rPr>
              <w:t>$</w:t>
            </w:r>
            <w:r>
              <w:rPr>
                <w:rFonts w:ascii="Times New Roman" w:cs="Times New Roman" w:eastAsia="Times New Roman" w:hAnsi="Times New Roman"/>
                <w:sz w:val="13"/>
                <w:szCs w:val="13"/>
                <w:color w:val="auto"/>
                <w:w w:val="94"/>
              </w:rPr>
              <w:t>(4,360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(7,560</w:t>
            </w: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$ 147,470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Reconciliation of Selected Financial Metrics from GAAP to Non-GAAP</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6"/>
          </w:tcPr>
          <w:p>
            <w:pPr>
              <w:ind w:left="40"/>
              <w:spacing w:after="0"/>
              <w:rPr>
                <w:sz w:val="20"/>
                <w:szCs w:val="20"/>
                <w:color w:val="auto"/>
              </w:rPr>
            </w:pPr>
            <w:r>
              <w:rPr>
                <w:rFonts w:ascii="Times New Roman" w:cs="Times New Roman" w:eastAsia="Times New Roman" w:hAnsi="Times New Roman"/>
                <w:sz w:val="10"/>
                <w:szCs w:val="10"/>
                <w:b w:val="1"/>
                <w:bCs w:val="1"/>
                <w:color w:val="auto"/>
              </w:rPr>
              <w:t>Fiscal year ended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7"/>
          </w:tcPr>
          <w:p>
            <w:pPr>
              <w:ind w:left="80"/>
              <w:spacing w:after="0" w:line="94" w:lineRule="exact"/>
              <w:rPr>
                <w:sz w:val="20"/>
                <w:szCs w:val="20"/>
                <w:color w:val="auto"/>
              </w:rPr>
            </w:pPr>
            <w:r>
              <w:rPr>
                <w:rFonts w:ascii="Times New Roman" w:cs="Times New Roman" w:eastAsia="Times New Roman" w:hAnsi="Times New Roman"/>
                <w:sz w:val="10"/>
                <w:szCs w:val="10"/>
                <w:b w:val="1"/>
                <w:bCs w:val="1"/>
                <w:color w:val="auto"/>
              </w:rPr>
              <w:t>Reconciliation items</w:t>
            </w: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4"/>
          </w:tcPr>
          <w:p>
            <w:pPr>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certain</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0"/>
              </w:rPr>
              <w:t>Amortization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4"/>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acquisitions</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related</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3"/>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w w:val="90"/>
              </w:rPr>
              <w:t>of purchased</w:t>
            </w:r>
          </w:p>
        </w:tc>
        <w:tc>
          <w:tcPr>
            <w:tcW w:w="100" w:type="dxa"/>
            <w:vAlign w:val="bottom"/>
          </w:tcPr>
          <w:p>
            <w:pPr>
              <w:spacing w:after="0"/>
              <w:rPr>
                <w:sz w:val="9"/>
                <w:szCs w:val="9"/>
                <w:color w:val="auto"/>
              </w:rPr>
            </w:pPr>
          </w:p>
        </w:tc>
        <w:tc>
          <w:tcPr>
            <w:tcW w:w="68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4"/>
          </w:tcPr>
          <w:p>
            <w:pPr>
              <w:jc w:val="center"/>
              <w:ind w:right="120"/>
              <w:spacing w:after="0" w:line="104" w:lineRule="exact"/>
              <w:rPr>
                <w:sz w:val="20"/>
                <w:szCs w:val="20"/>
                <w:color w:val="auto"/>
              </w:rPr>
            </w:pPr>
            <w:r>
              <w:rPr>
                <w:rFonts w:ascii="Times New Roman" w:cs="Times New Roman" w:eastAsia="Times New Roman" w:hAnsi="Times New Roman"/>
                <w:sz w:val="10"/>
                <w:szCs w:val="10"/>
                <w:b w:val="1"/>
                <w:bCs w:val="1"/>
                <w:color w:val="auto"/>
                <w:w w:val="97"/>
              </w:rPr>
              <w:t>liabilities</w:t>
            </w:r>
          </w:p>
        </w:tc>
        <w:tc>
          <w:tcPr>
            <w:tcW w:w="80" w:type="dxa"/>
            <w:vAlign w:val="bottom"/>
          </w:tcPr>
          <w:p>
            <w:pPr>
              <w:spacing w:after="0"/>
              <w:rPr>
                <w:sz w:val="9"/>
                <w:szCs w:val="9"/>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Gain from</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3"/>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10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4"/>
          </w:tcPr>
          <w:p>
            <w:pPr>
              <w:jc w:val="center"/>
              <w:ind w:right="120"/>
              <w:spacing w:after="0" w:line="104" w:lineRule="exact"/>
              <w:rPr>
                <w:sz w:val="20"/>
                <w:szCs w:val="20"/>
                <w:color w:val="auto"/>
              </w:rPr>
            </w:pPr>
            <w:r>
              <w:rPr>
                <w:rFonts w:ascii="Times New Roman" w:cs="Times New Roman" w:eastAsia="Times New Roman" w:hAnsi="Times New Roman"/>
                <w:sz w:val="10"/>
                <w:szCs w:val="10"/>
                <w:b w:val="1"/>
                <w:bCs w:val="1"/>
                <w:color w:val="auto"/>
              </w:rPr>
              <w:t>measured</w:t>
            </w:r>
          </w:p>
        </w:tc>
        <w:tc>
          <w:tcPr>
            <w:tcW w:w="8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GAAP</w:t>
            </w:r>
          </w:p>
        </w:tc>
        <w:tc>
          <w:tcPr>
            <w:tcW w:w="160" w:type="dxa"/>
            <w:vAlign w:val="bottom"/>
          </w:tcPr>
          <w:p>
            <w:pPr>
              <w:spacing w:after="0"/>
              <w:rPr>
                <w:sz w:val="9"/>
                <w:szCs w:val="9"/>
                <w:color w:val="auto"/>
              </w:rPr>
            </w:pPr>
          </w:p>
        </w:tc>
        <w:tc>
          <w:tcPr>
            <w:tcW w:w="600" w:type="dxa"/>
            <w:vAlign w:val="bottom"/>
            <w:gridSpan w:val="3"/>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assets and</w:t>
            </w:r>
          </w:p>
        </w:tc>
        <w:tc>
          <w:tcPr>
            <w:tcW w:w="100" w:type="dxa"/>
            <w:vAlign w:val="bottom"/>
          </w:tcPr>
          <w:p>
            <w:pPr>
              <w:spacing w:after="0"/>
              <w:rPr>
                <w:sz w:val="9"/>
                <w:szCs w:val="9"/>
                <w:color w:val="auto"/>
              </w:rPr>
            </w:pPr>
          </w:p>
        </w:tc>
        <w:tc>
          <w:tcPr>
            <w:tcW w:w="680" w:type="dxa"/>
            <w:vAlign w:val="bottom"/>
            <w:gridSpan w:val="4"/>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at fair</w:t>
            </w:r>
          </w:p>
        </w:tc>
        <w:tc>
          <w:tcPr>
            <w:tcW w:w="80" w:type="dxa"/>
            <w:vAlign w:val="bottom"/>
          </w:tcPr>
          <w:p>
            <w:pPr>
              <w:spacing w:after="0"/>
              <w:rPr>
                <w:sz w:val="9"/>
                <w:szCs w:val="9"/>
                <w:color w:val="auto"/>
              </w:rPr>
            </w:pPr>
          </w:p>
        </w:tc>
        <w:tc>
          <w:tcPr>
            <w:tcW w:w="560" w:type="dxa"/>
            <w:vAlign w:val="bottom"/>
            <w:gridSpan w:val="3"/>
          </w:tcPr>
          <w:p>
            <w:pPr>
              <w:jc w:val="right"/>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sale of a</w:t>
            </w:r>
          </w:p>
        </w:tc>
        <w:tc>
          <w:tcPr>
            <w:tcW w:w="140" w:type="dxa"/>
            <w:vAlign w:val="bottom"/>
          </w:tcPr>
          <w:p>
            <w:pPr>
              <w:spacing w:after="0"/>
              <w:rPr>
                <w:sz w:val="9"/>
                <w:szCs w:val="9"/>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4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Non-GAAP</w:t>
            </w:r>
          </w:p>
        </w:tc>
        <w:tc>
          <w:tcPr>
            <w:tcW w:w="0" w:type="dxa"/>
            <w:vAlign w:val="bottom"/>
          </w:tcPr>
          <w:p>
            <w:pPr>
              <w:spacing w:after="0"/>
              <w:rPr>
                <w:sz w:val="1"/>
                <w:szCs w:val="1"/>
                <w:color w:val="auto"/>
              </w:rPr>
            </w:pPr>
          </w:p>
        </w:tc>
      </w:tr>
      <w:tr>
        <w:trPr>
          <w:trHeight w:val="121"/>
        </w:trPr>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80" w:type="dxa"/>
            <w:vAlign w:val="bottom"/>
          </w:tcPr>
          <w:p>
            <w:pPr>
              <w:spacing w:after="0"/>
              <w:rPr>
                <w:sz w:val="10"/>
                <w:szCs w:val="10"/>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business</w:t>
            </w:r>
          </w:p>
        </w:tc>
        <w:tc>
          <w:tcPr>
            <w:tcW w:w="14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1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6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760" w:type="dxa"/>
            <w:vAlign w:val="bottom"/>
            <w:gridSpan w:val="5"/>
          </w:tcPr>
          <w:p>
            <w:pPr>
              <w:jc w:val="right"/>
              <w:ind w:right="100"/>
              <w:spacing w:after="0"/>
              <w:rPr>
                <w:sz w:val="20"/>
                <w:szCs w:val="20"/>
                <w:color w:val="auto"/>
              </w:rPr>
            </w:pPr>
            <w:r>
              <w:rPr>
                <w:rFonts w:ascii="Times New Roman" w:cs="Times New Roman" w:eastAsia="Times New Roman" w:hAnsi="Times New Roman"/>
                <w:sz w:val="13"/>
                <w:szCs w:val="13"/>
                <w:color w:val="auto"/>
              </w:rPr>
              <w:t>$2,957,547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(32,096)</w:t>
            </w:r>
          </w:p>
        </w:tc>
        <w:tc>
          <w:tcPr>
            <w:tcW w:w="18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2,785</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$2,928,236</w:t>
            </w:r>
          </w:p>
        </w:tc>
        <w:tc>
          <w:tcPr>
            <w:tcW w:w="0" w:type="dxa"/>
            <w:vAlign w:val="bottom"/>
          </w:tcPr>
          <w:p>
            <w:pPr>
              <w:spacing w:after="0"/>
              <w:rPr>
                <w:sz w:val="1"/>
                <w:szCs w:val="1"/>
                <w:color w:val="auto"/>
              </w:rPr>
            </w:pPr>
          </w:p>
        </w:tc>
      </w:tr>
      <w:tr>
        <w:trPr>
          <w:trHeight w:val="152"/>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354,706</w:t>
            </w:r>
          </w:p>
        </w:tc>
        <w:tc>
          <w:tcPr>
            <w:tcW w:w="16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(5,631)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349,075</w:t>
            </w:r>
          </w:p>
        </w:tc>
        <w:tc>
          <w:tcPr>
            <w:tcW w:w="0" w:type="dxa"/>
            <w:vAlign w:val="bottom"/>
          </w:tcPr>
          <w:p>
            <w:pPr>
              <w:spacing w:after="0"/>
              <w:rPr>
                <w:sz w:val="1"/>
                <w:szCs w:val="1"/>
                <w:color w:val="auto"/>
              </w:rPr>
            </w:pPr>
          </w:p>
        </w:tc>
      </w:tr>
      <w:tr>
        <w:trPr>
          <w:trHeight w:val="152"/>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528,572</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(34,080)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494,492</w:t>
            </w:r>
          </w:p>
        </w:tc>
        <w:tc>
          <w:tcPr>
            <w:tcW w:w="0" w:type="dxa"/>
            <w:vAlign w:val="bottom"/>
          </w:tcPr>
          <w:p>
            <w:pPr>
              <w:spacing w:after="0"/>
              <w:rPr>
                <w:sz w:val="1"/>
                <w:szCs w:val="1"/>
                <w:color w:val="auto"/>
              </w:rPr>
            </w:pPr>
          </w:p>
        </w:tc>
      </w:tr>
      <w:tr>
        <w:trPr>
          <w:trHeight w:val="139"/>
        </w:trPr>
        <w:tc>
          <w:tcPr>
            <w:tcW w:w="20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assets and other</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71,075</w:t>
            </w: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(71,075)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2"/>
              </w:rPr>
              <w:t>3,911,900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(71,075)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(71,807)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2,785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3,771,803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664,797</w:t>
            </w:r>
          </w:p>
        </w:tc>
        <w:tc>
          <w:tcPr>
            <w:tcW w:w="16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71,075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71,807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(2,785)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804,894</w:t>
            </w:r>
          </w:p>
        </w:tc>
        <w:tc>
          <w:tcPr>
            <w:tcW w:w="0" w:type="dxa"/>
            <w:vAlign w:val="bottom"/>
          </w:tcPr>
          <w:p>
            <w:pPr>
              <w:spacing w:after="0"/>
              <w:rPr>
                <w:sz w:val="1"/>
                <w:szCs w:val="1"/>
                <w:color w:val="auto"/>
              </w:rPr>
            </w:pPr>
          </w:p>
        </w:tc>
      </w:tr>
      <w:tr>
        <w:trPr>
          <w:trHeight w:val="151"/>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(26,391)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3"/>
              </w:rPr>
              <w:t>(1,605)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from sale of a business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10,000</w:t>
            </w:r>
          </w:p>
        </w:tc>
        <w:tc>
          <w:tcPr>
            <w:tcW w:w="16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(10,000)</w:t>
            </w:r>
          </w:p>
        </w:tc>
        <w:tc>
          <w:tcPr>
            <w:tcW w:w="14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98,905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22,846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121,751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549,501</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71,075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71,807</w:t>
            </w:r>
          </w:p>
        </w:tc>
        <w:tc>
          <w:tcPr>
            <w:tcW w:w="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(2,785)</w:t>
            </w:r>
          </w:p>
        </w:tc>
        <w:tc>
          <w:tcPr>
            <w:tcW w:w="78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(10,000)  </w:t>
            </w:r>
            <w:r>
              <w:rPr>
                <w:rFonts w:ascii="Times New Roman" w:cs="Times New Roman" w:eastAsia="Times New Roman" w:hAnsi="Times New Roman"/>
                <w:sz w:val="13"/>
                <w:szCs w:val="13"/>
                <w:u w:val="single" w:color="auto"/>
                <w:color w:val="auto"/>
              </w:rPr>
              <w:t>$</w:t>
            </w:r>
          </w:p>
        </w:tc>
        <w:tc>
          <w:tcPr>
            <w:tcW w:w="4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4"/>
              </w:rPr>
              <w:t>(1,605)</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4"/>
              </w:rPr>
              <w:t>(22,846)</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655,147</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6"/>
          </w:tcPr>
          <w:p>
            <w:pPr>
              <w:spacing w:after="0"/>
              <w:rPr>
                <w:sz w:val="20"/>
                <w:szCs w:val="20"/>
                <w:color w:val="auto"/>
              </w:rPr>
            </w:pPr>
            <w:r>
              <w:rPr>
                <w:rFonts w:ascii="Times New Roman" w:cs="Times New Roman" w:eastAsia="Times New Roman" w:hAnsi="Times New Roman"/>
                <w:sz w:val="10"/>
                <w:szCs w:val="10"/>
                <w:b w:val="1"/>
                <w:bCs w:val="1"/>
                <w:color w:val="auto"/>
              </w:rPr>
              <w:t>Fiscal year ended</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0"/>
                <w:szCs w:val="10"/>
                <w:b w:val="1"/>
                <w:bCs w:val="1"/>
                <w:color w:val="auto"/>
              </w:rPr>
              <w:t>September 30, 2021</w:t>
            </w:r>
            <w:r>
              <w:rPr>
                <w:rFonts w:ascii="Times New Roman" w:cs="Times New Roman" w:eastAsia="Times New Roman" w:hAnsi="Times New Roman"/>
                <w:sz w:val="7"/>
                <w:szCs w:val="7"/>
                <w:b w:val="1"/>
                <w:bCs w:val="1"/>
                <w:color w:val="auto"/>
              </w:rPr>
              <w:t>(a)</w:t>
            </w: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7"/>
          </w:tcPr>
          <w:p>
            <w:pPr>
              <w:ind w:left="40"/>
              <w:spacing w:after="0" w:line="94" w:lineRule="exact"/>
              <w:rPr>
                <w:sz w:val="20"/>
                <w:szCs w:val="20"/>
                <w:color w:val="auto"/>
              </w:rPr>
            </w:pPr>
            <w:r>
              <w:rPr>
                <w:rFonts w:ascii="Times New Roman" w:cs="Times New Roman" w:eastAsia="Times New Roman" w:hAnsi="Times New Roman"/>
                <w:sz w:val="10"/>
                <w:szCs w:val="10"/>
                <w:b w:val="1"/>
                <w:bCs w:val="1"/>
                <w:color w:val="auto"/>
              </w:rPr>
              <w:t>Reconciliation items</w:t>
            </w: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5"/>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4"/>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certain</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5"/>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acquisitions</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4"/>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related</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4"/>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7"/>
              </w:rPr>
              <w:t>of purchased</w:t>
            </w:r>
          </w:p>
        </w:tc>
        <w:tc>
          <w:tcPr>
            <w:tcW w:w="78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20" w:type="dxa"/>
            <w:vAlign w:val="bottom"/>
          </w:tcPr>
          <w:p>
            <w:pPr>
              <w:spacing w:after="0"/>
              <w:rPr>
                <w:sz w:val="9"/>
                <w:szCs w:val="9"/>
                <w:color w:val="auto"/>
              </w:rPr>
            </w:pPr>
          </w:p>
        </w:tc>
        <w:tc>
          <w:tcPr>
            <w:tcW w:w="720" w:type="dxa"/>
            <w:vAlign w:val="bottom"/>
            <w:gridSpan w:val="5"/>
          </w:tcPr>
          <w:p>
            <w:pPr>
              <w:jc w:val="right"/>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liabilities</w:t>
            </w:r>
          </w:p>
        </w:tc>
        <w:tc>
          <w:tcPr>
            <w:tcW w:w="6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Gain from</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4"/>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8"/>
              </w:rPr>
              <w:t>intangible</w:t>
            </w:r>
          </w:p>
        </w:tc>
        <w:tc>
          <w:tcPr>
            <w:tcW w:w="7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5"/>
          </w:tcPr>
          <w:p>
            <w:pPr>
              <w:jc w:val="right"/>
              <w:ind w:right="240"/>
              <w:spacing w:after="0" w:line="104" w:lineRule="exact"/>
              <w:rPr>
                <w:sz w:val="20"/>
                <w:szCs w:val="20"/>
                <w:color w:val="auto"/>
              </w:rPr>
            </w:pPr>
            <w:r>
              <w:rPr>
                <w:rFonts w:ascii="Times New Roman" w:cs="Times New Roman" w:eastAsia="Times New Roman" w:hAnsi="Times New Roman"/>
                <w:sz w:val="10"/>
                <w:szCs w:val="10"/>
                <w:b w:val="1"/>
                <w:bCs w:val="1"/>
                <w:color w:val="auto"/>
              </w:rPr>
              <w:t>measured</w:t>
            </w:r>
          </w:p>
        </w:tc>
        <w:tc>
          <w:tcPr>
            <w:tcW w:w="64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GAAP</w:t>
            </w:r>
          </w:p>
        </w:tc>
        <w:tc>
          <w:tcPr>
            <w:tcW w:w="760" w:type="dxa"/>
            <w:vAlign w:val="bottom"/>
            <w:gridSpan w:val="4"/>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7"/>
              </w:rPr>
              <w:t>assets and</w:t>
            </w:r>
          </w:p>
        </w:tc>
        <w:tc>
          <w:tcPr>
            <w:tcW w:w="780" w:type="dxa"/>
            <w:vAlign w:val="bottom"/>
            <w:gridSpan w:val="5"/>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4"/>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at fair</w:t>
            </w:r>
          </w:p>
        </w:tc>
        <w:tc>
          <w:tcPr>
            <w:tcW w:w="80" w:type="dxa"/>
            <w:vAlign w:val="bottom"/>
          </w:tcPr>
          <w:p>
            <w:pPr>
              <w:spacing w:after="0"/>
              <w:rPr>
                <w:sz w:val="9"/>
                <w:szCs w:val="9"/>
                <w:color w:val="auto"/>
              </w:rPr>
            </w:pPr>
          </w:p>
        </w:tc>
        <w:tc>
          <w:tcPr>
            <w:tcW w:w="56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sale of a</w:t>
            </w:r>
          </w:p>
        </w:tc>
        <w:tc>
          <w:tcPr>
            <w:tcW w:w="140" w:type="dxa"/>
            <w:vAlign w:val="bottom"/>
          </w:tcPr>
          <w:p>
            <w:pPr>
              <w:spacing w:after="0"/>
              <w:rPr>
                <w:sz w:val="9"/>
                <w:szCs w:val="9"/>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4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Non-GAAP</w:t>
            </w:r>
          </w:p>
        </w:tc>
        <w:tc>
          <w:tcPr>
            <w:tcW w:w="0" w:type="dxa"/>
            <w:vAlign w:val="bottom"/>
          </w:tcPr>
          <w:p>
            <w:pPr>
              <w:spacing w:after="0"/>
              <w:rPr>
                <w:sz w:val="1"/>
                <w:szCs w:val="1"/>
                <w:color w:val="auto"/>
              </w:rPr>
            </w:pPr>
          </w:p>
        </w:tc>
      </w:tr>
      <w:tr>
        <w:trPr>
          <w:trHeight w:val="121"/>
        </w:trPr>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3"/>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100" w:type="dxa"/>
            <w:vAlign w:val="bottom"/>
          </w:tcPr>
          <w:p>
            <w:pPr>
              <w:spacing w:after="0"/>
              <w:rPr>
                <w:sz w:val="10"/>
                <w:szCs w:val="10"/>
                <w:color w:val="auto"/>
              </w:rPr>
            </w:pPr>
          </w:p>
        </w:tc>
        <w:tc>
          <w:tcPr>
            <w:tcW w:w="680" w:type="dxa"/>
            <w:vAlign w:val="bottom"/>
            <w:gridSpan w:val="4"/>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80" w:type="dxa"/>
            <w:vAlign w:val="bottom"/>
          </w:tcPr>
          <w:p>
            <w:pPr>
              <w:spacing w:after="0"/>
              <w:rPr>
                <w:sz w:val="10"/>
                <w:szCs w:val="10"/>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business</w:t>
            </w:r>
          </w:p>
        </w:tc>
        <w:tc>
          <w:tcPr>
            <w:tcW w:w="14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1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6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right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5"/>
              </w:rPr>
              <w:t>$2,810,967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4"/>
              </w:rPr>
              <w:t>(22,691)</w:t>
            </w:r>
          </w:p>
        </w:tc>
        <w:tc>
          <w:tcPr>
            <w:tcW w:w="80" w:type="dxa"/>
            <w:vAlign w:val="bottom"/>
          </w:tcPr>
          <w:p>
            <w:pPr>
              <w:spacing w:after="0"/>
              <w:rPr>
                <w:sz w:val="13"/>
                <w:szCs w:val="13"/>
                <w:color w:val="auto"/>
              </w:rPr>
            </w:pPr>
          </w:p>
        </w:tc>
        <w:tc>
          <w:tcPr>
            <w:tcW w:w="62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 (18,939)</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$2,769,337</w:t>
            </w:r>
          </w:p>
        </w:tc>
        <w:tc>
          <w:tcPr>
            <w:tcW w:w="0" w:type="dxa"/>
            <w:vAlign w:val="bottom"/>
          </w:tcPr>
          <w:p>
            <w:pPr>
              <w:spacing w:after="0"/>
              <w:rPr>
                <w:sz w:val="1"/>
                <w:szCs w:val="1"/>
                <w:color w:val="auto"/>
              </w:rPr>
            </w:pPr>
          </w:p>
        </w:tc>
      </w:tr>
      <w:tr>
        <w:trPr>
          <w:trHeight w:val="152"/>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312,941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(4,021)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308,920</w:t>
            </w:r>
          </w:p>
        </w:tc>
        <w:tc>
          <w:tcPr>
            <w:tcW w:w="0" w:type="dxa"/>
            <w:vAlign w:val="bottom"/>
          </w:tcPr>
          <w:p>
            <w:pPr>
              <w:spacing w:after="0"/>
              <w:rPr>
                <w:sz w:val="1"/>
                <w:szCs w:val="1"/>
                <w:color w:val="auto"/>
              </w:rPr>
            </w:pPr>
          </w:p>
        </w:tc>
      </w:tr>
      <w:tr>
        <w:trPr>
          <w:trHeight w:val="152"/>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487,255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4"/>
              </w:rPr>
              <w:t>(27,537)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459,718</w:t>
            </w:r>
          </w:p>
        </w:tc>
        <w:tc>
          <w:tcPr>
            <w:tcW w:w="0" w:type="dxa"/>
            <w:vAlign w:val="bottom"/>
          </w:tcPr>
          <w:p>
            <w:pPr>
              <w:spacing w:after="0"/>
              <w:rPr>
                <w:sz w:val="1"/>
                <w:szCs w:val="1"/>
                <w:color w:val="auto"/>
              </w:rPr>
            </w:pPr>
          </w:p>
        </w:tc>
      </w:tr>
      <w:tr>
        <w:trPr>
          <w:trHeight w:val="139"/>
        </w:trPr>
        <w:tc>
          <w:tcPr>
            <w:tcW w:w="20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assets and other</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78,784</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(78,784)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3,689,947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(78,784)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5"/>
              </w:rPr>
              <w:t>(54,249)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(18,939)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center"/>
              <w:ind w:left="19"/>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3,537,975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598,693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78,784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54,249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4"/>
              </w:rPr>
              <w:t>18,939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750,665</w:t>
            </w:r>
          </w:p>
        </w:tc>
        <w:tc>
          <w:tcPr>
            <w:tcW w:w="0" w:type="dxa"/>
            <w:vAlign w:val="bottom"/>
          </w:tcPr>
          <w:p>
            <w:pPr>
              <w:spacing w:after="0"/>
              <w:rPr>
                <w:sz w:val="1"/>
                <w:szCs w:val="1"/>
                <w:color w:val="auto"/>
              </w:rPr>
            </w:pPr>
          </w:p>
        </w:tc>
      </w:tr>
      <w:tr>
        <w:trPr>
          <w:trHeight w:val="151"/>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(10,797)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9"/>
              </w:rPr>
              <w:t>(5,046)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from sale of a business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226,410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(226,410)</w:t>
            </w: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125,932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center"/>
              <w:ind w:left="19"/>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5"/>
              </w:rPr>
              <w:t>(12,930)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113,002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688,374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78,784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54,249</w:t>
            </w: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4"/>
              </w:rPr>
              <w:t>18,939</w:t>
            </w:r>
          </w:p>
        </w:tc>
        <w:tc>
          <w:tcPr>
            <w:tcW w:w="12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u w:val="single" w:color="auto"/>
                <w:color w:val="auto"/>
                <w:w w:val="93"/>
              </w:rPr>
              <w:t>$</w:t>
            </w:r>
            <w:r>
              <w:rPr>
                <w:rFonts w:ascii="Times New Roman" w:cs="Times New Roman" w:eastAsia="Times New Roman" w:hAnsi="Times New Roman"/>
                <w:sz w:val="13"/>
                <w:szCs w:val="13"/>
                <w:color w:val="auto"/>
                <w:w w:val="93"/>
              </w:rPr>
              <w:t>(226,410)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p>
        </w:tc>
        <w:tc>
          <w:tcPr>
            <w:tcW w:w="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(5,046)</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12,930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621,820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9"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26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20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2022</w:t>
            </w:r>
          </w:p>
        </w:tc>
        <w:tc>
          <w:tcPr>
            <w:tcW w:w="2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573,377</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709,064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Short-term interest-bearing investments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244,603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256,527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net, including unbilled of $157,165 and $162,278, respectively</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946,777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866,819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238,390</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235,089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current assets</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2,003,147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2,067,499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794,287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698,768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assets</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176,884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233,162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Goodwill and other intangible assets, net</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2,841,137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2,881,676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9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574,938</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630,669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98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6,390,393</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6,511,774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accruals and other</w:t>
            </w:r>
          </w:p>
        </w:tc>
        <w:tc>
          <w:tcPr>
            <w:tcW w:w="10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955,658</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1,007,777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43,336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58,714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9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253,686</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237,374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1,252,680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1,303,865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138,378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177,906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net of unamortized debt issuance costs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645,117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644,553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793,940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750,266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Total Amdocs Limited Shareholders’ equity</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3,517,769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3,592,675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42,509</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42,509</w:t>
            </w:r>
          </w:p>
        </w:tc>
        <w:tc>
          <w:tcPr>
            <w:tcW w:w="0" w:type="dxa"/>
            <w:vAlign w:val="bottom"/>
          </w:tcPr>
          <w:p>
            <w:pPr>
              <w:spacing w:after="0"/>
              <w:rPr>
                <w:sz w:val="1"/>
                <w:szCs w:val="1"/>
                <w:color w:val="auto"/>
              </w:rPr>
            </w:pPr>
          </w:p>
        </w:tc>
      </w:tr>
      <w:tr>
        <w:trPr>
          <w:trHeight w:val="151"/>
        </w:trPr>
        <w:tc>
          <w:tcPr>
            <w:tcW w:w="5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equity</w:t>
            </w:r>
          </w:p>
        </w:tc>
        <w:tc>
          <w:tcPr>
            <w:tcW w:w="9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3,560,278</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3,635,184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10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6,390,393</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6,511,774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9"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60" w:type="dxa"/>
            <w:vAlign w:val="bottom"/>
            <w:gridSpan w:val="4"/>
          </w:tcPr>
          <w:p>
            <w:pPr>
              <w:jc w:val="right"/>
              <w:ind w:right="298"/>
              <w:spacing w:after="0"/>
              <w:rPr>
                <w:sz w:val="20"/>
                <w:szCs w:val="20"/>
                <w:color w:val="auto"/>
              </w:rPr>
            </w:pPr>
            <w:r>
              <w:rPr>
                <w:rFonts w:ascii="Times New Roman" w:cs="Times New Roman" w:eastAsia="Times New Roman" w:hAnsi="Times New Roman"/>
                <w:sz w:val="10"/>
                <w:szCs w:val="10"/>
                <w:b w:val="1"/>
                <w:bCs w:val="1"/>
                <w:color w:val="auto"/>
              </w:rPr>
              <w:t>Fiscal year ended</w:t>
            </w:r>
          </w:p>
        </w:tc>
      </w:tr>
      <w:tr>
        <w:trPr>
          <w:trHeight w:val="121"/>
        </w:trPr>
        <w:tc>
          <w:tcPr>
            <w:tcW w:w="5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60" w:type="dxa"/>
            <w:vAlign w:val="bottom"/>
            <w:gridSpan w:val="4"/>
          </w:tcPr>
          <w:p>
            <w:pPr>
              <w:ind w:left="34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5040" w:type="dxa"/>
            <w:vAlign w:val="bottom"/>
            <w:tcBorders>
              <w:bottom w:val="single" w:sz="8" w:color="CCEEFF"/>
            </w:tcBorders>
          </w:tcPr>
          <w:p>
            <w:pPr>
              <w:spacing w:after="0"/>
              <w:rPr>
                <w:sz w:val="8"/>
                <w:szCs w:val="8"/>
                <w:color w:val="auto"/>
              </w:rPr>
            </w:pPr>
          </w:p>
        </w:tc>
        <w:tc>
          <w:tcPr>
            <w:tcW w:w="134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00"/>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top w:val="single" w:sz="8" w:color="auto"/>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57"/>
              <w:spacing w:after="0" w:line="94" w:lineRule="exact"/>
              <w:rPr>
                <w:sz w:val="20"/>
                <w:szCs w:val="20"/>
                <w:color w:val="auto"/>
              </w:rPr>
            </w:pPr>
            <w:r>
              <w:rPr>
                <w:rFonts w:ascii="Times New Roman" w:cs="Times New Roman" w:eastAsia="Times New Roman" w:hAnsi="Times New Roman"/>
                <w:sz w:val="10"/>
                <w:szCs w:val="10"/>
                <w:b w:val="1"/>
                <w:bCs w:val="1"/>
                <w:color w:val="auto"/>
              </w:rPr>
              <w:t>2021</w:t>
            </w:r>
            <w:r>
              <w:rPr>
                <w:rFonts w:ascii="Times New Roman" w:cs="Times New Roman" w:eastAsia="Times New Roman" w:hAnsi="Times New Roman"/>
                <w:sz w:val="7"/>
                <w:szCs w:val="7"/>
                <w:b w:val="1"/>
                <w:bCs w:val="1"/>
                <w:color w:val="auto"/>
              </w:rPr>
              <w:t>(a)</w:t>
            </w:r>
          </w:p>
        </w:tc>
        <w:tc>
          <w:tcPr>
            <w:tcW w:w="80" w:type="dxa"/>
            <w:vAlign w:val="bottom"/>
            <w:tcBorders>
              <w:bottom w:val="single" w:sz="8" w:color="CCEEFF"/>
            </w:tcBorders>
          </w:tcPr>
          <w:p>
            <w:pPr>
              <w:spacing w:after="0"/>
              <w:rPr>
                <w:sz w:val="8"/>
                <w:szCs w:val="8"/>
                <w:color w:val="auto"/>
              </w:rPr>
            </w:pPr>
          </w:p>
        </w:tc>
      </w:tr>
      <w:tr>
        <w:trPr>
          <w:trHeight w:val="132"/>
        </w:trPr>
        <w:tc>
          <w:tcPr>
            <w:tcW w:w="50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 from Operating Activities:</w:t>
            </w:r>
          </w:p>
        </w:tc>
        <w:tc>
          <w:tcPr>
            <w:tcW w:w="1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210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$ 549,501</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w w:val="96"/>
              </w:rPr>
              <w:t>$ 688,374</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Reconciliation of net income to net cash provided by operating activities: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amortization and impairment</w:t>
            </w:r>
          </w:p>
        </w:tc>
        <w:tc>
          <w:tcPr>
            <w:tcW w:w="210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224,535</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208,830</w:t>
            </w:r>
          </w:p>
        </w:tc>
      </w:tr>
      <w:tr>
        <w:trPr>
          <w:trHeight w:val="152"/>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210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564</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548</w:t>
            </w:r>
          </w:p>
        </w:tc>
      </w:tr>
      <w:tr>
        <w:trPr>
          <w:trHeight w:val="152"/>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210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71,807</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54,249</w:t>
            </w:r>
          </w:p>
        </w:tc>
      </w:tr>
      <w:tr>
        <w:trPr>
          <w:trHeight w:val="152"/>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Gain from sale of a business</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(10,000)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(226,410)</w:t>
            </w:r>
          </w:p>
        </w:tc>
      </w:tr>
      <w:tr>
        <w:trPr>
          <w:trHeight w:val="152"/>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210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(3,292)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(50,605)</w:t>
            </w:r>
          </w:p>
        </w:tc>
      </w:tr>
      <w:tr>
        <w:trPr>
          <w:trHeight w:val="152"/>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from short-term interest-bearing investments</w:t>
            </w:r>
          </w:p>
        </w:tc>
        <w:tc>
          <w:tcPr>
            <w:tcW w:w="210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2,728</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1,726</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Net changes in operating assets and liabilities, net of amounts acquired:</w:t>
            </w: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receivable, net</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(64,978)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(69,051)</w:t>
            </w:r>
          </w:p>
        </w:tc>
      </w:tr>
      <w:tr>
        <w:trPr>
          <w:trHeight w:val="152"/>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10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(3,527)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(17,041)</w:t>
            </w:r>
          </w:p>
        </w:tc>
      </w:tr>
      <w:tr>
        <w:trPr>
          <w:trHeight w:val="152"/>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noncurrent assets</w:t>
            </w:r>
          </w:p>
        </w:tc>
        <w:tc>
          <w:tcPr>
            <w:tcW w:w="210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19,760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(50,038)</w:t>
            </w:r>
          </w:p>
        </w:tc>
      </w:tr>
      <w:tr>
        <w:trPr>
          <w:trHeight w:val="152"/>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Lease assets and liabilities, net</w:t>
            </w:r>
          </w:p>
        </w:tc>
        <w:tc>
          <w:tcPr>
            <w:tcW w:w="210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1,394</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9,630</w:t>
            </w:r>
          </w:p>
        </w:tc>
      </w:tr>
      <w:tr>
        <w:trPr>
          <w:trHeight w:val="152"/>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 accrued expenses and accrued personnel</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(83,932)</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122,224</w:t>
            </w:r>
          </w:p>
        </w:tc>
      </w:tr>
      <w:tr>
        <w:trPr>
          <w:trHeight w:val="152"/>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revenue</w:t>
            </w:r>
          </w:p>
        </w:tc>
        <w:tc>
          <w:tcPr>
            <w:tcW w:w="210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(22,456)</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193,655</w:t>
            </w:r>
          </w:p>
        </w:tc>
      </w:tr>
      <w:tr>
        <w:trPr>
          <w:trHeight w:val="152"/>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Income taxes payable, net</w:t>
            </w:r>
          </w:p>
        </w:tc>
        <w:tc>
          <w:tcPr>
            <w:tcW w:w="210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15,648</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26,814</w:t>
            </w:r>
          </w:p>
        </w:tc>
      </w:tr>
      <w:tr>
        <w:trPr>
          <w:trHeight w:val="152"/>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340" w:type="dxa"/>
            <w:vAlign w:val="bottom"/>
          </w:tcPr>
          <w:p>
            <w:pPr>
              <w:spacing w:after="0"/>
              <w:rPr>
                <w:sz w:val="13"/>
                <w:szCs w:val="13"/>
                <w:color w:val="auto"/>
              </w:rPr>
            </w:pPr>
          </w:p>
        </w:tc>
        <w:tc>
          <w:tcPr>
            <w:tcW w:w="76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58,967</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32,902</w:t>
            </w:r>
          </w:p>
        </w:tc>
      </w:tr>
      <w:tr>
        <w:trPr>
          <w:trHeight w:val="20"/>
        </w:trPr>
        <w:tc>
          <w:tcPr>
            <w:tcW w:w="5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756,719</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925,807</w:t>
            </w:r>
          </w:p>
        </w:tc>
      </w:tr>
      <w:tr>
        <w:trPr>
          <w:trHeight w:val="151"/>
        </w:trPr>
        <w:tc>
          <w:tcPr>
            <w:tcW w:w="5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 from Investing Activities:</w:t>
            </w:r>
          </w:p>
        </w:tc>
        <w:tc>
          <w:tcPr>
            <w:tcW w:w="13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04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 xml:space="preserve">Purchase of property and equipment, net </w:t>
            </w:r>
            <w:r>
              <w:rPr>
                <w:rFonts w:ascii="Times New Roman" w:cs="Times New Roman" w:eastAsia="Times New Roman" w:hAnsi="Times New Roman"/>
                <w:sz w:val="17"/>
                <w:szCs w:val="17"/>
                <w:b w:val="1"/>
                <w:bCs w:val="1"/>
                <w:color w:val="auto"/>
                <w:vertAlign w:val="superscript"/>
              </w:rPr>
              <w:t>(c)</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(227,219)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(210,438)</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sale of short-term interest-bearing investments</w:t>
            </w:r>
          </w:p>
        </w:tc>
        <w:tc>
          <w:tcPr>
            <w:tcW w:w="210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21,948</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18,205</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short-term interest-bearing investments</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(34,275)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(276,978)</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Net cash paid for business and intangible assets acquisitions</w:t>
            </w:r>
          </w:p>
        </w:tc>
        <w:tc>
          <w:tcPr>
            <w:tcW w:w="210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(24,430)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(142,697)</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received from sale of a business</w:t>
            </w:r>
          </w:p>
        </w:tc>
        <w:tc>
          <w:tcPr>
            <w:tcW w:w="210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10,000</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288,990</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340" w:type="dxa"/>
            <w:vAlign w:val="bottom"/>
          </w:tcPr>
          <w:p>
            <w:pPr>
              <w:spacing w:after="0"/>
              <w:rPr>
                <w:sz w:val="13"/>
                <w:szCs w:val="13"/>
                <w:color w:val="auto"/>
              </w:rPr>
            </w:pPr>
          </w:p>
        </w:tc>
        <w:tc>
          <w:tcPr>
            <w:tcW w:w="76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(8,525)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(6,082)</w:t>
            </w:r>
          </w:p>
        </w:tc>
      </w:tr>
      <w:tr>
        <w:trPr>
          <w:trHeight w:val="20"/>
        </w:trPr>
        <w:tc>
          <w:tcPr>
            <w:tcW w:w="5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(262,501)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(329,000)</w:t>
            </w:r>
          </w:p>
        </w:tc>
      </w:tr>
      <w:tr>
        <w:trPr>
          <w:trHeight w:val="151"/>
        </w:trPr>
        <w:tc>
          <w:tcPr>
            <w:tcW w:w="5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 from Financing Activities:</w:t>
            </w:r>
          </w:p>
        </w:tc>
        <w:tc>
          <w:tcPr>
            <w:tcW w:w="13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under financing arrangements</w:t>
            </w:r>
          </w:p>
        </w:tc>
        <w:tc>
          <w:tcPr>
            <w:tcW w:w="1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shares</w:t>
            </w:r>
          </w:p>
        </w:tc>
        <w:tc>
          <w:tcPr>
            <w:tcW w:w="210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(508,472)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(679,996)</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employee stock options exercises</w:t>
            </w:r>
          </w:p>
        </w:tc>
        <w:tc>
          <w:tcPr>
            <w:tcW w:w="210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82,924</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89,056</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Payments of dividends</w:t>
            </w:r>
          </w:p>
        </w:tc>
        <w:tc>
          <w:tcPr>
            <w:tcW w:w="210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(186,073)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(177,472)</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 of contingent consideration from a business acquisition</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(18,284)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(2,519)</w:t>
            </w:r>
          </w:p>
        </w:tc>
      </w:tr>
      <w:tr>
        <w:trPr>
          <w:trHeight w:val="151"/>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13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(629,905</w:t>
            </w:r>
          </w:p>
        </w:tc>
        <w:tc>
          <w:tcPr>
            <w:tcW w:w="24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(870,931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5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(135,687)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(274,124)</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1340" w:type="dxa"/>
            <w:vAlign w:val="bottom"/>
          </w:tcPr>
          <w:p>
            <w:pPr>
              <w:spacing w:after="0"/>
              <w:rPr>
                <w:sz w:val="13"/>
                <w:szCs w:val="13"/>
                <w:color w:val="auto"/>
              </w:rPr>
            </w:pPr>
          </w:p>
        </w:tc>
        <w:tc>
          <w:tcPr>
            <w:tcW w:w="76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709,064</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983,188</w:t>
            </w:r>
          </w:p>
        </w:tc>
      </w:tr>
      <w:tr>
        <w:trPr>
          <w:trHeight w:val="20"/>
        </w:trPr>
        <w:tc>
          <w:tcPr>
            <w:tcW w:w="5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1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w w:val="96"/>
              </w:rPr>
              <w:t>$ 573,377</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w w:val="96"/>
              </w:rPr>
              <w:t>$ 709,064</w:t>
            </w:r>
          </w:p>
        </w:tc>
      </w:tr>
      <w:tr>
        <w:trPr>
          <w:trHeight w:val="28"/>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29"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Supplementary Information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4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7"/>
        </w:trPr>
        <w:tc>
          <w:tcPr>
            <w:tcW w:w="426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80" w:type="dxa"/>
            <w:vAlign w:val="bottom"/>
          </w:tcPr>
          <w:p>
            <w:pPr>
              <w:spacing w:after="0"/>
              <w:rPr>
                <w:sz w:val="6"/>
                <w:szCs w:val="6"/>
                <w:color w:val="auto"/>
              </w:rPr>
            </w:pPr>
          </w:p>
        </w:tc>
        <w:tc>
          <w:tcPr>
            <w:tcW w:w="460" w:type="dxa"/>
            <w:vAlign w:val="bottom"/>
            <w:gridSpan w:val="3"/>
          </w:tcPr>
          <w:p>
            <w:pPr>
              <w:jc w:val="center"/>
              <w:ind w:right="2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160" w:type="dxa"/>
            <w:vAlign w:val="bottom"/>
          </w:tcPr>
          <w:p>
            <w:pPr>
              <w:spacing w:after="0"/>
              <w:rPr>
                <w:sz w:val="6"/>
                <w:szCs w:val="6"/>
                <w:color w:val="auto"/>
              </w:rPr>
            </w:pP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78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21"/>
        </w:trPr>
        <w:tc>
          <w:tcPr>
            <w:tcW w:w="42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41"/>
        </w:trPr>
        <w:tc>
          <w:tcPr>
            <w:tcW w:w="4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North America</w:t>
            </w:r>
          </w:p>
        </w:tc>
        <w:tc>
          <w:tcPr>
            <w:tcW w:w="1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794.4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788.0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color w:val="auto"/>
                <w:w w:val="88"/>
              </w:rPr>
              <w:t>772.2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745.5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722.8</w:t>
            </w:r>
          </w:p>
        </w:tc>
        <w:tc>
          <w:tcPr>
            <w:tcW w:w="40" w:type="dxa"/>
            <w:vAlign w:val="bottom"/>
            <w:shd w:val="clear" w:color="auto" w:fill="CCEEFF"/>
          </w:tcPr>
          <w:p>
            <w:pPr>
              <w:spacing w:after="0"/>
              <w:rPr>
                <w:sz w:val="12"/>
                <w:szCs w:val="12"/>
                <w:color w:val="auto"/>
              </w:rPr>
            </w:pPr>
          </w:p>
        </w:tc>
      </w:tr>
      <w:tr>
        <w:trPr>
          <w:trHeight w:val="152"/>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Europe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146.4</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146.1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147.2</w:t>
            </w:r>
          </w:p>
        </w:tc>
        <w:tc>
          <w:tcPr>
            <w:tcW w:w="16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142.5</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40" w:type="dxa"/>
            <w:vAlign w:val="bottom"/>
          </w:tcPr>
          <w:p>
            <w:pPr>
              <w:spacing w:after="0"/>
              <w:rPr>
                <w:sz w:val="13"/>
                <w:szCs w:val="13"/>
                <w:color w:val="auto"/>
              </w:rPr>
            </w:pPr>
          </w:p>
        </w:tc>
      </w:tr>
      <w:tr>
        <w:trPr>
          <w:trHeight w:val="15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 of the World</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226.2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225.9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216.6</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40" w:type="dxa"/>
            <w:vAlign w:val="bottom"/>
            <w:shd w:val="clear" w:color="auto" w:fill="CCEEFF"/>
          </w:tcPr>
          <w:p>
            <w:pPr>
              <w:spacing w:after="0"/>
              <w:rPr>
                <w:sz w:val="13"/>
                <w:szCs w:val="13"/>
                <w:color w:val="auto"/>
              </w:rPr>
            </w:pPr>
          </w:p>
        </w:tc>
      </w:tr>
      <w:tr>
        <w:trPr>
          <w:trHeight w:val="159"/>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1,166.5</w:t>
            </w:r>
          </w:p>
        </w:tc>
        <w:tc>
          <w:tcPr>
            <w:tcW w:w="1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1,160.3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1,145.3</w:t>
            </w: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1,104.6</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1,087.3</w:t>
            </w:r>
          </w:p>
        </w:tc>
        <w:tc>
          <w:tcPr>
            <w:tcW w:w="40" w:type="dxa"/>
            <w:vAlign w:val="bottom"/>
          </w:tcPr>
          <w:p>
            <w:pPr>
              <w:spacing w:after="0"/>
              <w:rPr>
                <w:sz w:val="13"/>
                <w:szCs w:val="13"/>
                <w:color w:val="auto"/>
              </w:rPr>
            </w:pPr>
          </w:p>
        </w:tc>
      </w:tr>
      <w:tr>
        <w:trPr>
          <w:trHeight w:val="265"/>
        </w:trPr>
        <w:tc>
          <w:tcPr>
            <w:tcW w:w="42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77"/>
        </w:trPr>
        <w:tc>
          <w:tcPr>
            <w:tcW w:w="426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80" w:type="dxa"/>
            <w:vAlign w:val="bottom"/>
          </w:tcPr>
          <w:p>
            <w:pPr>
              <w:spacing w:after="0"/>
              <w:rPr>
                <w:sz w:val="6"/>
                <w:szCs w:val="6"/>
                <w:color w:val="auto"/>
              </w:rPr>
            </w:pPr>
          </w:p>
        </w:tc>
        <w:tc>
          <w:tcPr>
            <w:tcW w:w="460" w:type="dxa"/>
            <w:vAlign w:val="bottom"/>
            <w:gridSpan w:val="3"/>
          </w:tcPr>
          <w:p>
            <w:pPr>
              <w:jc w:val="center"/>
              <w:ind w:right="2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160" w:type="dxa"/>
            <w:vAlign w:val="bottom"/>
          </w:tcPr>
          <w:p>
            <w:pPr>
              <w:spacing w:after="0"/>
              <w:rPr>
                <w:sz w:val="6"/>
                <w:szCs w:val="6"/>
                <w:color w:val="auto"/>
              </w:rPr>
            </w:pP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78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21"/>
        </w:trPr>
        <w:tc>
          <w:tcPr>
            <w:tcW w:w="42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41"/>
        </w:trPr>
        <w:tc>
          <w:tcPr>
            <w:tcW w:w="4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Managed Services Revenue</w:t>
            </w: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714.6</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717.9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color w:val="auto"/>
                <w:w w:val="88"/>
              </w:rPr>
              <w:t>663.4</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659.7</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637.5</w:t>
            </w:r>
          </w:p>
        </w:tc>
        <w:tc>
          <w:tcPr>
            <w:tcW w:w="40" w:type="dxa"/>
            <w:vAlign w:val="bottom"/>
            <w:shd w:val="clear" w:color="auto" w:fill="CCEEFF"/>
          </w:tcPr>
          <w:p>
            <w:pPr>
              <w:spacing w:after="0"/>
              <w:rPr>
                <w:sz w:val="12"/>
                <w:szCs w:val="12"/>
                <w:color w:val="auto"/>
              </w:rPr>
            </w:pPr>
          </w:p>
        </w:tc>
      </w:tr>
      <w:tr>
        <w:trPr>
          <w:trHeight w:val="255"/>
        </w:trPr>
        <w:tc>
          <w:tcPr>
            <w:tcW w:w="4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77"/>
        </w:trPr>
        <w:tc>
          <w:tcPr>
            <w:tcW w:w="426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80" w:type="dxa"/>
            <w:vAlign w:val="bottom"/>
          </w:tcPr>
          <w:p>
            <w:pPr>
              <w:spacing w:after="0"/>
              <w:rPr>
                <w:sz w:val="6"/>
                <w:szCs w:val="6"/>
                <w:color w:val="auto"/>
              </w:rPr>
            </w:pPr>
          </w:p>
        </w:tc>
        <w:tc>
          <w:tcPr>
            <w:tcW w:w="460" w:type="dxa"/>
            <w:vAlign w:val="bottom"/>
            <w:gridSpan w:val="3"/>
          </w:tcPr>
          <w:p>
            <w:pPr>
              <w:jc w:val="center"/>
              <w:ind w:right="2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160" w:type="dxa"/>
            <w:vAlign w:val="bottom"/>
          </w:tcPr>
          <w:p>
            <w:pPr>
              <w:spacing w:after="0"/>
              <w:rPr>
                <w:sz w:val="6"/>
                <w:szCs w:val="6"/>
                <w:color w:val="auto"/>
              </w:rPr>
            </w:pP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78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21"/>
        </w:trPr>
        <w:tc>
          <w:tcPr>
            <w:tcW w:w="42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41"/>
        </w:trPr>
        <w:tc>
          <w:tcPr>
            <w:tcW w:w="4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12-Month Backlog</w:t>
            </w: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3,970</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3,950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color w:val="auto"/>
                <w:w w:val="88"/>
              </w:rPr>
              <w:t>3,890</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3,830</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3,690</w:t>
            </w:r>
          </w:p>
        </w:tc>
        <w:tc>
          <w:tcPr>
            <w:tcW w:w="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138430</wp:posOffset>
            </wp:positionV>
            <wp:extent cx="491045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 # #</w:t>
      </w:r>
    </w:p>
    <w:p>
      <w:pPr>
        <w:sectPr>
          <w:pgSz w:w="11900" w:h="16838" w:orient="portrait"/>
          <w:cols w:equalWidth="0" w:num="1">
            <w:col w:w="9019"/>
          </w:cols>
          <w:pgMar w:left="1440" w:top="229" w:right="1440" w:bottom="144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lvl>
    <w:lvl w:ilvl="1">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2022-11-09T05:33:54Z</dcterms:created>
  <dcterms:modified xsi:type="dcterms:W3CDTF">2022-11-09T05:33:54Z</dcterms:modified>
</cp:coreProperties>
</file>