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November, 2017</w:t>
      </w:r>
    </w:p>
    <w:p>
      <w:pPr>
        <w:spacing w:after="0" w:line="2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267335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28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ind w:left="484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2" w:right="1079" w:bottom="1440" w:gutter="0" w:footer="0" w:header="0"/>
        </w:sectPr>
      </w:pPr>
    </w:p>
    <w:bookmarkStart w:id="1" w:name="page2"/>
    <w:bookmarkEnd w:id="1"/>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8, 2017, Amdocs Limited (“Amdocs”) issued a press release announcing financial results for the quarter ended September 30, 2017. A copy of the press release is furnished as Exhibit 99.1 to this Report of Foreign Private Issuer on Form 6-K.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380"/>
          </w:cols>
          <w:pgMar w:left="240" w:top="270" w:right="27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2017</w:t>
      </w:r>
    </w:p>
    <w:p>
      <w:pPr>
        <w:sectPr>
          <w:pgSz w:w="11900" w:h="16838" w:orient="portrait"/>
          <w:cols w:equalWidth="0" w:num="1">
            <w:col w:w="11260"/>
          </w:cols>
          <w:pgMar w:left="240" w:top="266" w:right="399" w:bottom="1440" w:gutter="0" w:footer="0" w:header="0"/>
        </w:sectPr>
      </w:pPr>
    </w:p>
    <w:bookmarkStart w:id="3" w:name="page4"/>
    <w:bookmarkEnd w:id="3"/>
    <w:p>
      <w:pPr>
        <w:jc w:val="right"/>
        <w:ind w:right="38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80"/>
        <w:spacing w:after="0"/>
        <w:tabs>
          <w:tab w:leader="none" w:pos="124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Amdocs Limited Press Release dated November 8, 2017.</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174625</wp:posOffset>
            </wp:positionV>
            <wp:extent cx="1749425"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94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Amdocs Limited Reports Fourth Quarter Fiscal 2017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Record Quarterly Revenue of $980M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Expects Fiscal 2018 GAAP Diluted EPS Growth of 3.0%-9.0% and Non-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GAAP Diluted EPS Growth of 4.0%-8.0% YoY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Additional $800M Share Repurchase Program Authorized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Quarterly Cash Dividend to be Raised From $0.22 to $0.25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Subject to Shareholder Approval at the January 2018 Annual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2017 Highlights</w:t>
      </w:r>
    </w:p>
    <w:p>
      <w:pPr>
        <w:spacing w:after="0" w:line="135" w:lineRule="exact"/>
        <w:rPr>
          <w:sz w:val="20"/>
          <w:szCs w:val="20"/>
          <w:color w:val="auto"/>
        </w:rPr>
      </w:pPr>
    </w:p>
    <w:p>
      <w:pPr>
        <w:ind w:left="900" w:right="40" w:hanging="325"/>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$980 million, slightly above the midpoint of the $955-$995 million guidance range including a positive impact from foreign currency movements of approximately $9 million relative to the third quarter of fiscal 2017</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of $0.73, above the mid-point of the $0.68-$0.76 guidance range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of $0.94, at the mid-point of the $0.91-$0.97 guidance range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of $132 million; GAAP operating margin of 13.5%</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$168 million; non-GAAP operating margin of 17.2%</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$165 million, comprised of cash flow from operations of $199 million, less $34 million in net capital expenditures and other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Twelve-month backlog of $3.25 billion, up $30 million sequentially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cash dividend of $0.22 per share to be paid on January 19, 2018</w:t>
      </w:r>
    </w:p>
    <w:p>
      <w:pPr>
        <w:spacing w:after="0" w:line="130"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approved a share repurchase plan authorizing the repurchase of up to $800 million of ordinary shares at the company’s discretion; this plan has no expiration date and is in addition to the current authorization, which, as of September 30, 2017, provided for up to $256 million of remaining repurchase authority</w:t>
      </w:r>
    </w:p>
    <w:p>
      <w:pPr>
        <w:spacing w:after="0" w:line="81"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also approved an increase in the Company’s quarterly cash dividend payment from $0.22 per share to $0.25 per share, anticipated to be paid in April 2018, subject to shareholder approval at the January 2018 annual meeting</w:t>
      </w:r>
    </w:p>
    <w:p>
      <w:pPr>
        <w:sectPr>
          <w:pgSz w:w="11900" w:h="16838" w:orient="portrait"/>
          <w:cols w:equalWidth="0" w:num="1">
            <w:col w:w="11420"/>
          </w:cols>
          <w:pgMar w:left="240" w:top="117" w:right="239" w:bottom="1440" w:gutter="0" w:footer="0" w:header="0"/>
        </w:sectPr>
      </w:pPr>
    </w:p>
    <w:bookmarkStart w:id="5" w:name="page6"/>
    <w:bookmarkEnd w:id="5"/>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November 8, 2017 </w:t>
      </w:r>
      <w:r>
        <w:rPr>
          <w:rFonts w:ascii="Times New Roman" w:cs="Times New Roman" w:eastAsia="Times New Roman" w:hAnsi="Times New Roman"/>
          <w:sz w:val="18"/>
          <w:szCs w:val="18"/>
          <w:color w:val="auto"/>
        </w:rPr>
        <w:t>– Amdocs Limited (NASDAQ: DOX) today reported operating results for the three and twelve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2017.</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pleased to deliver solid operating results in Q4, which included another quarter of record revenue and sequential growth across North America, Europe and Rest of World. At the same time, we maintained stable operating profitability as we successfully balanced project delivery with the launch of innovative product offerings in areas such as artificial intelligence and network functions virtualization. Overall, our fourth quarter wrapped up a successful fiscal 2017 for Amdocs in which we delivered full year non-GAAP diluted earnings per share growth of 6.4% and free cash flow generation of more than $500 million,” said Eli Gelman, president and chief executive officer of Amdocs Management Limited.</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Gelman continued, “We sustained our high win rate in Q4 as we secured several modernization awards and increased our footprint with highly strategic customers. Earlier in the quarter, we were proud to announce that Altice USA has selected Amdocs to help accelerate the migration of key support systems to a single platform that will simplify and modernize its technology and improve the customer experience it provides. We were also delighted to enter a long-term services contract with Bharti Airtel, India’s largest telecommunications service provider, under which Amdocs will act as Airtel’s strategic partner to deploy machine learning and advanced artificial intelligence capabilities and to deliver a world class experience to its customers.”</w:t>
      </w:r>
    </w:p>
    <w:p>
      <w:pPr>
        <w:spacing w:after="0" w:line="1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Gelman concluded, “Looking ahead, we expect to deliver full year non-GAAP diluted earnings per share growth of 4.0% to 8.0% and revenue growth of 0% to 4.0% in fiscal 2018. This outlook reflects the visibility provided by our record 12-month backlog, and incorporates our strong momentum in the North American Pay TV market, tempered by some slowdown in AT&amp;T’s discretionary spending plans as we discussed last quarter. Additionally, we remain committed to the proactive and disciplined return of capital to shareholders. In support of this, our Board has today authorized an additional shareholder repurchase plan of $800 million, and agreed to raise the quarterly dividend payment by nearly 14% to 25 cents per share, subject to shareholders approval at the annual meeting in January 2018.”</w:t>
      </w:r>
    </w:p>
    <w:p>
      <w:pPr>
        <w:sectPr>
          <w:pgSz w:w="11900" w:h="16838" w:orient="portrait"/>
          <w:cols w:equalWidth="0" w:num="1">
            <w:col w:w="11360"/>
          </w:cols>
          <w:pgMar w:left="240" w:top="266"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for the fourth fiscal quarter ended September 30, 2017 was $979.7 million, up 1.3% or $13.0 million sequentially from the third fiscal quarter of 2017 and up 4.2% as compared to last year’s fourth fiscal quarter. Revenue for the fourth fiscal quarter of 2017 includes a positive impact from foreign currency movements of approximately $9 million relative to the third quarter of fiscal 2017. Revenue was slightly below the midpoint of Amdocs’ guidance, excluding foreign currency movements.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September 30, 2017, revenue increased by 4.0% to $3.9 billion.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GAAP net income for the fourth quarter of fiscal 2017 was $107.2 million, or $0.73 per diluted share, compared to GAAP net income of</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$95.7 million, or $0.64 per diluted share, in the prior fiscal year’s fourth quarter. Net income on a non-GAAP basis was $137.4 million, or $0.94 per diluted share, compared to non-GAAP net income of $132.4 million, or $0.89 per diluted share, in the fourth quarter of fiscal 2016.</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GAAP net income in fiscal 2017 was $436.8 million, or $2.96 per diluted share, compared to GAAP net income of $409.3 million, or $2.71 per diluted share, in fiscal 2016. Fiscal 2017 net income on a non-GAAP basis was $560.6 million, or $3.80 per diluted share, compared to non-GAAP net income of $540.1 million, or $3.57 per diluted share, in fiscal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Cash to Shareholders</w:t>
      </w:r>
    </w:p>
    <w:p>
      <w:pPr>
        <w:spacing w:after="0" w:line="131" w:lineRule="exact"/>
        <w:rPr>
          <w:sz w:val="20"/>
          <w:szCs w:val="20"/>
          <w:color w:val="auto"/>
        </w:rPr>
      </w:pPr>
    </w:p>
    <w:p>
      <w:pPr>
        <w:ind w:left="900" w:right="80" w:hanging="325"/>
        <w:spacing w:after="0" w:line="259"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Quarterly Cash Dividend Program: </w:t>
      </w:r>
      <w:r>
        <w:rPr>
          <w:rFonts w:ascii="Times New Roman" w:cs="Times New Roman" w:eastAsia="Times New Roman" w:hAnsi="Times New Roman"/>
          <w:sz w:val="18"/>
          <w:szCs w:val="18"/>
          <w:color w:val="auto"/>
        </w:rPr>
        <w:t>On November 8, 2017, the Board approved the Company’s next quarterly cash dividend payment of $0.22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and set December 29, 2017 as the record date for determining the shareholders entitled to receive the dividend, which will be payable on January 19, 2018. The Board also approved an increase in the Company’s quarterly cash dividend payment to $0.25 per share, which is anticipated to be paid in April 2018, provided that the increase is approved by shareholders at the January 2018 annual general meeting of shareholders.</w:t>
      </w:r>
    </w:p>
    <w:p>
      <w:pPr>
        <w:sectPr>
          <w:pgSz w:w="11900" w:h="16838" w:orient="portrait"/>
          <w:cols w:equalWidth="0" w:num="1">
            <w:col w:w="11300"/>
          </w:cols>
          <w:pgMar w:left="240" w:top="266" w:right="359" w:bottom="1440" w:gutter="0" w:footer="0" w:header="0"/>
        </w:sectPr>
      </w:pPr>
    </w:p>
    <w:bookmarkStart w:id="7" w:name="page8"/>
    <w:bookmarkEnd w:id="7"/>
    <w:p>
      <w:pPr>
        <w:ind w:left="900" w:hanging="325"/>
        <w:spacing w:after="0" w:line="26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Share Repurchase Activity: </w:t>
      </w:r>
      <w:r>
        <w:rPr>
          <w:rFonts w:ascii="Times New Roman" w:cs="Times New Roman" w:eastAsia="Times New Roman" w:hAnsi="Times New Roman"/>
          <w:sz w:val="18"/>
          <w:szCs w:val="18"/>
          <w:color w:val="auto"/>
        </w:rPr>
        <w:t>Repurchased $90 million of ordinary shares during the fourth quarter of fiscal 2017. The board of directors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a share repurchase plan authorizing the repurchase of up to $800 million of ordinary shares at the company’s discretion; this plan has no expiration date and is in addition to the current authorization, which, as of September 30, 2017, provided for up to $256 million of remaining repurchase authority.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Twelve-month Backlog</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Twelve-month backlog, which includes anticipated revenue related to contracts, estimated revenue from managed services contracts, letters of intent, maintenance and estimated on-going support activities, was $3.25 billion at the end of the fourth quarter of fiscal 2017, up $30 million from the end of the prior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2018 Outlook</w:t>
      </w:r>
    </w:p>
    <w:p>
      <w:pPr>
        <w:spacing w:after="0" w:line="135" w:lineRule="exact"/>
        <w:rPr>
          <w:sz w:val="20"/>
          <w:szCs w:val="20"/>
          <w:color w:val="auto"/>
        </w:rPr>
      </w:pPr>
    </w:p>
    <w:p>
      <w:pPr>
        <w:ind w:left="900" w:right="4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$960-$1,000 million, including an immaterial sequential impact from foreign currency fluctuations as compared to the fourth quarter of fiscal 2017</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GAAP EPS of approximately $0.66-$0.74</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non-GAAP EPS of approximately $0.94-$1.00, excluding amortization of purchased intangible assets and other acquisition-related costs and approximately $0.09-$0.10 per share of equity-based compensation expense, net of related tax effects.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Fiscal 2018 Outlook</w:t>
      </w:r>
    </w:p>
    <w:p>
      <w:pPr>
        <w:spacing w:after="0" w:line="135"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revenue growth of 0.0%-4.0% year-over-year as reported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revenue growth of (1.0%)-3.0% year-over-year on a constant currency basis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earnings per share growth of roughly 3.0-9.0% year-over-year</w:t>
      </w:r>
    </w:p>
    <w:p>
      <w:pPr>
        <w:sectPr>
          <w:pgSz w:w="11900" w:h="16838" w:orient="portrait"/>
          <w:cols w:equalWidth="0" w:num="1">
            <w:col w:w="11420"/>
          </w:cols>
          <w:pgMar w:left="240" w:top="266" w:right="239" w:bottom="1440" w:gutter="0" w:footer="0" w:header="0"/>
        </w:sectPr>
      </w:pPr>
    </w:p>
    <w:bookmarkStart w:id="8" w:name="page9"/>
    <w:bookmarkEnd w:id="8"/>
    <w:p>
      <w:pPr>
        <w:ind w:left="900" w:right="20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diluted earnings per share growth of roughly 4.0%-8.0% year-over-year, excluding amortization of purchased intangible assets and other acquisition-related costs and approximately $0.28-$0.32 per share of equity-based compensation expense, net of related tax effects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fiscal quarter 2018 and full year fiscal 2018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AT&amp;T’s proposed merger with Time Warner, or from other current and potential customer consolidation activity in North America.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Amdocs will host a conference call on November 8, 2017 at 5:00 p.m. Eastern Time to discuss the Company’s fourth fiscal quarter and fiscal year 2017 results. To participate, please dial +1 (844) 513-7152, or +1 (508) 637-5600 outside the United States, approximately 15 minutes before the call and enter passcode 94145412. The call will also be carried live on the Internet via the Amdocs website, www.amdocs.com.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These non-GAAP measures exclude the following items:</w:t>
      </w:r>
    </w:p>
    <w:p>
      <w:pPr>
        <w:spacing w:after="0" w:line="86"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purchased intangible assets and other acquisition-related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certain acquisition-related liabilities;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related to the above.</w:t>
      </w:r>
    </w:p>
    <w:p>
      <w:pPr>
        <w:sectPr>
          <w:pgSz w:w="11900" w:h="16838" w:orient="portrait"/>
          <w:cols w:equalWidth="0" w:num="1">
            <w:col w:w="11420"/>
          </w:cols>
          <w:pgMar w:left="240" w:top="270" w:right="239" w:bottom="1440" w:gutter="0" w:footer="0" w:header="0"/>
        </w:sectPr>
      </w:pPr>
    </w:p>
    <w:bookmarkStart w:id="9" w:name="page10"/>
    <w:bookmarkEnd w:id="9"/>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11380"/>
          </w:cols>
          <w:pgMar w:left="240" w:top="270" w:right="279" w:bottom="1440" w:gutter="0" w:footer="0" w:header="0"/>
        </w:sectPr>
      </w:pPr>
    </w:p>
    <w:bookmarkStart w:id="10" w:name="page11"/>
    <w:bookmarkEnd w:id="1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Resources</w:t>
      </w:r>
    </w:p>
    <w:p>
      <w:pPr>
        <w:spacing w:after="0" w:line="135" w:lineRule="exact"/>
        <w:rPr>
          <w:sz w:val="20"/>
          <w:szCs w:val="20"/>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up with Amdocs news by visiting the company’s </w:t>
      </w:r>
      <w:r>
        <w:rPr>
          <w:rFonts w:ascii="Times New Roman" w:cs="Times New Roman" w:eastAsia="Times New Roman" w:hAnsi="Times New Roman"/>
          <w:sz w:val="18"/>
          <w:szCs w:val="18"/>
          <w:u w:val="single" w:color="auto"/>
          <w:color w:val="auto"/>
        </w:rPr>
        <w:t>website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 to Amdocs’ RSS Feed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Amdocs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$3.9 billion in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Amdocs at </w:t>
      </w:r>
      <w:r>
        <w:rPr>
          <w:rFonts w:ascii="Times New Roman" w:cs="Times New Roman" w:eastAsia="Times New Roman" w:hAnsi="Times New Roman"/>
          <w:sz w:val="18"/>
          <w:szCs w:val="18"/>
          <w:u w:val="single" w:color="auto"/>
          <w:color w:val="auto"/>
        </w:rPr>
        <w:t>www.amdocs.com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w:t>
      </w:r>
    </w:p>
    <w:p>
      <w:pPr>
        <w:sectPr>
          <w:pgSz w:w="11900" w:h="16838" w:orient="portrait"/>
          <w:cols w:equalWidth="0" w:num="1">
            <w:col w:w="11280"/>
          </w:cols>
          <w:pgMar w:left="240" w:top="270" w:right="37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2016 filed on December 12, 2016 and our Form 6-K furnished for the first quarter of fiscal 2017 on February 13, 2017, for the second quarter of fiscal 2017 on May 22, 2017 and for the third quarter of fiscal 2017 on August 14, 2017.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314-212-8328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dox_info@amdocs.com</w:t>
      </w:r>
    </w:p>
    <w:p>
      <w:pPr>
        <w:sectPr>
          <w:pgSz w:w="11900" w:h="16838" w:orient="portrait"/>
          <w:cols w:equalWidth="0" w:num="1">
            <w:col w:w="11240"/>
          </w:cols>
          <w:pgMar w:left="240" w:top="270" w:right="4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9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9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979,724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940,656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3,867,155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3,718,229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636,445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611,107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2,507,656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2,408,040</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64,686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61,043</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259,097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252,292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120,237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117,030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472,778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464,883</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32,979</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110,291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109,873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847,677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822,159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3,349,822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3,235,088</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132,047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118,497</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517,333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129,705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119,146</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76,086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75,367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107,209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436,826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144,764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147,281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146,017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149,168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146,141</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148,984</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5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7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979,724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940,656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3,867,155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3,718,229</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168,197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161,078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635,714</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137,419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132,360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540,116</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146,141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148,984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151,176</w:t>
            </w:r>
          </w:p>
        </w:tc>
      </w:tr>
    </w:tbl>
    <w:p>
      <w:pPr>
        <w:sectPr>
          <w:pgSz w:w="11900" w:h="16838" w:orient="portrait"/>
          <w:cols w:equalWidth="0" w:num="1">
            <w:col w:w="11420"/>
          </w:cols>
          <w:pgMar w:left="240" w:top="266"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 assets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80" w:type="dxa"/>
            <w:vAlign w:val="bottom"/>
          </w:tcPr>
          <w:p>
            <w:pPr>
              <w:spacing w:after="0"/>
              <w:rPr>
                <w:sz w:val="15"/>
                <w:szCs w:val="15"/>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expense</w:t>
            </w:r>
          </w:p>
        </w:tc>
        <w:tc>
          <w:tcPr>
            <w:tcW w:w="2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636,445</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$ 631,964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64,686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120,237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26,309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847,677</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132,047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168,197</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107,209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26,309</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9,841</w:t>
            </w:r>
          </w:p>
        </w:tc>
        <w:tc>
          <w:tcPr>
            <w:tcW w:w="12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(5,940)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$ 137,419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 assets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80" w:type="dxa"/>
            <w:vAlign w:val="bottom"/>
          </w:tcPr>
          <w:p>
            <w:pPr>
              <w:spacing w:after="0"/>
              <w:rPr>
                <w:sz w:val="15"/>
                <w:szCs w:val="15"/>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expense</w:t>
            </w:r>
          </w:p>
        </w:tc>
        <w:tc>
          <w:tcPr>
            <w:tcW w:w="2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5"/>
              </w:rPr>
              <w:t>611,107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(4,802)</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$ 606,305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61,043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5"/>
              </w:rPr>
              <w:t>117,030</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32,979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822,159</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118,497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161,078</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95,709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32,979</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9,602</w:t>
            </w:r>
          </w:p>
        </w:tc>
        <w:tc>
          <w:tcPr>
            <w:tcW w:w="12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(5,930)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$ 132,360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8"/>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300" w:type="dxa"/>
            <w:vAlign w:val="bottom"/>
          </w:tcPr>
          <w:p>
            <w:pPr>
              <w:spacing w:after="0"/>
              <w:rPr>
                <w:sz w:val="10"/>
                <w:szCs w:val="10"/>
                <w:color w:val="auto"/>
              </w:rPr>
            </w:pP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Equity based</w:t>
            </w:r>
          </w:p>
        </w:tc>
        <w:tc>
          <w:tcPr>
            <w:tcW w:w="120" w:type="dxa"/>
            <w:vAlign w:val="bottom"/>
          </w:tcPr>
          <w:p>
            <w:pPr>
              <w:spacing w:after="0"/>
              <w:rPr>
                <w:sz w:val="10"/>
                <w:szCs w:val="10"/>
                <w:color w:val="auto"/>
              </w:rPr>
            </w:pPr>
          </w:p>
        </w:tc>
        <w:tc>
          <w:tcPr>
            <w:tcW w:w="114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Changes in fair</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of certain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0" w:type="dxa"/>
            <w:vAlign w:val="bottom"/>
          </w:tcPr>
          <w:p>
            <w:pPr>
              <w:spacing w:after="0"/>
              <w:rPr>
                <w:sz w:val="12"/>
                <w:szCs w:val="12"/>
                <w:color w:val="auto"/>
              </w:rPr>
            </w:pPr>
          </w:p>
        </w:tc>
        <w:tc>
          <w:tcPr>
            <w:tcW w:w="100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0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assets and other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5"/>
                <w:szCs w:val="15"/>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related liabilities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$2,507,656</w:t>
            </w:r>
          </w:p>
        </w:tc>
        <w:tc>
          <w:tcPr>
            <w:tcW w:w="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(19,215)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tcPr>
          <w:p>
            <w:pPr>
              <w:spacing w:after="0"/>
              <w:rPr>
                <w:sz w:val="18"/>
                <w:szCs w:val="18"/>
                <w:color w:val="auto"/>
              </w:rPr>
            </w:pP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$2,495,132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259,097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472,778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(21,788)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110,291</w:t>
            </w:r>
          </w:p>
        </w:tc>
        <w:tc>
          <w:tcPr>
            <w:tcW w:w="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6"/>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(110,291)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3,349,822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320" w:type="dxa"/>
            <w:vAlign w:val="bottom"/>
            <w:gridSpan w:val="2"/>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(44,539)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3,201,683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517,333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110,291</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665,472</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6"/>
              </w:rPr>
              <w:t>24,375</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436,826</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110,291</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(6,691)</w:t>
            </w:r>
          </w:p>
        </w:tc>
        <w:tc>
          <w:tcPr>
            <w:tcW w:w="11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8"/>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40" w:type="dxa"/>
            <w:vAlign w:val="bottom"/>
          </w:tcPr>
          <w:p>
            <w:pPr>
              <w:spacing w:after="0"/>
              <w:rPr>
                <w:sz w:val="12"/>
                <w:szCs w:val="12"/>
                <w:color w:val="auto"/>
              </w:rPr>
            </w:pPr>
          </w:p>
        </w:tc>
        <w:tc>
          <w:tcPr>
            <w:tcW w:w="1800" w:type="dxa"/>
            <w:vAlign w:val="bottom"/>
            <w:gridSpan w:val="7"/>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4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assets and other</w:t>
            </w:r>
          </w:p>
        </w:tc>
        <w:tc>
          <w:tcPr>
            <w:tcW w:w="340" w:type="dxa"/>
            <w:vAlign w:val="bottom"/>
          </w:tcPr>
          <w:p>
            <w:pPr>
              <w:spacing w:after="0"/>
              <w:rPr>
                <w:sz w:val="15"/>
                <w:szCs w:val="15"/>
                <w:color w:val="auto"/>
              </w:rPr>
            </w:pPr>
          </w:p>
        </w:tc>
        <w:tc>
          <w:tcPr>
            <w:tcW w:w="18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compensation expense</w:t>
            </w:r>
          </w:p>
        </w:tc>
        <w:tc>
          <w:tcPr>
            <w:tcW w:w="2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$2,408,040</w:t>
            </w:r>
          </w:p>
        </w:tc>
        <w:tc>
          <w:tcPr>
            <w:tcW w:w="60" w:type="dxa"/>
            <w:vAlign w:val="bottom"/>
          </w:tcPr>
          <w:p>
            <w:pPr>
              <w:spacing w:after="0"/>
              <w:rPr>
                <w:sz w:val="18"/>
                <w:szCs w:val="18"/>
                <w:color w:val="auto"/>
              </w:rPr>
            </w:pPr>
          </w:p>
        </w:tc>
        <w:tc>
          <w:tcPr>
            <w:tcW w:w="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(18,249)</w:t>
            </w:r>
          </w:p>
        </w:tc>
        <w:tc>
          <w:tcPr>
            <w:tcW w:w="10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$2,389,791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252,292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464,883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(20,709)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109,873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(109,873)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3,235,088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w w:val="87"/>
              </w:rPr>
              <w:t>(109,873)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(42,700)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3,082,515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483,141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109,873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42,700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635,714</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75,367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2"/>
              </w:rPr>
              <w:t>21,788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409,331</w:t>
            </w:r>
          </w:p>
        </w:tc>
        <w:tc>
          <w:tcPr>
            <w:tcW w:w="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109,873</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42,700</w:t>
            </w: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(21,788)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4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interest-bearing investments</w:t>
            </w:r>
          </w:p>
        </w:tc>
        <w:tc>
          <w:tcPr>
            <w:tcW w:w="168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979,608</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1,095,723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including unbilled of $229,695 and $134,122, respectively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865,068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203,810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2,048,486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2,100,391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355,685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2,398,535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2,493,166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476,674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406,070</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5,279,380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5,331,355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accruals and other</w:t>
            </w:r>
          </w:p>
        </w:tc>
        <w:tc>
          <w:tcPr>
            <w:tcW w:w="168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1,059,855</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financing arrangements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113,091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1,366,010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532,364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3,574,070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3,453,561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8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5,279,380</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5,331,355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$ 436,826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214,885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 from equity-based compensation</w:t>
            </w:r>
          </w:p>
        </w:tc>
        <w:tc>
          <w:tcPr>
            <w:tcW w:w="3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3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(41,075)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3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636,112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620,234</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20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equipment and leasehold improvements, net</w:t>
            </w:r>
          </w:p>
        </w:tc>
        <w:tc>
          <w:tcPr>
            <w:tcW w:w="3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278,066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3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(281,983)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 for acquisitions</w:t>
            </w:r>
          </w:p>
        </w:tc>
        <w:tc>
          <w:tcPr>
            <w:tcW w:w="3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(18,064)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(18,533)</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(185,313</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financing arrangements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under financing arrangements</w:t>
            </w:r>
          </w:p>
        </w:tc>
        <w:tc>
          <w:tcPr>
            <w:tcW w:w="3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3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(340,597)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options exercised</w:t>
            </w:r>
          </w:p>
        </w:tc>
        <w:tc>
          <w:tcPr>
            <w:tcW w:w="3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87,586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3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(121,503)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equity-based compensation and other</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6,830</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(569,848</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$ 649,611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Pr>
          <w:p>
            <w:pPr>
              <w:spacing w:after="0"/>
              <w:rPr>
                <w:sz w:val="10"/>
                <w:szCs w:val="10"/>
                <w:color w:val="auto"/>
              </w:rPr>
            </w:pPr>
          </w:p>
        </w:tc>
        <w:tc>
          <w:tcPr>
            <w:tcW w:w="8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129.8</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205.8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966.7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Pr>
          <w:p>
            <w:pPr>
              <w:spacing w:after="0"/>
              <w:rPr>
                <w:sz w:val="10"/>
                <w:szCs w:val="10"/>
                <w:color w:val="auto"/>
              </w:rPr>
            </w:pPr>
          </w:p>
        </w:tc>
        <w:tc>
          <w:tcPr>
            <w:tcW w:w="8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Services Revenue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4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496.3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Pr>
          <w:p>
            <w:pPr>
              <w:spacing w:after="0"/>
              <w:rPr>
                <w:sz w:val="10"/>
                <w:szCs w:val="10"/>
                <w:color w:val="auto"/>
              </w:rPr>
            </w:pPr>
          </w:p>
        </w:tc>
        <w:tc>
          <w:tcPr>
            <w:tcW w:w="8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Experience Systems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$954.8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Directory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966.7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966.0</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954.7</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Pr>
          <w:p>
            <w:pPr>
              <w:spacing w:after="0"/>
              <w:rPr>
                <w:sz w:val="10"/>
                <w:szCs w:val="10"/>
                <w:color w:val="auto"/>
              </w:rPr>
            </w:pPr>
          </w:p>
        </w:tc>
        <w:tc>
          <w:tcPr>
            <w:tcW w:w="8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12-Month Backlog</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4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 #</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2019-12-06T09:23:45Z</dcterms:created>
  <dcterms:modified xsi:type="dcterms:W3CDTF">2019-12-06T09:23:45Z</dcterms:modified>
</cp:coreProperties>
</file>