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79"/>
        <w:spacing w:after="0"/>
        <w:rPr>
          <w:sz w:val="20"/>
          <w:szCs w:val="20"/>
          <w:color w:val="auto"/>
        </w:rPr>
      </w:pPr>
      <w:r>
        <w:rPr>
          <w:rFonts w:ascii="Courier New" w:cs="Courier New" w:eastAsia="Courier New" w:hAnsi="Courier New"/>
          <w:sz w:val="14"/>
          <w:szCs w:val="14"/>
          <w:color w:val="auto"/>
        </w:rPr>
        <w:t>As filed with the Securities and Exchange Commission on November 17, 2004</w:t>
      </w:r>
    </w:p>
    <w:p>
      <w:pPr>
        <w:spacing w:after="0" w:line="175"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Registration Statement No. 333-114344</w:t>
      </w:r>
    </w:p>
    <w:p>
      <w:pPr>
        <w:spacing w:after="0" w:line="8"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Post-Effective Amendment No. 3 to</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F-3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REGISTRATION STATEMENT UNDER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ISLAND OF GUERNSEY</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47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(State or other jurisdiction of incorporation or</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00" w:type="dxa"/>
            <w:vAlign w:val="bottom"/>
          </w:tcPr>
          <w:p>
            <w:pPr>
              <w:ind w:left="1480"/>
              <w:spacing w:after="0"/>
              <w:rPr>
                <w:sz w:val="20"/>
                <w:szCs w:val="20"/>
                <w:color w:val="auto"/>
              </w:rPr>
            </w:pPr>
            <w:r>
              <w:rPr>
                <w:rFonts w:ascii="Courier New" w:cs="Courier New" w:eastAsia="Courier New" w:hAnsi="Courier New"/>
                <w:sz w:val="14"/>
                <w:szCs w:val="14"/>
                <w:color w:val="auto"/>
              </w:rPr>
              <w:t>organization)</w:t>
            </w:r>
          </w:p>
        </w:tc>
        <w:tc>
          <w:tcPr>
            <w:tcW w:w="2160" w:type="dxa"/>
            <w:vAlign w:val="bottom"/>
          </w:tcPr>
          <w:p>
            <w:pPr>
              <w:ind w:left="520"/>
              <w:spacing w:after="0"/>
              <w:rPr>
                <w:sz w:val="20"/>
                <w:szCs w:val="20"/>
                <w:color w:val="auto"/>
              </w:rPr>
            </w:pPr>
            <w:r>
              <w:rPr>
                <w:rFonts w:ascii="Courier New" w:cs="Courier New" w:eastAsia="Courier New" w:hAnsi="Courier New"/>
                <w:sz w:val="14"/>
                <w:szCs w:val="14"/>
                <w:color w:val="auto"/>
              </w:rPr>
              <w:t>Identification No.)</w:t>
            </w:r>
          </w:p>
        </w:tc>
      </w:tr>
    </w:tbl>
    <w:p>
      <w:pPr>
        <w:spacing w:after="0" w:line="17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011-44-1481-728444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INC.</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ATTENTION: THOMAS G. O'BRIEN, TREASURER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(314) 212-8328</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COMMISSION IS REQUESTED TO SEND COPIES OF ALL COMMUNICATIONS TO:</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ROBERT A. SCHWED, ESQ.</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WILMER CUTLER PICKERING HALE AND DORR LLP</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399 PARK AVENUE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(212) 230-8888</w:t>
      </w:r>
    </w:p>
    <w:p>
      <w:pPr>
        <w:spacing w:after="0" w:line="175" w:lineRule="exact"/>
        <w:rPr>
          <w:sz w:val="24"/>
          <w:szCs w:val="24"/>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PUBLIC: From time to time after this Registration Statement becomes effective.</w:t>
      </w:r>
    </w:p>
    <w:p>
      <w:pPr>
        <w:spacing w:after="0" w:line="160" w:lineRule="exact"/>
        <w:rPr>
          <w:sz w:val="24"/>
          <w:szCs w:val="24"/>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2"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jc w:val="both"/>
        <w:ind w:right="3539" w:firstLine="43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60"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8(c) OF THE SECURITIES ACT OF 1933 OR UNTIL THE REGISTRATION STATEMENT SHALL BECOME EFFECTIVE ON SUCH DATE AS THE COMMISSION, ACTING PURSUANT TO SAID SECTION 8(c), MAY DETERMINE.</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31" w:right="1440" w:bottom="1440" w:gutter="0" w:footer="0" w:header="0"/>
        </w:sectPr>
      </w:pPr>
    </w:p>
    <w:bookmarkStart w:id="1" w:name="page2"/>
    <w:bookmarkEnd w:id="1"/>
    <w:p>
      <w:pPr>
        <w:ind w:left="2780"/>
        <w:spacing w:after="0"/>
        <w:rPr>
          <w:sz w:val="20"/>
          <w:szCs w:val="20"/>
          <w:color w:val="auto"/>
        </w:rPr>
      </w:pPr>
      <w:r>
        <w:rPr>
          <w:rFonts w:ascii="Courier New" w:cs="Courier New" w:eastAsia="Courier New" w:hAnsi="Courier New"/>
          <w:sz w:val="14"/>
          <w:szCs w:val="14"/>
          <w:color w:val="auto"/>
        </w:rPr>
        <w:t>EXPLANATORY NOTE</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Post-Effective Amendment No. 3 to Form F-3 is being filed to add the names and respective holdings of certain selling securityholders in the table under the caption "Selling Securityholders". Certain other information included herein has also been updated.</w:t>
      </w:r>
    </w:p>
    <w:p>
      <w:pPr>
        <w:sectPr>
          <w:pgSz w:w="11900" w:h="16838" w:orient="portrait"/>
          <w:cols w:equalWidth="0" w:num="1">
            <w:col w:w="10239"/>
          </w:cols>
          <w:pgMar w:left="220" w:top="45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PROSPECTUS (Subject to Completion)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0"/>
          <w:szCs w:val="20"/>
          <w:color w:val="auto"/>
        </w:rPr>
      </w:pPr>
    </w:p>
    <w:p>
      <w:pPr>
        <w:ind w:left="1220" w:right="3279" w:hanging="430"/>
        <w:spacing w:after="0" w:line="254"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620" w:right="1440" w:bottom="1440" w:gutter="0" w:footer="0" w:header="0"/>
        </w:sectPr>
      </w:pPr>
    </w:p>
    <w:bookmarkStart w:id="3" w:name="page4"/>
    <w:bookmarkEnd w:id="3"/>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33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November 15, 2004, the closing sale price of our ordinary shares on the New York Stock Exchange was $26.78 per share. You are urged to obtain current market quotations for our ordinary shares.</w:t>
      </w:r>
    </w:p>
    <w:p>
      <w:pPr>
        <w:spacing w:after="0" w:line="330"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334"/>
        </w:trPr>
        <w:tc>
          <w:tcPr>
            <w:tcW w:w="36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THE DATE OF THIS PROSPECTUS IS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ectPr>
          <w:pgSz w:w="11900" w:h="16838" w:orient="portrait"/>
          <w:cols w:equalWidth="0" w:num="1">
            <w:col w:w="10239"/>
          </w:cols>
          <w:pgMar w:left="220" w:top="620" w:right="1440" w:bottom="1440" w:gutter="0" w:footer="0" w:header="0"/>
        </w:sectPr>
      </w:pPr>
    </w:p>
    <w:bookmarkStart w:id="4" w:name="page5"/>
    <w:bookmarkEnd w:id="4"/>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SUMMARY HISTORICAL CONSOLIDATED FINANCIAL INFORMATION</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RATIO OF EARNINGS TO FIXED CHARGES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MATERIAL CHANGES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VOTING/INVESTMENT CONTROL TABLE</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77</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331"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330" w:lineRule="exact"/>
        <w:rPr>
          <w:sz w:val="20"/>
          <w:szCs w:val="20"/>
          <w:color w:val="auto"/>
        </w:rPr>
      </w:pPr>
    </w:p>
    <w:p>
      <w:pPr>
        <w:ind w:left="1220" w:right="33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331"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6" w:name="page7"/>
    <w:bookmarkEnd w:id="6"/>
    <w:p>
      <w:pPr>
        <w:ind w:left="1220" w:right="3279"/>
        <w:spacing w:after="0" w:line="253"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65" w:lineRule="exact"/>
        <w:rPr>
          <w:sz w:val="20"/>
          <w:szCs w:val="20"/>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3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we repurchased approximately 4.9 million ordinary shares, at an average price of $20.40 per share.</w:t>
      </w:r>
    </w:p>
    <w:p>
      <w:pPr>
        <w:spacing w:after="0" w:line="200" w:lineRule="exact"/>
        <w:rPr>
          <w:sz w:val="20"/>
          <w:szCs w:val="20"/>
          <w:color w:val="auto"/>
        </w:rPr>
      </w:pPr>
    </w:p>
    <w:p>
      <w:pPr>
        <w:spacing w:after="0" w:line="29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3, 2004, we announced our financial results for the quarter ended September 30, 2004. For the quarter ended September 30, 2004, our revenue was $452.5 million. Our net income for the quarter ended September 30, 2004 was $61.6 million. In the fiscal year ended September 30, 2004, revenue was $1.774 billion. Our net income for the fiscal year ended September 30, 2004 was $234.9 million.</w:t>
      </w:r>
    </w:p>
    <w:p>
      <w:pPr>
        <w:spacing w:after="0" w:line="33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0" w:gutter="0" w:footer="0" w:header="0"/>
        </w:sectPr>
      </w:pPr>
    </w:p>
    <w:bookmarkStart w:id="7" w:name="page8"/>
    <w:bookmarkEnd w:id="7"/>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8" w:name="page9"/>
    <w:bookmarkEnd w:id="8"/>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June 30, 2003 are liabilities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subsidiaries.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9" w:name="page10"/>
    <w:bookmarkEnd w:id="9"/>
    <w:p>
      <w:pPr>
        <w:ind w:left="3140" w:right="3279" w:hanging="788"/>
        <w:spacing w:after="0" w:line="252"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11" w:name="page12"/>
    <w:bookmarkEnd w:id="11"/>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p>
      <w:pPr>
        <w:ind w:right="3980" w:firstLine="781"/>
        <w:spacing w:after="0" w:line="252"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tcPr>
          <w:p>
            <w:pPr>
              <w:spacing w:after="0"/>
              <w:rPr>
                <w:sz w:val="24"/>
                <w:szCs w:val="24"/>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$2,897,972</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8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620" w:right="739" w:bottom="1440" w:gutter="0" w:footer="0" w:header="0"/>
        </w:sectPr>
      </w:pPr>
    </w:p>
    <w:bookmarkStart w:id="12" w:name="page13"/>
    <w:bookmarkEnd w:id="12"/>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we repurchased approximately 4.9 million ordinary shares, at an average price of $20.40 per share.</w:t>
      </w:r>
    </w:p>
    <w:p>
      <w:pPr>
        <w:spacing w:after="0" w:line="200" w:lineRule="exact"/>
        <w:rPr>
          <w:sz w:val="20"/>
          <w:szCs w:val="20"/>
          <w:color w:val="auto"/>
        </w:rPr>
      </w:pPr>
    </w:p>
    <w:p>
      <w:pPr>
        <w:spacing w:after="0" w:line="30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212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0"/>
              </w:rPr>
              <w: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53"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3" w:name="page14"/>
    <w:bookmarkEnd w:id="13"/>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30" w:lineRule="exact"/>
        <w:rPr>
          <w:sz w:val="20"/>
          <w:szCs w:val="20"/>
          <w:color w:val="auto"/>
        </w:rPr>
      </w:pPr>
    </w:p>
    <w:p>
      <w:pPr>
        <w:jc w:val="both"/>
        <w:ind w:left="440" w:right="3899"/>
        <w:spacing w:after="0" w:line="255"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640" w:gutter="0" w:footer="0" w:header="0"/>
        </w:sectPr>
      </w:pPr>
    </w:p>
    <w:bookmarkStart w:id="14" w:name="page15"/>
    <w:bookmarkEnd w:id="14"/>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64"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September 30, 2004, it beneficially owned approximately 6.3% of our outstanding ordinary shares. The loss of any significant customer or a significant decrease in business from any such customer could harm our results of operations and financial condition.</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332" w:lineRule="exact"/>
        <w:rPr>
          <w:sz w:val="20"/>
          <w:szCs w:val="20"/>
          <w:color w:val="auto"/>
        </w:rPr>
      </w:pPr>
    </w:p>
    <w:p>
      <w:pPr>
        <w:jc w:val="both"/>
        <w:ind w:left="440" w:right="4059"/>
        <w:spacing w:after="0" w:line="255"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29"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7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974" w:gutter="0" w:footer="0" w:header="0"/>
        </w:sectPr>
      </w:pPr>
    </w:p>
    <w:bookmarkStart w:id="16" w:name="page17"/>
    <w:bookmarkEnd w:id="16"/>
    <w:p>
      <w:pPr>
        <w:ind w:right="3379"/>
        <w:spacing w:after="0" w:line="254"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73"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73"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7" w:name="page18"/>
    <w:bookmarkEnd w:id="17"/>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162"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8" w:name="page19"/>
    <w:bookmarkEnd w:id="18"/>
    <w:p>
      <w:pPr>
        <w:ind w:left="440" w:right="3279"/>
        <w:spacing w:after="0" w:line="260"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32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162" w:lineRule="exact"/>
        <w:rPr>
          <w:sz w:val="20"/>
          <w:szCs w:val="20"/>
          <w:color w:val="auto"/>
        </w:rPr>
      </w:pPr>
    </w:p>
    <w:p>
      <w:pPr>
        <w:ind w:left="440" w:right="4679"/>
        <w:spacing w:after="0" w:line="25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9" w:name="page20"/>
    <w:bookmarkEnd w:id="19"/>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0" w:name="page21"/>
    <w:bookmarkEnd w:id="20"/>
    <w:p>
      <w:pPr>
        <w:spacing w:after="0" w:line="7"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62"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w:t>
      </w:r>
    </w:p>
    <w:p>
      <w:pPr>
        <w:sectPr>
          <w:pgSz w:w="11900" w:h="16846" w:orient="portrait"/>
          <w:cols w:equalWidth="0" w:num="1">
            <w:col w:w="10239"/>
          </w:cols>
          <w:pgMar w:left="220" w:top="620" w:right="1440" w:bottom="0" w:gutter="0" w:footer="0" w:header="0"/>
        </w:sectPr>
      </w:pPr>
    </w:p>
    <w:bookmarkStart w:id="21" w:name="page22"/>
    <w:bookmarkEnd w:id="21"/>
    <w:p>
      <w:pPr>
        <w:ind w:right="3379"/>
        <w:spacing w:after="0" w:line="254" w:lineRule="auto"/>
        <w:rPr>
          <w:sz w:val="20"/>
          <w:szCs w:val="20"/>
          <w:color w:val="auto"/>
        </w:rPr>
      </w:pPr>
      <w:r>
        <w:rPr>
          <w:rFonts w:ascii="Courier New" w:cs="Courier New" w:eastAsia="Courier New" w:hAnsi="Courier New"/>
          <w:sz w:val="14"/>
          <w:szCs w:val="14"/>
          <w:color w:val="auto"/>
        </w:rPr>
        <w:t>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2004, our ordinary shares traded as high as $30.69 per share and as low as $18.08 per share. During fiscal year 2003, our ordinary shares traded as high as $27.25 per share and as low as $5.85 per share.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22" w:name="page23"/>
    <w:bookmarkEnd w:id="22"/>
    <w:p>
      <w:pPr>
        <w:ind w:right="337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November 15, 2004, the closing price of our ordinary shares was $26.78 per share. Many factors could cause the market price of our ordinary shares to rise and fall, including:</w:t>
      </w:r>
    </w:p>
    <w:p>
      <w:pPr>
        <w:spacing w:after="0" w:line="329"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7" w:right="1440" w:bottom="1440" w:gutter="0" w:footer="0" w:header="0"/>
        </w:sectPr>
      </w:pPr>
    </w:p>
    <w:bookmarkStart w:id="23" w:name="page24"/>
    <w:bookmarkEnd w:id="23"/>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16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4" w:name="page25"/>
    <w:bookmarkEnd w:id="24"/>
    <w:p>
      <w:pPr>
        <w:ind w:left="1320" w:right="3639" w:hanging="530"/>
        <w:spacing w:after="0" w:line="254"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5" w:name="page26"/>
    <w:bookmarkEnd w:id="25"/>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6" w:name="page27"/>
    <w:bookmarkEnd w:id="26"/>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7" w:name="page28"/>
    <w:bookmarkEnd w:id="27"/>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we repurchased approximately 4.9 million ordinary shares, at an average price of $20.40 per share.</w:t>
      </w:r>
    </w:p>
    <w:p>
      <w:pPr>
        <w:spacing w:after="0" w:line="332"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8" w:name="page29"/>
    <w:bookmarkEnd w:id="28"/>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(through November 15,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20.70</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September,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October,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bl>
    <w:p>
      <w:pPr>
        <w:spacing w:after="0" w:line="200" w:lineRule="exact"/>
        <w:rPr>
          <w:sz w:val="20"/>
          <w:szCs w:val="20"/>
          <w:color w:val="auto"/>
        </w:rPr>
      </w:pPr>
    </w:p>
    <w:p>
      <w:pPr>
        <w:spacing w:after="0" w:line="30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September 30, 2004, we had 201,334,057 ordinary shares outstanding and there were approximately 240 holders of record of our ordinary shares. This figure does not reflect persons or entities who hold their ordinary shares in nominee or "street" name through various brokerage firms.</w:t>
      </w:r>
    </w:p>
    <w:p>
      <w:pPr>
        <w:spacing w:after="0" w:line="330"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On November 15, 2004, the last reported sale price of our ordinary shares on the NYSE was $26.78.</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0" w:name="page31"/>
    <w:bookmarkEnd w:id="30"/>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following table sets forth our unaudited actual consolidated capitalization as of June 30, 2004.</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r>
      <w:tr>
        <w:trPr>
          <w:trHeight w:val="835"/>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r>
    </w:tbl>
    <w:p>
      <w:pPr>
        <w:spacing w:after="0" w:line="4"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379" w:hanging="439"/>
        <w:spacing w:after="0" w:line="254"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September 30, 2004, there were 201,334,057 ordinary shares outstanding.</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7" w:right="1440" w:bottom="1440" w:gutter="0" w:footer="0" w:header="0"/>
        </w:sectPr>
      </w:pPr>
    </w:p>
    <w:bookmarkStart w:id="31" w:name="page32"/>
    <w:bookmarkEnd w:id="31"/>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2" w:name="page33"/>
    <w:bookmarkEnd w:id="32"/>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3" w:name="page34"/>
    <w:bookmarkEnd w:id="33"/>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4" w:name="page35"/>
    <w:bookmarkEnd w:id="34"/>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5" w:name="page36"/>
    <w:bookmarkEnd w:id="35"/>
    <w:p>
      <w:pPr>
        <w:jc w:val="both"/>
        <w:ind w:left="1320" w:right="3459" w:hanging="530"/>
        <w:spacing w:after="0" w:line="25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6" w:name="page37"/>
    <w:bookmarkEnd w:id="36"/>
    <w:p>
      <w:pPr>
        <w:ind w:left="1740" w:right="3279" w:hanging="429"/>
        <w:spacing w:after="0" w:line="25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65" w:lineRule="exact"/>
        <w:rPr>
          <w:sz w:val="20"/>
          <w:szCs w:val="20"/>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8" w:name="page39"/>
    <w:bookmarkEnd w:id="38"/>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9" w:name="page40"/>
    <w:bookmarkEnd w:id="39"/>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40" w:name="page41"/>
    <w:bookmarkEnd w:id="40"/>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3" w:name="page44"/>
    <w:bookmarkEnd w:id="43"/>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4" w:name="page45"/>
    <w:bookmarkEnd w:id="44"/>
    <w:p>
      <w:pPr>
        <w:ind w:left="1320" w:right="353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5" w:name="page46"/>
    <w:bookmarkEnd w:id="45"/>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6" w:name="page47"/>
    <w:bookmarkEnd w:id="46"/>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7" w:name="page48"/>
    <w:bookmarkEnd w:id="47"/>
    <w:p>
      <w:pPr>
        <w:ind w:left="1320" w:right="345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16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2"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8" w:name="page49"/>
    <w:bookmarkEnd w:id="48"/>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9" w:name="page50"/>
    <w:bookmarkEnd w:id="49"/>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September 30, 2004, 201,334,057 ordinary shares were outstanding (net of treasury shares) and no non-voting ordinary shares or preferred shares were outstanding. The rights, preferences and restrictions attaching to each class of the shares are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50" w:name="page51"/>
    <w:bookmarkEnd w:id="50"/>
    <w:p>
      <w:pPr>
        <w:ind w:left="530" w:right="33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51" w:name="page52"/>
    <w:bookmarkEnd w:id="51"/>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2" w:name="page53"/>
    <w:bookmarkEnd w:id="52"/>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3" w:name="page54"/>
    <w:bookmarkEnd w:id="53"/>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5" w:name="page56"/>
    <w:bookmarkEnd w:id="55"/>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6" w:name="page57"/>
    <w:bookmarkEnd w:id="56"/>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7" w:name="page58"/>
    <w:bookmarkEnd w:id="57"/>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8" w:name="page59"/>
    <w:bookmarkEnd w:id="58"/>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201,334,057 of our ordinary shares outstanding as of September 30, 2004.</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9" w:name="page60"/>
    <w:bookmarkEnd w:id="59"/>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International E MAC 63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161,294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3013</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Hamilton, HMMX Bermuda</w:t>
      </w:r>
    </w:p>
    <w:p>
      <w:pPr>
        <w:sectPr>
          <w:pgSz w:w="11900" w:h="16838" w:orient="portrait"/>
          <w:cols w:equalWidth="0" w:num="1">
            <w:col w:w="11540"/>
          </w:cols>
          <w:pgMar w:left="220" w:top="1440" w:right="1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Credit Suisse First Boston Europe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Credit Suisse First Boston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Reorg. Department - 2nd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22,662,000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525,556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38" w:orient="portrait"/>
          <w:cols w:equalWidth="0" w:num="1">
            <w:col w:w="11040"/>
          </w:cols>
          <w:pgMar w:left="220" w:top="308" w:right="639" w:bottom="0" w:gutter="0" w:footer="0" w:header="0"/>
        </w:sectPr>
      </w:pPr>
    </w:p>
    <w:bookmarkStart w:id="61" w:name="page62"/>
    <w:bookmarkEnd w:id="6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7,319,000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GLG Market Neutral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GLG Partners LP</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Curzon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WIJ5HB United Kingdom</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JP Morgan Securities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500 Stanton Christiana Road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Newark, DE 19713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62" w:name="page63"/>
    <w:bookmarkEnd w:id="6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Lehman Brothers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24,350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745 Seventh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Lord Abbett Investment Trust - LA Convertible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Global Opportunities Master Fund Limited.......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Overseas Partners Master Fund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 Master Fund Ref: Argent/LowLev CB c/o</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Bank of Canada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Benefit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Nomura Securities Int'l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10281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Partners Group Alternative Strategies PCC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Primerica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R2 Investments, LDC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Asset Assurance,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Group Convertible Securities...................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Capital Group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2" w:right="639" w:bottom="0" w:gutter="0" w:footer="0" w:header="0"/>
        </w:sectPr>
      </w:pPr>
    </w:p>
    <w:bookmarkStart w:id="63" w:name="page64"/>
    <w:bookmarkEnd w:id="6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Ramius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RCG Halifax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RCG Latitude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RCG Multi Strategy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Royal Bank of Canada (Norshield)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Silver Convertible Arbitrage Fund,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Sphinx Convertible Arbitrage Fund SPC.................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Deephaven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Domestic Convertible Trading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State of Florida Division of Treasury................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Froley Revy Investment Co.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10900 Wilshire Blvd. Ste. 900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Los Angeles, CA 90024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America..............................................</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730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Thomas Weisel Partners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81,168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Thomas Weisel Partners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 Montgomery Street, 37th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Francisco, CA 94104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Thrivent Financial For Lutherans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Total Fina Elf</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Finance USA,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Insurance Company - Life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Insurance Company Separate Account</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TLAC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Travelers Life</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and Annuity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University of Arkansas................................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Univest Convertible Arbitrage Fund II LTD</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(Norshield)...........................................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Vermont Mutual Insurance Company......................</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Wachovia Securities International Ltd. (1)(2).........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115,955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201 S. College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Charlotte, NC 28214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White River Securities L.L.C.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Worldwide Transactions Ltd............................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Worldwide Transactions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Xavex Convertible Arbitrage 5 Fund....................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Xavex Convertible Arbitrage 10 Fund...................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Xavex Convertible Arbitrage 2 Fund....................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pledgee, donee or successor of any holder (3).......</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95,315,000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2,210,504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040"/>
          </w:cols>
          <w:pgMar w:left="220" w:top="141" w:right="639" w:bottom="1440" w:gutter="0" w:footer="0" w:header="0"/>
        </w:sectPr>
      </w:pPr>
    </w:p>
    <w:bookmarkStart w:id="65" w:name="page66"/>
    <w:bookmarkEnd w:id="65"/>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791" w:right="3379" w:hanging="531"/>
        <w:spacing w:after="0" w:line="254"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62" w:lineRule="exact"/>
        <w:rPr>
          <w:rFonts w:ascii="Courier New" w:cs="Courier New" w:eastAsia="Courier New" w:hAnsi="Courier New"/>
          <w:sz w:val="14"/>
          <w:szCs w:val="14"/>
          <w:color w:val="auto"/>
        </w:rPr>
      </w:pPr>
    </w:p>
    <w:p>
      <w:pPr>
        <w:ind w:left="791" w:right="3979" w:hanging="531"/>
        <w:spacing w:after="0" w:line="25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159" w:lineRule="exact"/>
        <w:rPr>
          <w:rFonts w:ascii="Courier New" w:cs="Courier New" w:eastAsia="Courier New" w:hAnsi="Courier New"/>
          <w:sz w:val="14"/>
          <w:szCs w:val="14"/>
          <w:color w:val="auto"/>
        </w:rPr>
      </w:pPr>
    </w:p>
    <w:p>
      <w:pPr>
        <w:ind w:left="791" w:right="3379" w:hanging="531"/>
        <w:spacing w:after="0" w:line="253"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6" w:name="page67"/>
    <w:bookmarkEnd w:id="66"/>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ectPr>
          <w:pgSz w:w="11900" w:h="16838" w:orient="portrait"/>
          <w:cols w:equalWidth="0" w:num="1">
            <w:col w:w="10260"/>
          </w:cols>
          <w:pgMar w:left="220" w:top="4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SELLING SECURITYHOLDER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NATURAL PERSON OR PERSONS WITH VOTING/INVESTMENT CONTROL --------------------------------------------------------</w:t>
      </w:r>
    </w:p>
    <w:p>
      <w:pPr>
        <w:spacing w:after="0" w:line="200" w:lineRule="exact"/>
        <w:rPr>
          <w:sz w:val="20"/>
          <w:szCs w:val="20"/>
          <w:color w:val="auto"/>
        </w:rPr>
      </w:pPr>
    </w:p>
    <w:p>
      <w:pPr>
        <w:sectPr>
          <w:pgSz w:w="11900" w:h="16838" w:orient="portrait"/>
          <w:cols w:equalWidth="0" w:num="2">
            <w:col w:w="4680" w:space="720"/>
            <w:col w:w="4860"/>
          </w:cols>
          <w:pgMar w:left="220" w:top="453" w:right="141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Acuity Master Fund, Ltd. .....................................Howard Needle and David J. Harris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Life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Master Fund I, LP. ........................................Adam Stern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International E MAC 63 Ltd. ...............................Adam Sterm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Investors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AmerUs Life Insurance Company.................................Thomas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Animi Master Fund, Ltd.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Arbitex Master Fund L.P. .....................................Clark Hunt, Jonathan Bren and Ken Tananbaum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(Bermuda)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II,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II,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Life Insurance Company of New York....................Thomas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 .....................................Yan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Convertible Offshore LDC........................Clint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Offshore Ltd.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Credit Trading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Equity Fund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Citigroup Global Markets Inc.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Trading Company,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Commissioners of the Land Office..............................Maren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Fund, LP.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Offshore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Bostan Europe Ltd.........................Gerry Murtagh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 Investments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Deephaven Domestic Convertible Trading Ltd.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Diaco Investments LP. ........................................Simon Glick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Double Black Diamond Offshore LDC.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Firefighters Pension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GLG Market Neutral Fund.......................................(7)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Guggenheim Portfolio Co. XV, LLC.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HFR CA Global Select Master Trust Account.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HSBC Asset Management (Americas) Inc. for the HSBC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Multi-Strategy Arbitrage Fund.................................Warren Stein and John Moore Stanley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Huntrise Capital Leveraged Partners, LLC.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Indianapolis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Inflective Convertible Opportunity Fund I, L.P. ..............Thomas J. Ray</w:t>
      </w:r>
    </w:p>
    <w:p>
      <w:pPr>
        <w:sectPr>
          <w:pgSz w:w="11900" w:h="16838" w:orient="portrait"/>
          <w:cols w:equalWidth="0" w:num="1">
            <w:col w:w="10260"/>
          </w:cols>
          <w:pgMar w:left="220" w:top="453" w:right="1419" w:bottom="0" w:gutter="0" w:footer="0" w:header="0"/>
          <w:type w:val="continuous"/>
        </w:sectPr>
      </w:pPr>
    </w:p>
    <w:bookmarkStart w:id="67" w:name="page68"/>
    <w:bookmarkEnd w:id="67"/>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Inflective Convertible Opportunity Fund I,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Injured Workers Insurance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Jefferies Umbrella Fund US Convertible Bonds..................Andre Sager and Evelyne Kaser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 ....................................Craig Petherick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KBC Financial Products USA Inc.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Brothers...............................................Kevin Lowe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Overseas Partners Master Fund..........................(9)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Global Opportunities Master Fund Limited...............(9)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Lyxor/AM Investment Fund LTD.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Lyxor/Context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Lyxor/Inflective Convertible Opportunity Fund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 Master Fund Ref: Argent/LowLev CB c/o Argent............Nathanial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Canada.......................................Michael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Benefit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Nomura Securities Int'l Inc. .................................Simon Pharr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Group Alternative Strategies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Primerica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R2 Investments, LDC.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Asset Assurance,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Group Convertible Securities...........................Maren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Guaranty...............................................Maren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Capital Group..........................................Alex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Halifax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Latitude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Multi Strategy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Silver Convertible Arbitrage Fund, LDC.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Sphinx Convertible Arbitrage Fund SPC.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Florida Division of Treasury.........................Ann Houlihan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America.........Elizabeth Black and Edward L. Toy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Thrivent Financial For Lutherans..............................(11)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Weisel Partners........................................Tim Heekin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Fina Elf Finance USA,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 Life............................David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Separate Account TLAC.............David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Life and Annuity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Series Trust Convertible Bond Portfolio.............David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Univest Convertible Arbitrage Fund II LTD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Vermont Mutual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Wachovia Securities International Ltd.........................Evic Peyton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River Securities L.L.C..................................Yan Erlikh &amp; David Liebowitz</w:t>
      </w:r>
    </w:p>
    <w:p>
      <w:pPr>
        <w:sectPr>
          <w:pgSz w:w="11900" w:h="16858" w:orient="portrait"/>
          <w:cols w:equalWidth="0" w:num="1">
            <w:col w:w="10239"/>
          </w:cols>
          <w:pgMar w:left="220" w:top="142" w:right="1440" w:bottom="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2"/>
        </w:trPr>
        <w:tc>
          <w:tcPr>
            <w:tcW w:w="2400" w:type="dxa"/>
            <w:vAlign w:val="bottom"/>
            <w:gridSpan w:val="3"/>
          </w:tcPr>
          <w:p>
            <w:pPr>
              <w:spacing w:after="0"/>
              <w:rPr>
                <w:sz w:val="20"/>
                <w:szCs w:val="20"/>
                <w:color w:val="auto"/>
              </w:rPr>
            </w:pPr>
            <w:r>
              <w:rPr>
                <w:rFonts w:ascii="Courier New" w:cs="Courier New" w:eastAsia="Courier New" w:hAnsi="Courier New"/>
                <w:sz w:val="14"/>
                <w:szCs w:val="14"/>
                <w:color w:val="auto"/>
              </w:rPr>
              <w:t>Worldwide Transactions Ltd.</w:t>
            </w: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(12)</w:t>
            </w:r>
          </w:p>
        </w:tc>
      </w:tr>
      <w:tr>
        <w:trPr>
          <w:trHeight w:val="334"/>
        </w:trPr>
        <w:tc>
          <w:tcPr>
            <w:tcW w:w="2400" w:type="dxa"/>
            <w:vAlign w:val="bottom"/>
            <w:gridSpan w:val="3"/>
          </w:tcPr>
          <w:p>
            <w:pPr>
              <w:spacing w:after="0"/>
              <w:rPr>
                <w:sz w:val="20"/>
                <w:szCs w:val="20"/>
                <w:color w:val="auto"/>
              </w:rPr>
            </w:pPr>
            <w:r>
              <w:rPr>
                <w:rFonts w:ascii="Courier New" w:cs="Courier New" w:eastAsia="Courier New" w:hAnsi="Courier New"/>
                <w:sz w:val="14"/>
                <w:szCs w:val="14"/>
                <w:color w:val="auto"/>
              </w:rPr>
              <w:t>Xavex Convertible Arbitrage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Alex Adair</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Xavex</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Arbitrage</w:t>
            </w:r>
          </w:p>
        </w:tc>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 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Xavex</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Arbitrage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63"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164"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162" w:lineRule="exact"/>
        <w:rPr>
          <w:rFonts w:ascii="Courier New" w:cs="Courier New" w:eastAsia="Courier New" w:hAnsi="Courier New"/>
          <w:sz w:val="14"/>
          <w:szCs w:val="14"/>
          <w:color w:val="auto"/>
        </w:rPr>
      </w:pPr>
    </w:p>
    <w:p>
      <w:pPr>
        <w:ind w:left="800" w:right="33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164" w:lineRule="exact"/>
        <w:rPr>
          <w:rFonts w:ascii="Courier New" w:cs="Courier New" w:eastAsia="Courier New" w:hAnsi="Courier New"/>
          <w:sz w:val="14"/>
          <w:szCs w:val="14"/>
          <w:color w:val="auto"/>
        </w:rPr>
      </w:pPr>
    </w:p>
    <w:p>
      <w:pPr>
        <w:ind w:left="800" w:right="3899" w:hanging="791"/>
        <w:spacing w:after="0" w:line="25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162" w:lineRule="exact"/>
        <w:rPr>
          <w:rFonts w:ascii="Courier New" w:cs="Courier New" w:eastAsia="Courier New" w:hAnsi="Courier New"/>
          <w:sz w:val="14"/>
          <w:szCs w:val="14"/>
          <w:color w:val="auto"/>
        </w:rPr>
      </w:pPr>
    </w:p>
    <w:p>
      <w:pPr>
        <w:ind w:left="800" w:right="4239" w:hanging="791"/>
        <w:spacing w:after="0" w:line="258"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159"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62" w:lineRule="exact"/>
        <w:rPr>
          <w:rFonts w:ascii="Courier New" w:cs="Courier New" w:eastAsia="Courier New" w:hAnsi="Courier New"/>
          <w:sz w:val="14"/>
          <w:szCs w:val="14"/>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163" w:lineRule="exact"/>
        <w:rPr>
          <w:rFonts w:ascii="Courier New" w:cs="Courier New" w:eastAsia="Courier New" w:hAnsi="Courier New"/>
          <w:sz w:val="14"/>
          <w:szCs w:val="14"/>
          <w:color w:val="auto"/>
        </w:rPr>
      </w:pPr>
    </w:p>
    <w:p>
      <w:pPr>
        <w:jc w:val="both"/>
        <w:ind w:left="800" w:right="3379" w:hanging="791"/>
        <w:spacing w:after="0" w:line="252"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80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175"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308" w:right="1440" w:bottom="785" w:gutter="0" w:footer="0" w:header="0"/>
        </w:sectPr>
      </w:pPr>
    </w:p>
    <w:bookmarkStart w:id="69" w:name="page70"/>
    <w:bookmarkEnd w:id="69"/>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330" w:lineRule="exact"/>
        <w:rPr>
          <w:sz w:val="20"/>
          <w:szCs w:val="20"/>
          <w:color w:val="auto"/>
        </w:rPr>
      </w:pPr>
    </w:p>
    <w:p>
      <w:pPr>
        <w:jc w:val="both"/>
        <w:ind w:left="1320" w:right="327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70" w:name="page71"/>
    <w:bookmarkEnd w:id="70"/>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71" w:name="page72"/>
    <w:bookmarkEnd w:id="71"/>
    <w:p>
      <w:pPr>
        <w:spacing w:after="0" w:line="1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163"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Carey Olson has rendered an opinion as to the validity of the Notes and Wilmer Cutler Pickering Hale and Dorr LLP has rendered an opinion that the Notes are binding obligations of the Company under the laws of the state of New York.</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foregoing opinions are exhibits to the registration statement of which this prospectus is included and are subject to the qualifications and assumptions set forth in such opinions.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20-F/A Amendment No. 1)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2"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pacing w:after="0" w:line="329" w:lineRule="exact"/>
        <w:rPr>
          <w:sz w:val="20"/>
          <w:szCs w:val="20"/>
          <w:color w:val="auto"/>
        </w:rPr>
      </w:pPr>
    </w:p>
    <w:p>
      <w:pPr>
        <w:ind w:left="800" w:right="3539" w:hanging="791"/>
        <w:spacing w:after="0" w:line="255"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159" w:lineRule="exact"/>
        <w:rPr>
          <w:rFonts w:ascii="Courier New" w:cs="Courier New" w:eastAsia="Courier New" w:hAnsi="Courier New"/>
          <w:sz w:val="14"/>
          <w:szCs w:val="14"/>
          <w:color w:val="auto"/>
        </w:rPr>
      </w:pPr>
    </w:p>
    <w:p>
      <w:pPr>
        <w:ind w:left="1220" w:right="3719" w:hanging="430"/>
        <w:spacing w:after="0" w:line="252"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ind w:left="1220" w:right="353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w:t>
      </w:r>
    </w:p>
    <w:p>
      <w:pPr>
        <w:sectPr>
          <w:pgSz w:w="11900" w:h="16851" w:orient="portrait"/>
          <w:cols w:equalWidth="0" w:num="1">
            <w:col w:w="10239"/>
          </w:cols>
          <w:pgMar w:left="220" w:top="453" w:right="1440" w:bottom="0" w:gutter="0" w:footer="0" w:header="0"/>
        </w:sectPr>
      </w:pPr>
    </w:p>
    <w:bookmarkStart w:id="72" w:name="page73"/>
    <w:bookmarkEnd w:id="72"/>
    <w:p>
      <w:pPr>
        <w:ind w:left="1211"/>
        <w:spacing w:after="0"/>
        <w:rPr>
          <w:sz w:val="20"/>
          <w:szCs w:val="20"/>
          <w:color w:val="auto"/>
        </w:rPr>
      </w:pPr>
      <w:r>
        <w:rPr>
          <w:rFonts w:ascii="Courier New" w:cs="Courier New" w:eastAsia="Courier New" w:hAnsi="Courier New"/>
          <w:sz w:val="14"/>
          <w:szCs w:val="14"/>
          <w:color w:val="auto"/>
        </w:rPr>
        <w:t>appearing in the proceedings; or</w:t>
      </w:r>
    </w:p>
    <w:p>
      <w:pPr>
        <w:spacing w:after="0" w:line="8" w:lineRule="exact"/>
        <w:rPr>
          <w:sz w:val="20"/>
          <w:szCs w:val="20"/>
          <w:color w:val="auto"/>
        </w:rPr>
      </w:pPr>
    </w:p>
    <w:p>
      <w:pPr>
        <w:ind w:left="1211" w:right="3379" w:hanging="430"/>
        <w:spacing w:after="0" w:line="252"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63" w:lineRule="exact"/>
        <w:rPr>
          <w:rFonts w:ascii="Courier New" w:cs="Courier New" w:eastAsia="Courier New" w:hAnsi="Courier New"/>
          <w:sz w:val="14"/>
          <w:szCs w:val="14"/>
          <w:color w:val="auto"/>
        </w:rPr>
      </w:pPr>
    </w:p>
    <w:p>
      <w:pPr>
        <w:ind w:left="79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0"/>
          </w:cols>
          <w:pgMar w:left="229" w:top="141" w:right="1440" w:bottom="1440" w:gutter="0" w:footer="0" w:header="0"/>
        </w:sectPr>
      </w:pPr>
    </w:p>
    <w:bookmarkStart w:id="73" w:name="page74"/>
    <w:bookmarkEnd w:id="73"/>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62" w:lineRule="exact"/>
        <w:rPr>
          <w:sz w:val="20"/>
          <w:szCs w:val="20"/>
          <w:color w:val="auto"/>
        </w:rPr>
      </w:pPr>
    </w:p>
    <w:p>
      <w:pPr>
        <w:ind w:left="1220" w:right="327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our annual report on Form 20-F for the fiscal year ended September 30, 2003, filed on September 21, 2004;</w:t>
      </w:r>
    </w:p>
    <w:p>
      <w:pPr>
        <w:spacing w:after="0" w:line="159"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filed on September 30, 2004 and October 1, 2004; and</w:t>
      </w:r>
    </w:p>
    <w:p>
      <w:pPr>
        <w:spacing w:after="0" w:line="326"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200" w:lineRule="exact"/>
        <w:rPr>
          <w:sz w:val="20"/>
          <w:szCs w:val="20"/>
          <w:color w:val="auto"/>
        </w:rPr>
      </w:pPr>
    </w:p>
    <w:p>
      <w:pPr>
        <w:spacing w:after="0" w:line="297"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33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2"/>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847,600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940"/>
          </w:cols>
          <w:pgMar w:left="220" w:top="453" w:right="739" w:bottom="1440" w:gutter="0" w:footer="0" w:header="0"/>
        </w:sectPr>
      </w:pPr>
    </w:p>
    <w:bookmarkStart w:id="75" w:name="page76"/>
    <w:bookmarkEnd w:id="7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51,176</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215,786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453" w:right="1440" w:bottom="1440" w:gutter="0" w:footer="0" w:header="0"/>
        </w:sectPr>
      </w:pPr>
    </w:p>
    <w:bookmarkStart w:id="76" w:name="page77"/>
    <w:bookmarkEnd w:id="7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35"/>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r>
      <w:tr>
        <w:trPr>
          <w:trHeight w:val="167"/>
        </w:trPr>
        <w:tc>
          <w:tcPr>
            <w:tcW w:w="26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w:t>
            </w: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$ 1,591,600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173,278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(1,227)</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(307,471)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7" w:right="1440" w:bottom="0" w:gutter="0" w:footer="0" w:header="0"/>
        </w:sectPr>
      </w:pPr>
    </w:p>
    <w:bookmarkStart w:id="77" w:name="page78"/>
    <w:bookmarkEnd w:id="77"/>
    <w:p>
      <w:pPr>
        <w:ind w:right="3539"/>
        <w:spacing w:after="0" w:line="254"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142" w:right="1440" w:bottom="1440" w:gutter="0" w:footer="0" w:header="0"/>
        </w:sectPr>
      </w:pPr>
    </w:p>
    <w:bookmarkStart w:id="78" w:name="page79"/>
    <w:bookmarkEnd w:id="7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69,973</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631,845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79" w:name="page80"/>
    <w:bookmarkEnd w:id="79"/>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60" w:lineRule="exact"/>
        <w:rPr>
          <w:sz w:val="20"/>
          <w:szCs w:val="20"/>
          <w:color w:val="auto"/>
        </w:rPr>
      </w:pPr>
    </w:p>
    <w:p>
      <w:pPr>
        <w:ind w:left="800" w:right="6059" w:hanging="791"/>
        <w:spacing w:after="0" w:line="50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331"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53" w:right="1440" w:bottom="1440" w:gutter="0" w:footer="0" w:header="0"/>
        </w:sectPr>
      </w:pPr>
    </w:p>
    <w:bookmarkStart w:id="80" w:name="page81"/>
    <w:bookmarkEnd w:id="80"/>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9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8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(47,189)</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9799"/>
          </w:cols>
          <w:pgMar w:left="660" w:top="620" w:right="1440" w:bottom="1440" w:gutter="0" w:footer="0" w:header="0"/>
        </w:sectPr>
      </w:pPr>
    </w:p>
    <w:bookmarkStart w:id="81" w:name="page82"/>
    <w:bookmarkEnd w:id="81"/>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64" w:lineRule="exact"/>
        <w:rPr>
          <w:sz w:val="20"/>
          <w:szCs w:val="20"/>
          <w:color w:val="auto"/>
        </w:rPr>
      </w:pPr>
    </w:p>
    <w:p>
      <w:pPr>
        <w:ind w:left="800" w:hanging="791"/>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64"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r>
    </w:tbl>
    <w:p>
      <w:pPr>
        <w:spacing w:after="0" w:line="338"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1,662</w:t>
      </w:r>
    </w:p>
    <w:p>
      <w:pPr>
        <w:spacing w:after="0" w:line="175" w:lineRule="exact"/>
        <w:rPr>
          <w:sz w:val="20"/>
          <w:szCs w:val="20"/>
          <w:color w:val="auto"/>
        </w:rPr>
      </w:pPr>
    </w:p>
    <w:p>
      <w:pPr>
        <w:sectPr>
          <w:pgSz w:w="11900" w:h="16838" w:orient="portrait"/>
          <w:cols w:equalWidth="0" w:num="3">
            <w:col w:w="3560" w:space="360"/>
            <w:col w:w="1300" w:space="340"/>
            <w:col w:w="4679"/>
          </w:cols>
          <w:pgMar w:left="220" w:top="620" w:right="1440" w:bottom="1440" w:gutter="0" w:footer="0" w:header="0"/>
          <w:type w:val="continuous"/>
        </w:sectPr>
      </w:pPr>
    </w:p>
    <w:p>
      <w:pPr>
        <w:ind w:left="960" w:right="3279" w:hanging="951"/>
        <w:spacing w:after="0" w:line="254" w:lineRule="auto"/>
        <w:tabs>
          <w:tab w:leader="none" w:pos="9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type w:val="continuous"/>
        </w:sectPr>
      </w:pPr>
    </w:p>
    <w:bookmarkStart w:id="82" w:name="page83"/>
    <w:bookmarkEnd w:id="8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3"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15,285</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3240" w:type="dxa"/>
            <w:vAlign w:val="bottom"/>
            <w:gridSpan w:val="2"/>
          </w:tcPr>
          <w:p>
            <w:pPr>
              <w:ind w:left="1980"/>
              <w:spacing w:after="0"/>
              <w:rPr>
                <w:sz w:val="20"/>
                <w:szCs w:val="20"/>
                <w:color w:val="auto"/>
              </w:rPr>
            </w:pPr>
            <w:r>
              <w:rPr>
                <w:rFonts w:ascii="Courier New" w:cs="Courier New" w:eastAsia="Courier New" w:hAnsi="Courier New"/>
                <w:sz w:val="9"/>
                <w:szCs w:val="9"/>
                <w:color w:val="auto"/>
                <w:w w:val="76"/>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740" w:type="dxa"/>
            <w:vAlign w:val="bottom"/>
          </w:tcPr>
          <w:p>
            <w:pPr>
              <w:spacing w:after="0"/>
              <w:rPr>
                <w:sz w:val="24"/>
                <w:szCs w:val="24"/>
                <w:color w:val="auto"/>
              </w:rPr>
            </w:pPr>
          </w:p>
        </w:tc>
        <w:tc>
          <w:tcPr>
            <w:tcW w:w="2340" w:type="dxa"/>
            <w:vAlign w:val="bottom"/>
          </w:tcPr>
          <w:p>
            <w:pPr>
              <w:jc w:val="right"/>
              <w:ind w:right="1071"/>
              <w:spacing w:after="0"/>
              <w:rPr>
                <w:sz w:val="20"/>
                <w:szCs w:val="20"/>
                <w:color w:val="auto"/>
              </w:rPr>
            </w:pPr>
            <w:r>
              <w:rPr>
                <w:rFonts w:ascii="Courier New" w:cs="Courier New" w:eastAsia="Courier New" w:hAnsi="Courier New"/>
                <w:sz w:val="14"/>
                <w:szCs w:val="14"/>
                <w:color w:val="auto"/>
              </w:rPr>
              <w:t>67</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83" w:name="page84"/>
    <w:bookmarkEnd w:id="83"/>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258"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7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2004</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00" w:firstLine="260"/>
        <w:spacing w:after="0" w:line="255"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162"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215,786</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right="3300" w:hanging="357"/>
        <w:spacing w:after="0" w:line="253" w:lineRule="auto"/>
        <w:tabs>
          <w:tab w:leader="none" w:pos="12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65"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60"/>
          </w:cols>
          <w:pgMar w:left="220" w:top="620" w:right="1419" w:bottom="306" w:gutter="0" w:footer="0" w:header="0"/>
        </w:sectPr>
      </w:pPr>
    </w:p>
    <w:bookmarkStart w:id="84" w:name="page85"/>
    <w:bookmarkEnd w:id="84"/>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Ordinary Shares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64"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6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64"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53" w:right="1440" w:bottom="1440" w:gutter="0" w:footer="0" w:header="0"/>
        </w:sectPr>
      </w:pPr>
    </w:p>
    <w:bookmarkStart w:id="85" w:name="page86"/>
    <w:bookmarkEnd w:id="85"/>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(33,666)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80,929</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r>
      <w:tr>
        <w:trPr>
          <w:trHeight w:val="334"/>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73,673</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70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799"/>
          </w:cols>
          <w:pgMar w:left="660" w:top="453" w:right="1440" w:bottom="1440" w:gutter="0" w:footer="0" w:header="0"/>
        </w:sectPr>
      </w:pPr>
    </w:p>
    <w:bookmarkStart w:id="86" w:name="page87"/>
    <w:bookmarkEnd w:id="86"/>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4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$29,175</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9799"/>
          </w:cols>
          <w:pgMar w:left="660" w:top="453" w:right="1440" w:bottom="1440" w:gutter="0" w:footer="0" w:header="0"/>
        </w:sectPr>
      </w:pPr>
    </w:p>
    <w:bookmarkStart w:id="87" w:name="page88"/>
    <w:bookmarkEnd w:id="87"/>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5" w:lineRule="exact"/>
        <w:rPr>
          <w:sz w:val="20"/>
          <w:szCs w:val="20"/>
          <w:color w:val="auto"/>
        </w:rPr>
      </w:pPr>
    </w:p>
    <w:p>
      <w:pPr>
        <w:ind w:left="440" w:right="3279" w:firstLine="3"/>
        <w:spacing w:after="0" w:line="252" w:lineRule="auto"/>
        <w:tabs>
          <w:tab w:leader="none" w:pos="87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4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6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787" w:right="1440" w:bottom="1440" w:gutter="0" w:footer="0" w:header="0"/>
        </w:sectPr>
      </w:pPr>
    </w:p>
    <w:bookmarkStart w:id="88" w:name="page89"/>
    <w:bookmarkEnd w:id="88"/>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162" w:lineRule="exact"/>
        <w:rPr>
          <w:sz w:val="20"/>
          <w:szCs w:val="20"/>
          <w:color w:val="auto"/>
        </w:rPr>
      </w:pPr>
    </w:p>
    <w:p>
      <w:pPr>
        <w:ind w:right="180" w:firstLine="347"/>
        <w:spacing w:after="0" w:line="258"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64" w:lineRule="exact"/>
        <w:rPr>
          <w:sz w:val="20"/>
          <w:szCs w:val="20"/>
          <w:color w:val="auto"/>
        </w:rPr>
      </w:pPr>
    </w:p>
    <w:p>
      <w:pPr>
        <w:ind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53"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8"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453" w:right="1440" w:bottom="1440" w:gutter="0" w:footer="0" w:header="0"/>
        </w:sectPr>
      </w:pPr>
    </w:p>
    <w:bookmarkStart w:id="89" w:name="page90"/>
    <w:bookmarkEnd w:id="89"/>
    <w:p>
      <w:pPr>
        <w:jc w:val="center"/>
        <w:ind w:right="10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jc w:val="both"/>
        <w:ind w:right="600"/>
        <w:spacing w:after="0" w:line="255" w:lineRule="auto"/>
        <w:rPr>
          <w:sz w:val="20"/>
          <w:szCs w:val="20"/>
          <w:color w:val="auto"/>
        </w:rPr>
      </w:pPr>
      <w:r>
        <w:rPr>
          <w:rFonts w:ascii="Courier New" w:cs="Courier New" w:eastAsia="Courier New" w:hAnsi="Courier New"/>
          <w:sz w:val="14"/>
          <w:szCs w:val="14"/>
          <w:color w:val="auto"/>
        </w:rPr>
        <w:t>The Company also recorded a provision of $1,584 for asset write-offs, principally for leasehold improvements in Canada, Israel and the United States that were abandoned.</w:t>
      </w:r>
    </w:p>
    <w:p>
      <w:pPr>
        <w:spacing w:after="0" w:line="162" w:lineRule="exact"/>
        <w:rPr>
          <w:sz w:val="20"/>
          <w:szCs w:val="20"/>
          <w:color w:val="auto"/>
        </w:rPr>
      </w:pPr>
    </w:p>
    <w:p>
      <w:pPr>
        <w:ind w:right="700" w:firstLine="347"/>
        <w:spacing w:after="0" w:line="258"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65" w:lineRule="exact"/>
        <w:rPr>
          <w:sz w:val="20"/>
          <w:szCs w:val="20"/>
          <w:color w:val="auto"/>
        </w:rPr>
      </w:pPr>
    </w:p>
    <w:p>
      <w:pPr>
        <w:ind w:right="700" w:firstLine="347"/>
        <w:spacing w:after="0" w:line="254"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63" w:lineRule="exact"/>
        <w:rPr>
          <w:sz w:val="20"/>
          <w:szCs w:val="20"/>
          <w:color w:val="auto"/>
        </w:rPr>
      </w:pPr>
    </w:p>
    <w:p>
      <w:pPr>
        <w:ind w:right="780"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0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w:t>
            </w:r>
          </w:p>
        </w:tc>
        <w:tc>
          <w:tcPr>
            <w:tcW w:w="40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c>
          <w:tcPr>
            <w:tcW w:w="40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3,276</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(1,024)</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2,213</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120" w:space="340"/>
            <w:col w:w="2620"/>
          </w:cols>
          <w:pgMar w:left="660" w:top="620" w:right="1159" w:bottom="1440" w:gutter="0" w:footer="0" w:header="0"/>
        </w:sectPr>
      </w:pPr>
    </w:p>
    <w:bookmarkStart w:id="90" w:name="page91"/>
    <w:bookmarkEnd w:id="90"/>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258"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400" w:firstLine="434"/>
        <w:spacing w:after="0" w:line="25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60" w:lineRule="exact"/>
        <w:rPr>
          <w:sz w:val="20"/>
          <w:szCs w:val="20"/>
          <w:color w:val="auto"/>
        </w:rPr>
      </w:pPr>
    </w:p>
    <w:p>
      <w:pPr>
        <w:ind w:left="440" w:hanging="431"/>
        <w:spacing w:after="0"/>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54"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30"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64" w:lineRule="exact"/>
        <w:rPr>
          <w:sz w:val="20"/>
          <w:szCs w:val="20"/>
          <w:color w:val="auto"/>
        </w:rPr>
      </w:pPr>
    </w:p>
    <w:p>
      <w:pPr>
        <w:ind w:left="440" w:right="3560" w:firstLine="347"/>
        <w:spacing w:after="0" w:line="258"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80" w:firstLine="347"/>
        <w:spacing w:after="0" w:line="254"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60"/>
          </w:cols>
          <w:pgMar w:left="220" w:top="453" w:right="1419" w:bottom="1440" w:gutter="0" w:footer="0" w:header="0"/>
        </w:sectPr>
      </w:pPr>
    </w:p>
    <w:bookmarkStart w:id="91" w:name="page92"/>
    <w:bookmarkEnd w:id="91"/>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64" w:lineRule="exact"/>
        <w:rPr>
          <w:sz w:val="20"/>
          <w:szCs w:val="20"/>
          <w:color w:val="auto"/>
        </w:rPr>
      </w:pPr>
    </w:p>
    <w:p>
      <w:pPr>
        <w:ind w:left="440" w:right="3279" w:firstLine="347"/>
        <w:spacing w:after="0" w:line="254"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4" w:lineRule="exact"/>
        <w:rPr>
          <w:sz w:val="20"/>
          <w:szCs w:val="20"/>
          <w:color w:val="auto"/>
        </w:rPr>
      </w:pPr>
    </w:p>
    <w:p>
      <w:pPr>
        <w:ind w:left="360" w:right="3379" w:firstLine="434"/>
        <w:spacing w:after="0" w:line="253"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332" w:lineRule="exact"/>
        <w:rPr>
          <w:sz w:val="20"/>
          <w:szCs w:val="20"/>
          <w:color w:val="auto"/>
        </w:rPr>
      </w:pPr>
    </w:p>
    <w:p>
      <w:pPr>
        <w:ind w:left="440" w:right="3459" w:firstLine="347"/>
        <w:spacing w:after="0" w:line="253"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92" w:name="page93"/>
    <w:bookmarkEnd w:id="92"/>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60" w:lineRule="exact"/>
        <w:rPr>
          <w:sz w:val="20"/>
          <w:szCs w:val="20"/>
          <w:color w:val="auto"/>
        </w:rPr>
      </w:pPr>
    </w:p>
    <w:p>
      <w:pPr>
        <w:ind w:left="800" w:hanging="444"/>
        <w:spacing w:after="0"/>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59" w:lineRule="exact"/>
        <w:rPr>
          <w:rFonts w:ascii="Courier New" w:cs="Courier New" w:eastAsia="Courier New" w:hAnsi="Courier New"/>
          <w:sz w:val="14"/>
          <w:szCs w:val="14"/>
          <w:color w:val="auto"/>
        </w:rPr>
      </w:pPr>
    </w:p>
    <w:p>
      <w:pPr>
        <w:ind w:left="800" w:right="389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59" w:lineRule="exact"/>
        <w:rPr>
          <w:rFonts w:ascii="Courier New" w:cs="Courier New" w:eastAsia="Courier New" w:hAnsi="Courier New"/>
          <w:sz w:val="14"/>
          <w:szCs w:val="14"/>
          <w:color w:val="auto"/>
        </w:rPr>
      </w:pPr>
    </w:p>
    <w:p>
      <w:pPr>
        <w:ind w:left="800" w:right="371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255"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20" w:right="1440" w:bottom="1440" w:gutter="0" w:footer="0" w:header="0"/>
        </w:sectPr>
      </w:pPr>
    </w:p>
    <w:bookmarkStart w:id="94" w:name="page95"/>
    <w:bookmarkEnd w:id="94"/>
    <w:p>
      <w:pPr>
        <w:ind w:right="3279"/>
        <w:spacing w:after="0" w:line="252"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60" w:lineRule="exact"/>
        <w:rPr>
          <w:sz w:val="20"/>
          <w:szCs w:val="20"/>
          <w:color w:val="auto"/>
        </w:rPr>
      </w:pPr>
    </w:p>
    <w:p>
      <w:pPr>
        <w:ind w:left="800" w:hanging="357"/>
        <w:spacing w:after="0"/>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59" w:lineRule="exact"/>
        <w:rPr>
          <w:rFonts w:ascii="Courier New" w:cs="Courier New" w:eastAsia="Courier New" w:hAnsi="Courier New"/>
          <w:sz w:val="14"/>
          <w:szCs w:val="14"/>
          <w:color w:val="auto"/>
        </w:rPr>
      </w:pPr>
    </w:p>
    <w:p>
      <w:pPr>
        <w:ind w:left="800" w:right="3459" w:hanging="357"/>
        <w:spacing w:after="0" w:line="255" w:lineRule="auto"/>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787" w:right="1440" w:bottom="1440" w:gutter="0" w:footer="0" w:header="0"/>
        </w:sectPr>
      </w:pPr>
    </w:p>
    <w:bookmarkStart w:id="95" w:name="page96"/>
    <w:bookmarkEnd w:id="95"/>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96" w:name="page97"/>
    <w:bookmarkEnd w:id="96"/>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453" w:right="1440" w:bottom="0" w:gutter="0" w:footer="0" w:header="0"/>
        </w:sectPr>
      </w:pPr>
    </w:p>
    <w:bookmarkStart w:id="97" w:name="page98"/>
    <w:bookmarkEnd w:id="97"/>
    <w:p>
      <w:pPr>
        <w:ind w:right="3279" w:firstLine="521"/>
        <w:spacing w:after="0" w:line="253"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98" w:name="page99"/>
    <w:bookmarkEnd w:id="98"/>
    <w:p>
      <w:pPr>
        <w:ind w:right="3379" w:firstLine="434"/>
        <w:spacing w:after="0" w:line="255"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20" w:right="1440" w:bottom="1440" w:gutter="0" w:footer="0" w:header="0"/>
        </w:sectPr>
      </w:pPr>
    </w:p>
    <w:bookmarkStart w:id="99" w:name="page100"/>
    <w:bookmarkEnd w:id="99"/>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(DECREASE)</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22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7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453" w:right="1440" w:bottom="0" w:gutter="0" w:footer="0" w:header="0"/>
        </w:sectPr>
      </w:pPr>
    </w:p>
    <w:bookmarkStart w:id="100" w:name="page101"/>
    <w:bookmarkEnd w:id="100"/>
    <w:p>
      <w:pPr>
        <w:ind w:right="3279"/>
        <w:spacing w:after="0" w:line="253"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20" w:right="1440" w:bottom="1440" w:gutter="0" w:footer="0" w:header="0"/>
        </w:sectPr>
      </w:pPr>
    </w:p>
    <w:bookmarkStart w:id="101" w:name="page102"/>
    <w:bookmarkEnd w:id="101"/>
    <w:p>
      <w:pPr>
        <w:jc w:val="center"/>
        <w:ind w:right="319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INDEMNIFICATION OF DIRECTORS AND OFFICERS.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EXHIBITS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Compuation of Ratio of Earnings to Fixed Charges.</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(included 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T-1, Statement of Eligibility under the Trust Indenture Act</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of The Bank of New York.</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338" w:lineRule="exact"/>
        <w:rPr>
          <w:sz w:val="20"/>
          <w:szCs w:val="20"/>
          <w:color w:val="auto"/>
        </w:rPr>
      </w:pPr>
    </w:p>
    <w:p>
      <w:pPr>
        <w:ind w:left="180" w:hanging="171"/>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Previously filed.</w:t>
      </w:r>
    </w:p>
    <w:p>
      <w:pPr>
        <w:spacing w:after="0" w:line="8" w:lineRule="exact"/>
        <w:rPr>
          <w:rFonts w:ascii="Courier New" w:cs="Courier New" w:eastAsia="Courier New" w:hAnsi="Courier New"/>
          <w:sz w:val="14"/>
          <w:szCs w:val="14"/>
          <w:color w:val="auto"/>
        </w:rPr>
      </w:pPr>
    </w:p>
    <w:p>
      <w:pPr>
        <w:ind w:left="180" w:right="3459" w:hanging="17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20" w:right="1440" w:bottom="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ITEM 10. UNDERTAKINGS.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Item 512(a) of Regulation S-K. The undersigned Registrant hereby undertakes:</w:t>
      </w:r>
    </w:p>
    <w:p>
      <w:pPr>
        <w:spacing w:after="0" w:line="160" w:lineRule="exact"/>
        <w:rPr>
          <w:sz w:val="20"/>
          <w:szCs w:val="20"/>
          <w:color w:val="auto"/>
        </w:rPr>
      </w:pPr>
    </w:p>
    <w:p>
      <w:pPr>
        <w:ind w:left="1320" w:right="3379" w:hanging="530"/>
        <w:spacing w:after="0" w:line="258" w:lineRule="auto"/>
        <w:tabs>
          <w:tab w:leader="none" w:pos="13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580" w:right="3639" w:firstLine="772"/>
        <w:spacing w:after="0" w:line="255" w:lineRule="auto"/>
        <w:tabs>
          <w:tab w:leader="none" w:pos="3142"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62" w:lineRule="exact"/>
        <w:rPr>
          <w:rFonts w:ascii="Courier New" w:cs="Courier New" w:eastAsia="Courier New" w:hAnsi="Courier New"/>
          <w:sz w:val="14"/>
          <w:szCs w:val="14"/>
          <w:color w:val="auto"/>
        </w:rPr>
      </w:pPr>
    </w:p>
    <w:p>
      <w:pPr>
        <w:ind w:left="1580" w:right="3379" w:firstLine="772"/>
        <w:spacing w:after="0" w:line="252" w:lineRule="auto"/>
        <w:tabs>
          <w:tab w:leader="none" w:pos="3142"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4"/>
          <w:szCs w:val="14"/>
          <w:color w:val="auto"/>
        </w:rPr>
      </w:pPr>
    </w:p>
    <w:p>
      <w:pPr>
        <w:ind w:left="1580" w:right="3379" w:firstLine="772"/>
        <w:spacing w:after="0" w:line="254" w:lineRule="auto"/>
        <w:tabs>
          <w:tab w:leader="none" w:pos="3142"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62" w:lineRule="exact"/>
        <w:rPr>
          <w:sz w:val="20"/>
          <w:szCs w:val="20"/>
          <w:color w:val="auto"/>
        </w:rPr>
      </w:pPr>
    </w:p>
    <w:p>
      <w:pPr>
        <w:ind w:left="1320" w:right="3379" w:hanging="530"/>
        <w:spacing w:after="0" w:line="254"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20" w:right="1440" w:bottom="1440" w:gutter="0" w:footer="0" w:header="0"/>
        </w:sectPr>
      </w:pPr>
    </w:p>
    <w:bookmarkStart w:id="103" w:name="page104"/>
    <w:bookmarkEnd w:id="103"/>
    <w:p>
      <w:pPr>
        <w:ind w:right="3279"/>
        <w:spacing w:after="0" w:line="253" w:lineRule="auto"/>
        <w:rPr>
          <w:sz w:val="20"/>
          <w:szCs w:val="20"/>
          <w:color w:val="auto"/>
        </w:rPr>
      </w:pPr>
      <w:r>
        <w:rPr>
          <w:rFonts w:ascii="Courier New" w:cs="Courier New" w:eastAsia="Courier New" w:hAnsi="Courier New"/>
          <w:sz w:val="14"/>
          <w:szCs w:val="14"/>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620" w:right="1440" w:bottom="1440" w:gutter="0" w:footer="0" w:header="0"/>
        </w:sectPr>
      </w:pPr>
    </w:p>
    <w:bookmarkStart w:id="104" w:name="page105"/>
    <w:bookmarkEnd w:id="104"/>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F-3 and has duly caused this Post-Effective Amendment No. 3 to Registration Statement to be signed on its behalf by the undersigned, thereunto duly authorized, in the city of New York, State of New York, on this 17th day of November, 2004.</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Thomas G. O'Brien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Thomas G. O'Brien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Treasurer and Secretary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Authorized U.S. Representative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Post-Effective Amendment No. 3 to Registration Statement has been signed below by the following persons in the capacities and on the dates indicated.</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140" w:space="720"/>
            <w:col w:w="2420" w:space="720"/>
            <w:col w:w="22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36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17, 2004</w:t>
      </w:r>
    </w:p>
    <w:p>
      <w:pPr>
        <w:spacing w:after="0" w:line="8" w:lineRule="exact"/>
        <w:rPr>
          <w:sz w:val="20"/>
          <w:szCs w:val="20"/>
          <w:color w:val="auto"/>
        </w:rPr>
      </w:pPr>
    </w:p>
    <w:p>
      <w:pPr>
        <w:sectPr>
          <w:pgSz w:w="11900" w:h="16838" w:orient="portrait"/>
          <w:cols w:equalWidth="0" w:num="3">
            <w:col w:w="2840" w:space="720"/>
            <w:col w:w="3200" w:space="720"/>
            <w:col w:w="2759"/>
          </w:cols>
          <w:pgMar w:left="220" w:top="620" w:right="1440" w:bottom="1440" w:gutter="0" w:footer="0" w:header="0"/>
          <w:type w:val="continuous"/>
        </w:sectPr>
      </w:pPr>
    </w:p>
    <w:p>
      <w:pPr>
        <w:ind w:left="180" w:hanging="171"/>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Bruce K. Anderson</w:t>
      </w:r>
    </w:p>
    <w:p>
      <w:pPr>
        <w:spacing w:after="0" w:line="175" w:lineRule="exact"/>
        <w:rPr>
          <w:sz w:val="20"/>
          <w:szCs w:val="20"/>
          <w:color w:val="auto"/>
        </w:rPr>
      </w:pPr>
    </w:p>
    <w:p>
      <w:pPr>
        <w:spacing w:after="0"/>
        <w:tabs>
          <w:tab w:leader="none" w:pos="3460" w:val="left"/>
          <w:tab w:leader="none" w:pos="7460" w:val="left"/>
        </w:tabs>
        <w:rPr>
          <w:sz w:val="20"/>
          <w:szCs w:val="20"/>
          <w:color w:val="auto"/>
        </w:rPr>
      </w:pPr>
      <w:r>
        <w:rPr>
          <w:rFonts w:ascii="Courier New" w:cs="Courier New" w:eastAsia="Courier New" w:hAnsi="Courier New"/>
          <w:sz w:val="14"/>
          <w:szCs w:val="14"/>
          <w:color w:val="auto"/>
        </w:rPr>
        <w:t>/s/ Dov Baharav</w:t>
      </w:r>
      <w:r>
        <w:rPr>
          <w:sz w:val="20"/>
          <w:szCs w:val="20"/>
          <w:color w:val="auto"/>
        </w:rPr>
        <w:tab/>
      </w:r>
      <w:r>
        <w:rPr>
          <w:rFonts w:ascii="Courier New" w:cs="Courier New" w:eastAsia="Courier New" w:hAnsi="Courier New"/>
          <w:sz w:val="14"/>
          <w:szCs w:val="14"/>
          <w:color w:val="auto"/>
        </w:rPr>
        <w:t>Director and Principal Executive Officer</w:t>
      </w:r>
      <w:r>
        <w:rPr>
          <w:sz w:val="20"/>
          <w:szCs w:val="20"/>
          <w:color w:val="auto"/>
        </w:rPr>
        <w:tab/>
      </w:r>
      <w:r>
        <w:rPr>
          <w:rFonts w:ascii="Courier New" w:cs="Courier New" w:eastAsia="Courier New" w:hAnsi="Courier New"/>
          <w:sz w:val="14"/>
          <w:szCs w:val="14"/>
          <w:color w:val="auto"/>
        </w:rPr>
        <w:t>November 17, 2004</w:t>
      </w:r>
    </w:p>
    <w:p>
      <w:pPr>
        <w:spacing w:after="0" w:line="8" w:lineRule="exact"/>
        <w:rPr>
          <w:sz w:val="20"/>
          <w:szCs w:val="20"/>
          <w:color w:val="auto"/>
        </w:rPr>
      </w:pPr>
    </w:p>
    <w:p>
      <w:pPr>
        <w:ind w:left="180" w:hanging="171"/>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Dov Baharav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20" w:right="1440"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/s/ Ron Moskovitz</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Principal Accounting Officer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Ron Moskovitz</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Robert A. Minicucci</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Adrian Gardner</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Charles E. Foster</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Eli Gelman</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James S. Kahan</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Nehmeia Lemelbaum</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John T. McLennan</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260" w:type="dxa"/>
            <w:vAlign w:val="bottom"/>
          </w:tcPr>
          <w:p>
            <w:pPr>
              <w:ind w:left="780"/>
              <w:spacing w:after="0"/>
              <w:rPr>
                <w:sz w:val="20"/>
                <w:szCs w:val="20"/>
                <w:color w:val="auto"/>
              </w:rPr>
            </w:pPr>
            <w:r>
              <w:rPr>
                <w:rFonts w:ascii="Courier New" w:cs="Courier New" w:eastAsia="Courier New" w:hAnsi="Courier New"/>
                <w:sz w:val="14"/>
                <w:szCs w:val="14"/>
                <w:color w:val="auto"/>
              </w:rPr>
              <w:t>November 17,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Mario Segal</w:t>
            </w:r>
          </w:p>
        </w:tc>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hanging="171"/>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 Thomas G. O'Brien</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8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Thomas G. O'Brien Attorney-in-Fact</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1121"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960" w:type="dxa"/>
            <w:vAlign w:val="bottom"/>
          </w:tcPr>
          <w:p>
            <w:pPr>
              <w:ind w:left="1960"/>
              <w:spacing w:after="0"/>
              <w:rPr>
                <w:sz w:val="20"/>
                <w:szCs w:val="20"/>
                <w:color w:val="auto"/>
              </w:rPr>
            </w:pPr>
            <w:r>
              <w:rPr>
                <w:rFonts w:ascii="Courier New" w:cs="Courier New" w:eastAsia="Courier New" w:hAnsi="Courier New"/>
                <w:sz w:val="14"/>
                <w:szCs w:val="14"/>
                <w:color w:val="auto"/>
              </w:rPr>
              <w:t>Exhibit Index</w:t>
            </w:r>
          </w:p>
        </w:tc>
      </w:tr>
      <w:tr>
        <w:trPr>
          <w:trHeight w:val="835"/>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24"/>
                <w:szCs w:val="2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Computation of Ratio of Earnings to Fixed Charges</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 (included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 (See page II-4 of this Registration Statement).</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T-1, Statement of Eligibility under the Trust Indenture Act</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of The Bank of New York.</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8" w:lineRule="exact"/>
        <w:rPr>
          <w:sz w:val="20"/>
          <w:szCs w:val="20"/>
          <w:color w:val="auto"/>
        </w:rPr>
      </w:pPr>
    </w:p>
    <w:p>
      <w:pPr>
        <w:ind w:left="180" w:right="3459" w:hanging="171"/>
        <w:spacing w:after="0" w:line="258" w:lineRule="auto"/>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which portions have been filed separately with the Securities and Exchange Commission.</w:t>
      </w:r>
    </w:p>
    <w:p>
      <w:pPr>
        <w:sectPr>
          <w:pgSz w:w="11900" w:h="16838" w:orient="portrait"/>
          <w:cols w:equalWidth="0" w:num="1">
            <w:col w:w="10239"/>
          </w:cols>
          <w:pgMar w:left="220" w:top="620" w:right="1440" w:bottom="1440" w:gutter="0" w:footer="0" w:header="0"/>
        </w:sectPr>
      </w:pPr>
    </w:p>
    <w:bookmarkStart w:id="107" w:name="page108"/>
    <w:bookmarkEnd w:id="107"/>
    <w:p>
      <w:pPr>
        <w:ind w:left="5920"/>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Consent of Ernst &amp; Young LLP, Independent Registered Public Accountants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consent to the reference to our firm under the caption "Experts" in this Post-Effective Amendment No. 3 to the Registration Statement on Form F-3 of Amdocs Limited for the registration of $450.0 million principal amount of 0.50% Convertible Senior Notes due 2024 (the "Notes") and the ordinary shares, (pound)0.01 par value, of the Company issuable upon conversion of the Notes and to the incorporation by reference therein of our report dated October 30, 2003, except for paragraphs 4 and 5 of Note 12 as to which the dates are June 1, 2004 and March 5, 2004, respectively, with respect to the consolidated financial statements and schedule of Amdocs Limited, included in its Annual Report, as amended (Form 20-F/A) for the year ended September 30, 2003, filed with the Securities and Exchange Commission on September 21, 2004.</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Ernst &amp; Young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16, 2004</w:t>
      </w:r>
    </w:p>
    <w:p>
      <w:pPr>
        <w:sectPr>
          <w:pgSz w:w="11900" w:h="16838" w:orient="portrait"/>
          <w:cols w:equalWidth="0" w:num="1">
            <w:col w:w="10239"/>
          </w:cols>
          <w:pgMar w:left="220" w:top="308" w:right="1440" w:bottom="1440" w:gutter="0" w:footer="0" w:header="0"/>
        </w:sectPr>
      </w:pPr>
    </w:p>
    <w:bookmarkStart w:id="108" w:name="page109"/>
    <w:bookmarkEnd w:id="108"/>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1 Place Ville Marie</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Suite 3000</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Montreal QC H3B 4T9</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Canada</w:t>
      </w:r>
    </w:p>
    <w:p>
      <w:pPr>
        <w:spacing w:after="0" w:line="175"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Tel: (514) 393-5451</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Fax: (514) 390-4113</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www.deloitte.ca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REGISTERED CHARTER ACCOUNTANTS</w:t>
      </w:r>
    </w:p>
    <w:p>
      <w:pPr>
        <w:spacing w:after="0" w:line="342"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Post-Effective Amendment No. 3 to the Registration Statement on Form F-3 of Amdocs Limited (File No.</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333-114344) of our report dated March 19, 2003 (except for Note 17, which is as of July 2, 2003), related to the consolidated financial statements of Certen Inc., as of and for the years ended December 31, 2001 and 2002, appearing in the Annual Report of Amdocs Limited on Form 20-F/A (Amendment No. 1), for the year ended September 30, 2003. We also consent to the reference to us under the heading "Experts" in the prospectus, which is part of this Registration Statement.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Montreal, Quebec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16, 2004</w:t>
      </w:r>
    </w:p>
    <w:sectPr>
      <w:pgSz w:w="11900" w:h="16838" w:orient="portrait"/>
      <w:cols w:equalWidth="0" w:num="1">
        <w:col w:w="10239"/>
      </w:cols>
      <w:pgMar w:left="22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3"/>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amp;"/>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decimal"/>
      <w:start w:val="1"/>
    </w:lvl>
    <w:lvl w:ilvl="1">
      <w:lvlJc w:val="left"/>
      <w:lvlText w:val="(%2)"/>
      <w:numFmt w:val="decimal"/>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amp;"/>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lvl w:ilvl="1">
      <w:lvlJc w:val="left"/>
      <w:lvlText w:val="*"/>
      <w:numFmt w:val="bullet"/>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decimal"/>
      <w:start w:val="1"/>
    </w:lvl>
    <w:lvl w:ilvl="1">
      <w:lvlJc w:val="left"/>
      <w:lvlText w:val="-"/>
      <w:numFmt w:val="bullet"/>
      <w:start w:val="1"/>
    </w:lvl>
  </w:abstractNum>
  <w:abstractNum w:abstractNumId="57">
    <w:nsid w:val="5DC79EA8"/>
    <w:multiLevelType w:val="hybridMultilevel"/>
    <w:lvl w:ilvl="0">
      <w:lvlJc w:val="left"/>
      <w:lvlText w:val="%1."/>
      <w:numFmt w:val="decimal"/>
      <w:start w:val="1"/>
    </w:lvl>
    <w:lvl w:ilvl="1">
      <w:lvlJc w:val="left"/>
      <w:lvlText w:val="-"/>
      <w:numFmt w:val="bullet"/>
      <w:start w:val="1"/>
    </w:lvl>
  </w:abstractNum>
  <w:abstractNum w:abstractNumId="58">
    <w:nsid w:val="540A471C"/>
    <w:multiLevelType w:val="hybridMultilevel"/>
    <w:lvl w:ilvl="0">
      <w:lvlJc w:val="left"/>
      <w:lvlText w:val="o"/>
      <w:numFmt w:val="bullet"/>
      <w:start w:val="1"/>
    </w:lvl>
  </w:abstractNum>
  <w:abstractNum w:abstractNumId="59">
    <w:nsid w:val="7BD3EE7B"/>
    <w:multiLevelType w:val="hybridMultilevel"/>
    <w:lvl w:ilvl="0">
      <w:lvlJc w:val="left"/>
      <w:lvlText w:val="(%1)"/>
      <w:numFmt w:val="decimal"/>
      <w:start w:val="2"/>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2"/>
    </w:lvl>
  </w:abstractNum>
  <w:abstractNum w:abstractNumId="62">
    <w:nsid w:val="BF72B14"/>
    <w:multiLevelType w:val="hybridMultilevel"/>
    <w:lvl w:ilvl="0">
      <w:lvlJc w:val="left"/>
      <w:lvlText w:val="%1."/>
      <w:numFmt w:val="decimal"/>
      <w:start w:val="3"/>
    </w:lvl>
  </w:abstractNum>
  <w:abstractNum w:abstractNumId="63">
    <w:nsid w:val="11447B73"/>
    <w:multiLevelType w:val="hybridMultilevel"/>
    <w:lvl w:ilvl="0">
      <w:lvlJc w:val="left"/>
      <w:lvlText w:val="%1."/>
      <w:numFmt w:val="decimal"/>
      <w:start w:val="4"/>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5"/>
    </w:lvl>
  </w:abstractNum>
  <w:abstractNum w:abstractNumId="66">
    <w:nsid w:val="8F2B15E"/>
    <w:multiLevelType w:val="hybridMultilevel"/>
    <w:lvl w:ilvl="0">
      <w:lvlJc w:val="left"/>
      <w:lvlText w:val="%1."/>
      <w:numFmt w:val="decimal"/>
      <w:start w:val="6"/>
    </w:lvl>
  </w:abstractNum>
  <w:abstractNum w:abstractNumId="67">
    <w:nsid w:val="1A32234B"/>
    <w:multiLevelType w:val="hybridMultilevel"/>
    <w:lvl w:ilvl="0">
      <w:lvlJc w:val="left"/>
      <w:lvlText w:val="%1."/>
      <w:numFmt w:val="decimal"/>
      <w:start w:val="7"/>
    </w:lvl>
  </w:abstractNum>
  <w:abstractNum w:abstractNumId="68">
    <w:nsid w:val="3B0FD379"/>
    <w:multiLevelType w:val="hybridMultilevel"/>
    <w:lvl w:ilvl="0">
      <w:lvlJc w:val="left"/>
      <w:lvlText w:val="%1."/>
      <w:numFmt w:val="decimal"/>
      <w:start w:val="8"/>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9"/>
    </w:lvl>
  </w:abstractNum>
  <w:abstractNum w:abstractNumId="71">
    <w:nsid w:val="60B6DF70"/>
    <w:multiLevelType w:val="hybridMultilevel"/>
    <w:lvl w:ilvl="0">
      <w:lvlJc w:val="left"/>
      <w:lvlText w:val="%1."/>
      <w:numFmt w:val="decimal"/>
      <w:start w:val="11"/>
    </w:lvl>
  </w:abstractNum>
  <w:abstractNum w:abstractNumId="72">
    <w:nsid w:val="6A5EE64"/>
    <w:multiLevelType w:val="hybridMultilevel"/>
    <w:lvl w:ilvl="0">
      <w:lvlJc w:val="left"/>
      <w:lvlText w:val="%1"/>
      <w:numFmt w:val="decimal"/>
      <w:start w:val="1"/>
    </w:lvl>
    <w:lvl w:ilvl="1">
      <w:lvlJc w:val="left"/>
      <w:lvlText w:val="(%2)"/>
      <w:numFmt w:val="lowerRoman"/>
      <w:start w:val="2"/>
    </w:lvl>
  </w:abstractNum>
  <w:abstractNum w:abstractNumId="73">
    <w:nsid w:val="14330624"/>
    <w:multiLevelType w:val="hybridMultilevel"/>
    <w:lvl w:ilvl="0">
      <w:lvlJc w:val="left"/>
      <w:lvlText w:val="%1."/>
      <w:numFmt w:val="decimal"/>
      <w:start w:val="12"/>
    </w:lvl>
    <w:lvl w:ilvl="1">
      <w:lvlJc w:val="left"/>
      <w:lvlText w:val="%2"/>
      <w:numFmt w:val="lowerRoman"/>
      <w:start w:val="1"/>
    </w:lvl>
  </w:abstractNum>
  <w:abstractNum w:abstractNumId="74">
    <w:nsid w:val="7FFFCA11"/>
    <w:multiLevelType w:val="hybridMultilevel"/>
    <w:lvl w:ilvl="0">
      <w:lvlJc w:val="left"/>
      <w:lvlText w:val="(%1)"/>
      <w:numFmt w:val="decimal"/>
      <w:start w:val="94"/>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13"/>
    </w:lvl>
  </w:abstractNum>
  <w:abstractNum w:abstractNumId="78">
    <w:nsid w:val="7FB7E0AA"/>
    <w:multiLevelType w:val="hybridMultilevel"/>
    <w:lvl w:ilvl="0">
      <w:lvlJc w:val="left"/>
      <w:lvlText w:val="%1."/>
      <w:numFmt w:val="decimal"/>
      <w:start w:val="14"/>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
    </w:lvl>
    <w:lvl w:ilvl="1">
      <w:lvlJc w:val="left"/>
      <w:lvlText w:val="(%2)"/>
      <w:numFmt w:val="lowerRoman"/>
      <w:start w:val="1"/>
    </w:lvl>
  </w:abstractNum>
  <w:abstractNum w:abstractNumId="85">
    <w:nsid w:val="1716703B"/>
    <w:multiLevelType w:val="hybridMultilevel"/>
    <w:lvl w:ilvl="0">
      <w:lvlJc w:val="left"/>
      <w:lvlText w:val="(%1)"/>
      <w:numFmt w:val="decimal"/>
      <w:start w:val="2"/>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2019-12-14T21:19:29Z</dcterms:created>
  <dcterms:modified xsi:type="dcterms:W3CDTF">2019-12-14T21:19:29Z</dcterms:modified>
</cp:coreProperties>
</file>