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900"/>
        <w:spacing w:after="0"/>
        <w:rPr>
          <w:sz w:val="20"/>
          <w:szCs w:val="20"/>
          <w:color w:val="auto"/>
        </w:rPr>
      </w:pPr>
      <w:r>
        <w:rPr>
          <w:rFonts w:ascii="Courier New" w:cs="Courier New" w:eastAsia="Courier New" w:hAnsi="Courier New"/>
          <w:sz w:val="18"/>
          <w:szCs w:val="18"/>
          <w:color w:val="auto"/>
        </w:rPr>
        <w:t>AMDOCS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May 31, 2005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EDGAR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Division of Corporation Finance</w:t>
      </w:r>
    </w:p>
    <w:p>
      <w:pPr>
        <w:spacing w:after="0"/>
        <w:rPr>
          <w:sz w:val="20"/>
          <w:szCs w:val="20"/>
          <w:color w:val="auto"/>
        </w:rPr>
      </w:pPr>
      <w:r>
        <w:rPr>
          <w:rFonts w:ascii="Courier New" w:cs="Courier New" w:eastAsia="Courier New" w:hAnsi="Courier New"/>
          <w:sz w:val="18"/>
          <w:szCs w:val="18"/>
          <w:color w:val="auto"/>
        </w:rPr>
        <w:t>Judiciary Plaza</w:t>
      </w:r>
    </w:p>
    <w:p>
      <w:pPr>
        <w:spacing w:after="0" w:line="237" w:lineRule="auto"/>
        <w:rPr>
          <w:sz w:val="20"/>
          <w:szCs w:val="20"/>
          <w:color w:val="auto"/>
        </w:rPr>
      </w:pPr>
      <w:r>
        <w:rPr>
          <w:rFonts w:ascii="Courier New" w:cs="Courier New" w:eastAsia="Courier New" w:hAnsi="Courier New"/>
          <w:sz w:val="18"/>
          <w:szCs w:val="18"/>
          <w:color w:val="auto"/>
        </w:rPr>
        <w:t>450 Fifth Street, N.W.</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Attention: Jeffrey Werbitt</w:t>
      </w:r>
    </w:p>
    <w:p>
      <w:pPr>
        <w:spacing w:after="0" w:line="201" w:lineRule="exact"/>
        <w:rPr>
          <w:sz w:val="24"/>
          <w:szCs w:val="24"/>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AMDOCS LIMITED</w:t>
      </w:r>
    </w:p>
    <w:p>
      <w:pPr>
        <w:ind w:left="1280"/>
        <w:spacing w:after="0" w:line="238" w:lineRule="auto"/>
        <w:rPr>
          <w:sz w:val="20"/>
          <w:szCs w:val="20"/>
          <w:color w:val="auto"/>
        </w:rPr>
      </w:pPr>
      <w:r>
        <w:rPr>
          <w:rFonts w:ascii="Courier New" w:cs="Courier New" w:eastAsia="Courier New" w:hAnsi="Courier New"/>
          <w:sz w:val="18"/>
          <w:szCs w:val="18"/>
          <w:color w:val="auto"/>
        </w:rPr>
        <w:t>Post-Effective Amendment No. 6 to Form F-3</w:t>
      </w:r>
    </w:p>
    <w:p>
      <w:pPr>
        <w:ind w:left="1280"/>
        <w:spacing w:after="0"/>
        <w:rPr>
          <w:sz w:val="20"/>
          <w:szCs w:val="20"/>
          <w:color w:val="auto"/>
        </w:rPr>
      </w:pPr>
      <w:r>
        <w:rPr>
          <w:rFonts w:ascii="Courier New" w:cs="Courier New" w:eastAsia="Courier New" w:hAnsi="Courier New"/>
          <w:sz w:val="18"/>
          <w:szCs w:val="18"/>
          <w:color w:val="auto"/>
        </w:rPr>
        <w:t>filed on May 31, 2005 (File No. 333-114344)</w:t>
      </w:r>
    </w:p>
    <w:p>
      <w:pPr>
        <w:ind w:left="12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4"/>
          <w:szCs w:val="24"/>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On behalf of Amdocs Limited (the "Company"), please find below an acknowledgment of the Company as requested by the staff (the "Staff") of the Securities and Exchange Commission (the "Commission") in the letter dated May 23, 2005, from Mr. Mark Shuman, Branch Legal Chief, Division of Corporation Finance of the Commission. The comment letter relates to the above-referenced Post-Effective Amendment (the "Amendment") to Registration Statement on Form F-3 (the "Form F-3") filed by the Company with the Commission on May 31, 2005.</w:t>
      </w:r>
    </w:p>
    <w:p>
      <w:pPr>
        <w:spacing w:after="0" w:line="211" w:lineRule="exact"/>
        <w:rPr>
          <w:sz w:val="24"/>
          <w:szCs w:val="24"/>
          <w:color w:val="auto"/>
        </w:rPr>
      </w:pPr>
    </w:p>
    <w:p>
      <w:pPr>
        <w:jc w:val="both"/>
        <w:ind w:right="2099" w:firstLine="632"/>
        <w:spacing w:after="0" w:line="236" w:lineRule="auto"/>
        <w:rPr>
          <w:sz w:val="20"/>
          <w:szCs w:val="20"/>
          <w:color w:val="auto"/>
        </w:rPr>
      </w:pPr>
      <w:r>
        <w:rPr>
          <w:rFonts w:ascii="Courier New" w:cs="Courier New" w:eastAsia="Courier New" w:hAnsi="Courier New"/>
          <w:sz w:val="18"/>
          <w:szCs w:val="18"/>
          <w:color w:val="auto"/>
        </w:rPr>
        <w:t>In the comment letter, the Staff requested that the Company acknowledge certain matters with respect to the Amendment filing. Specifically, the Staff provided the following comment:</w:t>
      </w:r>
    </w:p>
    <w:p>
      <w:pPr>
        <w:spacing w:after="0" w:line="209" w:lineRule="exact"/>
        <w:rPr>
          <w:sz w:val="24"/>
          <w:szCs w:val="24"/>
          <w:color w:val="auto"/>
        </w:rPr>
      </w:pPr>
    </w:p>
    <w:p>
      <w:pPr>
        <w:ind w:left="640" w:right="1879" w:firstLine="843"/>
        <w:spacing w:after="0" w:line="272" w:lineRule="auto"/>
        <w:rPr>
          <w:sz w:val="20"/>
          <w:szCs w:val="20"/>
          <w:color w:val="auto"/>
        </w:rPr>
      </w:pPr>
      <w:r>
        <w:rPr>
          <w:rFonts w:ascii="Courier New" w:cs="Courier New" w:eastAsia="Courier New" w:hAnsi="Courier New"/>
          <w:sz w:val="16"/>
          <w:szCs w:val="16"/>
          <w:color w:val="auto"/>
        </w:rPr>
        <w:t>We urge all persons who are responsible for the accuracy and adequacy of the disclosure in the filings reviewed by the staff to be certain that they have provided all information investors require for an informed decision. Since the company and its management are in possession of all facts relating to a company's disclosure, they are responsible for the accuracy and adequacy of the disclosures they have made.</w:t>
      </w:r>
    </w:p>
    <w:p>
      <w:pPr>
        <w:spacing w:after="0" w:line="180"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Please furnish a letter acknowledging that:</w:t>
      </w:r>
    </w:p>
    <w:p>
      <w:pPr>
        <w:spacing w:after="0" w:line="207" w:lineRule="exact"/>
        <w:rPr>
          <w:sz w:val="24"/>
          <w:szCs w:val="24"/>
          <w:color w:val="auto"/>
        </w:rPr>
      </w:pPr>
    </w:p>
    <w:p>
      <w:pPr>
        <w:ind w:left="1900" w:right="1779" w:hanging="199"/>
        <w:spacing w:after="0" w:line="237" w:lineRule="auto"/>
        <w:tabs>
          <w:tab w:leader="none" w:pos="1880" w:val="left"/>
        </w:tabs>
        <w:rPr>
          <w:sz w:val="20"/>
          <w:szCs w:val="20"/>
          <w:color w:val="auto"/>
        </w:rPr>
      </w:pPr>
      <w:r>
        <w:rPr>
          <w:rFonts w:ascii="Courier New" w:cs="Courier New" w:eastAsia="Courier New" w:hAnsi="Courier New"/>
          <w:sz w:val="18"/>
          <w:szCs w:val="18"/>
          <w:color w:val="auto"/>
        </w:rPr>
        <w:t>o</w:t>
        <w:tab/>
        <w:t>should the Commission or the staff, acting pursuant to delegated authority, declare the filing effective, it does not foreclose the Commission from taking any action with respect to the filing;</w:t>
      </w:r>
    </w:p>
    <w:p>
      <w:pPr>
        <w:spacing w:after="0" w:line="207" w:lineRule="exact"/>
        <w:rPr>
          <w:sz w:val="24"/>
          <w:szCs w:val="24"/>
          <w:color w:val="auto"/>
        </w:rPr>
      </w:pPr>
    </w:p>
    <w:p>
      <w:pPr>
        <w:ind w:left="1900" w:right="1879" w:hanging="199"/>
        <w:spacing w:after="0" w:line="275" w:lineRule="auto"/>
        <w:tabs>
          <w:tab w:leader="none" w:pos="1880" w:val="left"/>
        </w:tabs>
        <w:rPr>
          <w:sz w:val="20"/>
          <w:szCs w:val="20"/>
          <w:color w:val="auto"/>
        </w:rPr>
      </w:pPr>
      <w:r>
        <w:rPr>
          <w:rFonts w:ascii="Courier New" w:cs="Courier New" w:eastAsia="Courier New" w:hAnsi="Courier New"/>
          <w:sz w:val="16"/>
          <w:szCs w:val="16"/>
          <w:color w:val="auto"/>
        </w:rPr>
        <w:t>o</w:t>
        <w:tab/>
        <w:t>the action of the Commission or the staff, acting pursuant to delegated authority, in declaring the filing effective, does not relieve the company from its full responsibility for the adequacy and accuracy of the disclosure in the filing; and</w:t>
      </w:r>
    </w:p>
    <w:p>
      <w:pPr>
        <w:sectPr>
          <w:pgSz w:w="11900" w:h="16838" w:orient="portrait"/>
          <w:cols w:equalWidth="0" w:num="1">
            <w:col w:w="10219"/>
          </w:cols>
          <w:pgMar w:left="240" w:top="447" w:right="1440" w:bottom="1440" w:gutter="0" w:footer="0" w:header="0"/>
        </w:sectPr>
      </w:pPr>
    </w:p>
    <w:bookmarkStart w:id="1" w:name="page2"/>
    <w:bookmarkEnd w:id="1"/>
    <w:p>
      <w:pPr>
        <w:ind w:left="1900" w:right="1779" w:hanging="199"/>
        <w:spacing w:after="0" w:line="236" w:lineRule="auto"/>
        <w:tabs>
          <w:tab w:leader="none" w:pos="1880" w:val="left"/>
        </w:tabs>
        <w:rPr>
          <w:sz w:val="20"/>
          <w:szCs w:val="20"/>
          <w:color w:val="auto"/>
        </w:rPr>
      </w:pPr>
      <w:r>
        <w:rPr>
          <w:rFonts w:ascii="Courier New" w:cs="Courier New" w:eastAsia="Courier New" w:hAnsi="Courier New"/>
          <w:sz w:val="18"/>
          <w:szCs w:val="18"/>
          <w:color w:val="auto"/>
        </w:rPr>
        <w:t>o</w:t>
        <w:tab/>
        <w:t>the company may not assert this action as a defense in any proceeding initiated by the Commission or any person under the federal securities laws of the United States.</w:t>
      </w:r>
    </w:p>
    <w:p>
      <w:pPr>
        <w:spacing w:after="0" w:line="209" w:lineRule="exact"/>
        <w:rPr>
          <w:sz w:val="20"/>
          <w:szCs w:val="20"/>
          <w:color w:val="auto"/>
        </w:rPr>
      </w:pPr>
    </w:p>
    <w:p>
      <w:pPr>
        <w:ind w:left="740" w:right="1779" w:firstLine="843"/>
        <w:spacing w:after="0" w:line="237" w:lineRule="auto"/>
        <w:rPr>
          <w:sz w:val="20"/>
          <w:szCs w:val="20"/>
          <w:color w:val="auto"/>
        </w:rPr>
      </w:pPr>
      <w:r>
        <w:rPr>
          <w:rFonts w:ascii="Courier New" w:cs="Courier New" w:eastAsia="Courier New" w:hAnsi="Courier New"/>
          <w:sz w:val="18"/>
          <w:szCs w:val="18"/>
          <w:color w:val="auto"/>
        </w:rPr>
        <w:t>In addition, please be advised that the Division of Enforcement has access to all information you provide to the staff of the Division of Corporation Finance in connection with our review of your filing or in response to our comments on your filing.</w:t>
      </w:r>
    </w:p>
    <w:p>
      <w:pPr>
        <w:spacing w:after="0" w:line="207"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By this letter, the Company hereby acknowledges that, should the Commission or the Staff, acting pursuant to delegated authority, declare the Amendment effective, it does not foreclose the Commission from taking any action with respect to the Amendment. The Company further acknowledges to the Commission that the action of the Commission or the Staff, acting pursuant to delegated authority, in declaring the Amendment effective, does not relieve the Company from its full responsibility for the adequacy and accuracy of the disclosure in the Amendment. The Company acknowledges that it may not assert this action as a defense in any proceeding initiated by the Commission or any person under the federal securities laws of the United States, and that the Division of Enforcement has access to all information provided to the Staff of the Division of Corporation Finance in connection with the review of the Amendment or in response to Staff comments on the Amendment.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REMAINDER OF THIS PAGE IS INTENTIONALLY LEFT BLANK]</w:t>
      </w:r>
    </w:p>
    <w:p>
      <w:pPr>
        <w:sectPr>
          <w:pgSz w:w="11900" w:h="16838" w:orient="portrait"/>
          <w:cols w:equalWidth="0" w:num="1">
            <w:col w:w="10219"/>
          </w:cols>
          <w:pgMar w:left="240" w:top="1128" w:right="1440" w:bottom="1440" w:gutter="0" w:footer="0" w:header="0"/>
        </w:sectPr>
      </w:pPr>
    </w:p>
    <w:bookmarkStart w:id="2" w:name="page3"/>
    <w:bookmarkEnd w:id="2"/>
    <w:p>
      <w:pPr>
        <w:ind w:right="2099" w:firstLine="737"/>
        <w:spacing w:after="0" w:line="290" w:lineRule="auto"/>
        <w:rPr>
          <w:sz w:val="20"/>
          <w:szCs w:val="20"/>
          <w:color w:val="auto"/>
        </w:rPr>
      </w:pPr>
      <w:r>
        <w:rPr>
          <w:rFonts w:ascii="Courier New" w:cs="Courier New" w:eastAsia="Courier New" w:hAnsi="Courier New"/>
          <w:sz w:val="16"/>
          <w:szCs w:val="16"/>
          <w:color w:val="auto"/>
        </w:rPr>
        <w:t>Please do not hesitate to contact the undersigned at 314-212-8383 with any questions regarding this response letter or the above acknowledgement.</w:t>
      </w:r>
    </w:p>
    <w:p>
      <w:pPr>
        <w:spacing w:after="0" w:line="367"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Thomas G. O'Brien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Thomas G. O'Brien</w:t>
      </w:r>
    </w:p>
    <w:p>
      <w:pPr>
        <w:ind w:left="4740"/>
        <w:spacing w:after="0" w:line="237" w:lineRule="auto"/>
        <w:rPr>
          <w:sz w:val="20"/>
          <w:szCs w:val="20"/>
          <w:color w:val="auto"/>
        </w:rPr>
      </w:pPr>
      <w:r>
        <w:rPr>
          <w:rFonts w:ascii="Courier New" w:cs="Courier New" w:eastAsia="Courier New" w:hAnsi="Courier New"/>
          <w:sz w:val="18"/>
          <w:szCs w:val="18"/>
          <w:color w:val="auto"/>
        </w:rPr>
        <w:t>Secretary and Treasurer</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2019-12-14T19:39:24Z</dcterms:created>
  <dcterms:modified xsi:type="dcterms:W3CDTF">2019-12-14T19:39:24Z</dcterms:modified>
</cp:coreProperties>
</file>