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RULE 13A-16 OR 15D-16 OF</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46" w:lineRule="exact"/>
        <w:rPr>
          <w:sz w:val="24"/>
          <w:szCs w:val="24"/>
          <w:color w:val="auto"/>
        </w:rPr>
      </w:pPr>
    </w:p>
    <w:p>
      <w:pPr>
        <w:ind w:left="1960"/>
        <w:spacing w:after="0"/>
        <w:rPr>
          <w:sz w:val="20"/>
          <w:szCs w:val="20"/>
          <w:color w:val="auto"/>
        </w:rPr>
      </w:pPr>
      <w:r>
        <w:rPr>
          <w:rFonts w:ascii="Courier New" w:cs="Courier New" w:eastAsia="Courier New" w:hAnsi="Courier New"/>
          <w:sz w:val="15"/>
          <w:szCs w:val="15"/>
          <w:color w:val="auto"/>
        </w:rPr>
        <w:t>For the Quarter Ending June 30, 1998</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Tower Hill House Le Bordage GY1 3QT</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St. Peter Port, Island of Guernsey, Channel Islands</w:t>
      </w:r>
    </w:p>
    <w:p>
      <w:pPr>
        <w:spacing w:after="0" w:line="17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Amdoc, Inc.</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1610 Des Peres Road, St. Louis, Missouri 63131</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6"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346" w:lineRule="exact"/>
        <w:rPr>
          <w:sz w:val="24"/>
          <w:szCs w:val="24"/>
          <w:color w:val="auto"/>
        </w:rPr>
      </w:pPr>
    </w:p>
    <w:p>
      <w:pPr>
        <w:ind w:left="2400"/>
        <w:spacing w:after="0"/>
        <w:tabs>
          <w:tab w:leader="none" w:pos="3540" w:val="left"/>
          <w:tab w:leader="none" w:pos="4000" w:val="left"/>
        </w:tabs>
        <w:rPr>
          <w:sz w:val="20"/>
          <w:szCs w:val="20"/>
          <w:color w:val="auto"/>
        </w:rPr>
      </w:pPr>
      <w:r>
        <w:rPr>
          <w:rFonts w:ascii="Courier New" w:cs="Courier New" w:eastAsia="Courier New" w:hAnsi="Courier New"/>
          <w:sz w:val="15"/>
          <w:szCs w:val="15"/>
          <w:color w:val="auto"/>
        </w:rPr>
        <w:t>FORM 20 F</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FORM 40 F</w:t>
      </w:r>
    </w:p>
    <w:p>
      <w:pPr>
        <w:spacing w:after="0" w:line="348" w:lineRule="exact"/>
        <w:rPr>
          <w:sz w:val="24"/>
          <w:szCs w:val="24"/>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45" w:lineRule="exact"/>
        <w:rPr>
          <w:sz w:val="24"/>
          <w:szCs w:val="24"/>
          <w:color w:val="auto"/>
        </w:rPr>
      </w:pPr>
    </w:p>
    <w:p>
      <w:pPr>
        <w:ind w:left="2400"/>
        <w:spacing w:after="0"/>
        <w:tabs>
          <w:tab w:leader="none" w:pos="4080" w:val="left"/>
          <w:tab w:leader="none" w:pos="454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3"/>
          <w:szCs w:val="13"/>
          <w:color w:val="auto"/>
        </w:rPr>
        <w:t>X</w:t>
      </w:r>
    </w:p>
    <w:p>
      <w:pPr>
        <w:sectPr>
          <w:pgSz w:w="11900" w:h="16838" w:orient="portrait"/>
          <w:cols w:equalWidth="0" w:num="1">
            <w:col w:w="10219"/>
          </w:cols>
          <w:pgMar w:left="240" w:top="231"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6-K</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FOR THE QUARTER ENDED JUNE 30, 1998</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INDEX</w:t>
      </w:r>
    </w:p>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(Unaudited)</w:t>
      </w:r>
    </w:p>
    <w:p>
      <w:pPr>
        <w:spacing w:after="0" w:line="176"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Notes to Unaudited Consolidated Financial</w:t>
      </w:r>
    </w:p>
    <w:p>
      <w:pPr>
        <w:spacing w:after="0" w:line="1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Results of Operations and Financial</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Condition</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 and Use of Proceeds</w:t>
      </w:r>
    </w:p>
    <w:p>
      <w:pPr>
        <w:spacing w:after="0" w:line="174"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INFORMATION</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25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September 30,</w:t>
            </w:r>
          </w:p>
        </w:tc>
        <w:tc>
          <w:tcPr>
            <w:tcW w:w="1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020" w:type="dxa"/>
            <w:vAlign w:val="bottom"/>
          </w:tcPr>
          <w:p>
            <w:pPr>
              <w:spacing w:after="0"/>
              <w:rPr>
                <w:sz w:val="14"/>
                <w:szCs w:val="14"/>
                <w:color w:val="auto"/>
              </w:rPr>
            </w:pPr>
          </w:p>
        </w:tc>
        <w:tc>
          <w:tcPr>
            <w:tcW w:w="254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0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$ 53,732</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$ 41,693</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including</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unbilled of $2,031 and</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$3,590, respectively</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48,565</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64,186</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from related</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parties, including unbilled</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of $0 and $930, respectively</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15,393</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19,427</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12,532</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12,705</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current assets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6,161</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6,756</w:t>
            </w:r>
          </w:p>
        </w:tc>
      </w:tr>
      <w:tr>
        <w:trPr>
          <w:trHeight w:val="172"/>
        </w:trPr>
        <w:tc>
          <w:tcPr>
            <w:tcW w:w="4020" w:type="dxa"/>
            <w:vAlign w:val="bottom"/>
          </w:tcPr>
          <w:p>
            <w:pPr>
              <w:spacing w:after="0"/>
              <w:rPr>
                <w:sz w:val="14"/>
                <w:szCs w:val="14"/>
                <w:color w:val="auto"/>
              </w:rPr>
            </w:pP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136,383</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144,767</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improvements, net</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28,287</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39,155</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4,587</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8,363</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25,982</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24,017</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25,343</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21,621</w:t>
            </w:r>
          </w:p>
        </w:tc>
      </w:tr>
      <w:tr>
        <w:trPr>
          <w:trHeight w:val="172"/>
        </w:trPr>
        <w:tc>
          <w:tcPr>
            <w:tcW w:w="4020" w:type="dxa"/>
            <w:vAlign w:val="bottom"/>
          </w:tcPr>
          <w:p>
            <w:pPr>
              <w:spacing w:after="0"/>
              <w:rPr>
                <w:sz w:val="14"/>
                <w:szCs w:val="14"/>
                <w:color w:val="auto"/>
              </w:rPr>
            </w:pP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$220,582</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$237,923</w:t>
            </w:r>
          </w:p>
        </w:tc>
      </w:tr>
      <w:tr>
        <w:trPr>
          <w:trHeight w:val="172"/>
        </w:trPr>
        <w:tc>
          <w:tcPr>
            <w:tcW w:w="4020" w:type="dxa"/>
            <w:vAlign w:val="bottom"/>
          </w:tcPr>
          <w:p>
            <w:pPr>
              <w:spacing w:after="0"/>
              <w:rPr>
                <w:sz w:val="14"/>
                <w:szCs w:val="14"/>
                <w:color w:val="auto"/>
              </w:rPr>
            </w:pP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equity (deficit)</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and accrued</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expenses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$ 30,543</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$ 43,532</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Accrued personnel costs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23,098</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28,943</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Short-term financing</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arrangements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1,998</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17,470</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Unearned revenue</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17,440</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33,511</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Notes payable to related parties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3,268</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ind w:left="440"/>
              <w:spacing w:after="0"/>
              <w:rPr>
                <w:sz w:val="20"/>
                <w:szCs w:val="20"/>
                <w:color w:val="auto"/>
              </w:rPr>
            </w:pPr>
            <w:r>
              <w:rPr>
                <w:rFonts w:ascii="Courier New" w:cs="Courier New" w:eastAsia="Courier New" w:hAnsi="Courier New"/>
                <w:sz w:val="15"/>
                <w:szCs w:val="15"/>
                <w:color w:val="auto"/>
              </w:rPr>
              <w:t>Short-term portion of capital</w:t>
            </w:r>
          </w:p>
        </w:tc>
        <w:tc>
          <w:tcPr>
            <w:tcW w:w="25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020" w:type="dxa"/>
            <w:vAlign w:val="bottom"/>
          </w:tcPr>
          <w:p>
            <w:pPr>
              <w:ind w:left="800"/>
              <w:spacing w:after="0"/>
              <w:rPr>
                <w:sz w:val="20"/>
                <w:szCs w:val="20"/>
                <w:color w:val="auto"/>
              </w:rPr>
            </w:pPr>
            <w:r>
              <w:rPr>
                <w:rFonts w:ascii="Courier New" w:cs="Courier New" w:eastAsia="Courier New" w:hAnsi="Courier New"/>
                <w:sz w:val="15"/>
                <w:szCs w:val="15"/>
                <w:color w:val="auto"/>
              </w:rPr>
              <w:t>lease obligations</w:t>
            </w:r>
          </w:p>
        </w:tc>
        <w:tc>
          <w:tcPr>
            <w:tcW w:w="254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1,954</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2,340</w:t>
            </w:r>
          </w:p>
        </w:tc>
      </w:tr>
    </w:tbl>
    <w:p>
      <w:pPr>
        <w:sectPr>
          <w:pgSz w:w="11900" w:h="16838" w:orient="portrait"/>
          <w:cols w:equalWidth="0" w:num="1">
            <w:col w:w="10219"/>
          </w:cols>
          <w:pgMar w:left="240" w:top="289"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16"/>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 and income</w:t>
            </w: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taxes payable</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20,151</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20,886</w:t>
            </w:r>
          </w:p>
        </w:tc>
      </w:tr>
      <w:tr>
        <w:trPr>
          <w:trHeight w:val="172"/>
        </w:trPr>
        <w:tc>
          <w:tcPr>
            <w:tcW w:w="4740" w:type="dxa"/>
            <w:vAlign w:val="bottom"/>
          </w:tcPr>
          <w:p>
            <w:pPr>
              <w:spacing w:after="0"/>
              <w:rPr>
                <w:sz w:val="14"/>
                <w:szCs w:val="14"/>
                <w:color w:val="auto"/>
              </w:rPr>
            </w:pP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98,452</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146,682</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Long-term debt and capital lease</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7,370</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101,847</w:t>
            </w: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obligations</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20,507</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22,678</w:t>
            </w:r>
          </w:p>
        </w:tc>
      </w:tr>
      <w:tr>
        <w:trPr>
          <w:trHeight w:val="516"/>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Preferred Shares - authorized</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25,000 shares; pound sterling 0.01 par</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value; 0 shares issued and</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outstanding</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Ordinary Shares - authorized</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550,000 shares; pound sterling 0.01 par</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value; 124,708 and 196,800</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800"/>
              <w:spacing w:after="0"/>
              <w:rPr>
                <w:sz w:val="20"/>
                <w:szCs w:val="20"/>
                <w:color w:val="auto"/>
              </w:rPr>
            </w:pPr>
            <w:r>
              <w:rPr>
                <w:rFonts w:ascii="Courier New" w:cs="Courier New" w:eastAsia="Courier New" w:hAnsi="Courier New"/>
                <w:sz w:val="15"/>
                <w:szCs w:val="15"/>
                <w:color w:val="auto"/>
              </w:rPr>
              <w:t>outstanding, respectively</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3,149</w:t>
            </w: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105,779</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447,597</w:t>
            </w: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Unearned compensation</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(10,333)</w:t>
            </w: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21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(13,522)</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(473,697)</w:t>
            </w:r>
          </w:p>
        </w:tc>
      </w:tr>
      <w:tr>
        <w:trPr>
          <w:trHeight w:val="172"/>
        </w:trPr>
        <w:tc>
          <w:tcPr>
            <w:tcW w:w="4740" w:type="dxa"/>
            <w:vAlign w:val="bottom"/>
          </w:tcPr>
          <w:p>
            <w:pPr>
              <w:spacing w:after="0"/>
              <w:rPr>
                <w:sz w:val="14"/>
                <w:szCs w:val="14"/>
                <w:color w:val="auto"/>
              </w:rPr>
            </w:pP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2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(deficit)</w:t>
            </w: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94,253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(33,284)</w:t>
            </w:r>
          </w:p>
        </w:tc>
      </w:tr>
      <w:tr>
        <w:trPr>
          <w:trHeight w:val="172"/>
        </w:trPr>
        <w:tc>
          <w:tcPr>
            <w:tcW w:w="4740" w:type="dxa"/>
            <w:vAlign w:val="bottom"/>
          </w:tcPr>
          <w:p>
            <w:pPr>
              <w:spacing w:after="0"/>
              <w:rPr>
                <w:sz w:val="14"/>
                <w:szCs w:val="14"/>
                <w:color w:val="auto"/>
              </w:rPr>
            </w:pP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$ 220,582</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$ 237,923</w:t>
            </w:r>
          </w:p>
        </w:tc>
      </w:tr>
      <w:tr>
        <w:trPr>
          <w:trHeight w:val="172"/>
        </w:trPr>
        <w:tc>
          <w:tcPr>
            <w:tcW w:w="4740" w:type="dxa"/>
            <w:vAlign w:val="bottom"/>
          </w:tcPr>
          <w:p>
            <w:pPr>
              <w:spacing w:after="0"/>
              <w:rPr>
                <w:sz w:val="14"/>
                <w:szCs w:val="14"/>
                <w:color w:val="auto"/>
              </w:rPr>
            </w:pPr>
          </w:p>
        </w:tc>
        <w:tc>
          <w:tcPr>
            <w:tcW w:w="21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Three months ended June 30</w:t>
            </w:r>
          </w:p>
        </w:tc>
        <w:tc>
          <w:tcPr>
            <w:tcW w:w="840" w:type="dxa"/>
            <w:vAlign w:val="bottom"/>
          </w:tcPr>
          <w:p>
            <w:pPr>
              <w:spacing w:after="0"/>
              <w:rPr>
                <w:sz w:val="14"/>
                <w:szCs w:val="14"/>
                <w:color w:val="auto"/>
              </w:rPr>
            </w:pPr>
          </w:p>
        </w:tc>
        <w:tc>
          <w:tcPr>
            <w:tcW w:w="30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Nine months ended June 30</w:t>
            </w:r>
          </w:p>
        </w:tc>
      </w:tr>
      <w:tr>
        <w:trPr>
          <w:trHeight w:val="344"/>
        </w:trPr>
        <w:tc>
          <w:tcPr>
            <w:tcW w:w="3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spacing w:after="0"/>
              <w:rPr>
                <w:sz w:val="24"/>
                <w:szCs w:val="24"/>
                <w:color w:val="auto"/>
              </w:rPr>
            </w:pPr>
          </w:p>
        </w:tc>
        <w:tc>
          <w:tcPr>
            <w:tcW w:w="13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spacing w:after="0"/>
              <w:rPr>
                <w:sz w:val="24"/>
                <w:szCs w:val="24"/>
                <w:color w:val="auto"/>
              </w:rPr>
            </w:pPr>
          </w:p>
        </w:tc>
        <w:tc>
          <w:tcPr>
            <w:tcW w:w="13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24"/>
                <w:szCs w:val="2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License</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6,851</w:t>
            </w:r>
          </w:p>
        </w:tc>
        <w:tc>
          <w:tcPr>
            <w:tcW w:w="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11,322</w:t>
            </w:r>
          </w:p>
        </w:tc>
        <w:tc>
          <w:tcPr>
            <w:tcW w:w="8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15,568</w:t>
            </w: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29,741</w:t>
            </w: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Service</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70,238</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95,175</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186,547</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257,322</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77,089</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106,497</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202,115</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287,063</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Cost of license</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1,568</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2,654</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3,880</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8,521</w:t>
            </w: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Cost of service</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47,925</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60,518</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122,129</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165,268</w:t>
            </w: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4,167</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7,172</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12,178</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18,127</w:t>
            </w: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220" w:type="dxa"/>
            <w:vAlign w:val="bottom"/>
          </w:tcPr>
          <w:p>
            <w:pPr>
              <w:ind w:left="800"/>
              <w:spacing w:after="0"/>
              <w:rPr>
                <w:sz w:val="20"/>
                <w:szCs w:val="20"/>
                <w:color w:val="auto"/>
              </w:rPr>
            </w:pPr>
            <w:r>
              <w:rPr>
                <w:rFonts w:ascii="Courier New" w:cs="Courier New" w:eastAsia="Courier New" w:hAnsi="Courier New"/>
                <w:sz w:val="15"/>
                <w:szCs w:val="15"/>
                <w:color w:val="auto"/>
              </w:rPr>
              <w:t>administrative</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10,066</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13,332</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26,373</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36,356</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63,726</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83,676</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164,560</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228,272</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2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13,363</w:t>
            </w:r>
          </w:p>
        </w:tc>
        <w:tc>
          <w:tcPr>
            <w:tcW w:w="84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22,821</w:t>
            </w:r>
          </w:p>
        </w:tc>
        <w:tc>
          <w:tcPr>
            <w:tcW w:w="840" w:type="dxa"/>
            <w:vAlign w:val="bottom"/>
          </w:tcPr>
          <w:p>
            <w:pPr>
              <w:spacing w:after="0"/>
              <w:rPr>
                <w:sz w:val="24"/>
                <w:szCs w:val="2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37,555</w:t>
            </w:r>
          </w:p>
        </w:tc>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58,791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184</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9,212</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696</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23,013</w:t>
            </w:r>
          </w:p>
        </w:tc>
      </w:tr>
      <w:tr>
        <w:trPr>
          <w:trHeight w:val="172"/>
        </w:trPr>
        <w:tc>
          <w:tcPr>
            <w:tcW w:w="322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(218)</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723</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(546)</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9,935</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21,772</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13,397</w:t>
            </w:r>
          </w:p>
        </w:tc>
        <w:tc>
          <w:tcPr>
            <w:tcW w:w="84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12,886</w:t>
            </w:r>
          </w:p>
        </w:tc>
        <w:tc>
          <w:tcPr>
            <w:tcW w:w="840" w:type="dxa"/>
            <w:vAlign w:val="bottom"/>
          </w:tcPr>
          <w:p>
            <w:pPr>
              <w:spacing w:after="0"/>
              <w:rPr>
                <w:sz w:val="14"/>
                <w:szCs w:val="1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37,405</w:t>
            </w:r>
          </w:p>
        </w:tc>
        <w:tc>
          <w:tcPr>
            <w:tcW w:w="8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37,019</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02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6,019</w:t>
            </w:r>
          </w:p>
        </w:tc>
        <w:tc>
          <w:tcPr>
            <w:tcW w:w="84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6,443</w:t>
            </w:r>
          </w:p>
        </w:tc>
        <w:tc>
          <w:tcPr>
            <w:tcW w:w="840" w:type="dxa"/>
            <w:vAlign w:val="bottom"/>
          </w:tcPr>
          <w:p>
            <w:pPr>
              <w:spacing w:after="0"/>
              <w:rPr>
                <w:sz w:val="24"/>
                <w:szCs w:val="2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13,222</w:t>
            </w:r>
          </w:p>
        </w:tc>
        <w:tc>
          <w:tcPr>
            <w:tcW w:w="8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18,510</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7,378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6,443</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24,183</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8"/>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0.04</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0.04</w:t>
            </w:r>
          </w:p>
        </w:tc>
        <w:tc>
          <w:tcPr>
            <w:tcW w:w="8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0.22</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3220" w:type="dxa"/>
            <w:vAlign w:val="bottom"/>
          </w:tcPr>
          <w:p>
            <w:pPr>
              <w:spacing w:after="0"/>
              <w:rPr>
                <w:sz w:val="14"/>
                <w:szCs w:val="14"/>
                <w:color w:val="auto"/>
              </w:rPr>
            </w:pPr>
          </w:p>
        </w:tc>
        <w:tc>
          <w:tcPr>
            <w:tcW w:w="22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ectPr>
          <w:pgSz w:w="11900" w:h="16838" w:orient="portrait"/>
          <w:cols w:equalWidth="0" w:num="1">
            <w:col w:w="11520"/>
          </w:cols>
          <w:pgMar w:left="240" w:top="289"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6560" w:type="dxa"/>
            <w:vAlign w:val="bottom"/>
          </w:tcPr>
          <w:p>
            <w:pPr>
              <w:ind w:left="1420"/>
              <w:spacing w:after="0"/>
              <w:rPr>
                <w:sz w:val="20"/>
                <w:szCs w:val="20"/>
                <w:color w:val="auto"/>
              </w:rPr>
            </w:pPr>
            <w:r>
              <w:rPr>
                <w:rFonts w:ascii="Courier New" w:cs="Courier New" w:eastAsia="Courier New" w:hAnsi="Courier New"/>
                <w:sz w:val="15"/>
                <w:szCs w:val="15"/>
                <w:color w:val="auto"/>
              </w:rPr>
              <w:t>CONSOLIDATED STATEMENTS OF CASH FLOWS (UNAUDITED)</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6560" w:type="dxa"/>
            <w:vAlign w:val="bottom"/>
          </w:tcPr>
          <w:p>
            <w:pPr>
              <w:ind w:left="2940"/>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6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For the Nine Months Ended</w:t>
            </w:r>
          </w:p>
        </w:tc>
      </w:tr>
      <w:tr>
        <w:trPr>
          <w:trHeight w:val="344"/>
        </w:trPr>
        <w:tc>
          <w:tcPr>
            <w:tcW w:w="6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June 30,</w:t>
            </w:r>
          </w:p>
        </w:tc>
        <w:tc>
          <w:tcPr>
            <w:tcW w:w="4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June 30,</w:t>
            </w:r>
          </w:p>
        </w:tc>
      </w:tr>
      <w:tr>
        <w:trPr>
          <w:trHeight w:val="172"/>
        </w:trPr>
        <w:tc>
          <w:tcPr>
            <w:tcW w:w="6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516"/>
        </w:trPr>
        <w:tc>
          <w:tcPr>
            <w:tcW w:w="65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27,709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51,269</w:t>
            </w:r>
          </w:p>
        </w:tc>
      </w:tr>
      <w:tr>
        <w:trPr>
          <w:trHeight w:val="688"/>
        </w:trPr>
        <w:tc>
          <w:tcPr>
            <w:tcW w:w="65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Purchase of equipment and leasehold improvements</w:t>
            </w:r>
          </w:p>
        </w:tc>
        <w:tc>
          <w:tcPr>
            <w:tcW w:w="900" w:type="dxa"/>
            <w:vAlign w:val="bottom"/>
          </w:tcPr>
          <w:p>
            <w:pPr>
              <w:spacing w:after="0"/>
              <w:rPr>
                <w:sz w:val="24"/>
                <w:szCs w:val="24"/>
                <w:color w:val="auto"/>
              </w:rPr>
            </w:pP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(7,346)</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(17,412)</w:t>
            </w:r>
          </w:p>
        </w:tc>
      </w:tr>
      <w:tr>
        <w:trPr>
          <w:trHeight w:val="172"/>
        </w:trPr>
        <w:tc>
          <w:tcPr>
            <w:tcW w:w="6560" w:type="dxa"/>
            <w:vAlign w:val="bottom"/>
          </w:tcPr>
          <w:p>
            <w:pPr>
              <w:spacing w:after="0"/>
              <w:rPr>
                <w:sz w:val="14"/>
                <w:szCs w:val="14"/>
                <w:color w:val="auto"/>
              </w:rPr>
            </w:pPr>
          </w:p>
        </w:tc>
        <w:tc>
          <w:tcPr>
            <w:tcW w:w="21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Net cash used in investing activities</w:t>
            </w:r>
          </w:p>
        </w:tc>
        <w:tc>
          <w:tcPr>
            <w:tcW w:w="900" w:type="dxa"/>
            <w:vAlign w:val="bottom"/>
          </w:tcPr>
          <w:p>
            <w:pPr>
              <w:spacing w:after="0"/>
              <w:rPr>
                <w:sz w:val="14"/>
                <w:szCs w:val="14"/>
                <w:color w:val="auto"/>
              </w:rPr>
            </w:pP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(7,346)</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(17,412)</w:t>
            </w:r>
          </w:p>
        </w:tc>
      </w:tr>
      <w:tr>
        <w:trPr>
          <w:trHeight w:val="688"/>
        </w:trPr>
        <w:tc>
          <w:tcPr>
            <w:tcW w:w="65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Net proceeds from issuance of Ordinary Shares</w:t>
            </w: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332,223</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Dividends paid</w:t>
            </w:r>
          </w:p>
        </w:tc>
        <w:tc>
          <w:tcPr>
            <w:tcW w:w="900" w:type="dxa"/>
            <w:vAlign w:val="bottom"/>
          </w:tcPr>
          <w:p>
            <w:pPr>
              <w:spacing w:after="0"/>
              <w:rPr>
                <w:sz w:val="24"/>
                <w:szCs w:val="24"/>
                <w:color w:val="auto"/>
              </w:rPr>
            </w:pP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(18,000)</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(478,684)</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Borrowings under short-term financing arrangements</w:t>
            </w: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110,127</w:t>
            </w:r>
          </w:p>
        </w:tc>
        <w:tc>
          <w:tcPr>
            <w:tcW w:w="4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223,921</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Payments on short-term financing arrangements</w:t>
            </w:r>
          </w:p>
        </w:tc>
        <w:tc>
          <w:tcPr>
            <w:tcW w:w="900" w:type="dxa"/>
            <w:vAlign w:val="bottom"/>
          </w:tcPr>
          <w:p>
            <w:pPr>
              <w:spacing w:after="0"/>
              <w:rPr>
                <w:sz w:val="24"/>
                <w:szCs w:val="24"/>
                <w:color w:val="auto"/>
              </w:rPr>
            </w:pP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(110,706)</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(208,449)</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Payments on notes payable to related parties</w:t>
            </w: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Net proceeds from issuance of long-term debt</w:t>
            </w: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357,877</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Principal payments under long-term debt and</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6560" w:type="dxa"/>
            <w:vAlign w:val="bottom"/>
          </w:tcPr>
          <w:p>
            <w:pPr>
              <w:ind w:left="1160"/>
              <w:spacing w:after="0"/>
              <w:rPr>
                <w:sz w:val="20"/>
                <w:szCs w:val="20"/>
                <w:color w:val="auto"/>
              </w:rPr>
            </w:pPr>
            <w:r>
              <w:rPr>
                <w:rFonts w:ascii="Courier New" w:cs="Courier New" w:eastAsia="Courier New" w:hAnsi="Courier New"/>
                <w:sz w:val="15"/>
                <w:szCs w:val="15"/>
                <w:color w:val="auto"/>
              </w:rPr>
              <w:t>capital leases obligations</w:t>
            </w:r>
          </w:p>
        </w:tc>
        <w:tc>
          <w:tcPr>
            <w:tcW w:w="900" w:type="dxa"/>
            <w:vAlign w:val="bottom"/>
          </w:tcPr>
          <w:p>
            <w:pPr>
              <w:spacing w:after="0"/>
              <w:rPr>
                <w:sz w:val="14"/>
                <w:szCs w:val="14"/>
                <w:color w:val="auto"/>
              </w:rPr>
            </w:pP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(787)</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(269,516)</w:t>
            </w:r>
          </w:p>
        </w:tc>
      </w:tr>
      <w:tr>
        <w:trPr>
          <w:trHeight w:val="172"/>
        </w:trPr>
        <w:tc>
          <w:tcPr>
            <w:tcW w:w="6560" w:type="dxa"/>
            <w:vAlign w:val="bottom"/>
          </w:tcPr>
          <w:p>
            <w:pPr>
              <w:spacing w:after="0"/>
              <w:rPr>
                <w:sz w:val="14"/>
                <w:szCs w:val="14"/>
                <w:color w:val="auto"/>
              </w:rPr>
            </w:pPr>
          </w:p>
        </w:tc>
        <w:tc>
          <w:tcPr>
            <w:tcW w:w="21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Net cash used in financing activities</w:t>
            </w:r>
          </w:p>
        </w:tc>
        <w:tc>
          <w:tcPr>
            <w:tcW w:w="900" w:type="dxa"/>
            <w:vAlign w:val="bottom"/>
          </w:tcPr>
          <w:p>
            <w:pPr>
              <w:spacing w:after="0"/>
              <w:rPr>
                <w:sz w:val="14"/>
                <w:szCs w:val="14"/>
                <w:color w:val="auto"/>
              </w:rPr>
            </w:pP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(19,366)</w:t>
            </w: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45,896)</w:t>
            </w:r>
          </w:p>
        </w:tc>
      </w:tr>
      <w:tr>
        <w:trPr>
          <w:trHeight w:val="516"/>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997</w:t>
            </w: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900" w:type="dxa"/>
            <w:vAlign w:val="bottom"/>
          </w:tcPr>
          <w:p>
            <w:pPr>
              <w:spacing w:after="0"/>
              <w:rPr>
                <w:sz w:val="24"/>
                <w:szCs w:val="24"/>
                <w:color w:val="auto"/>
              </w:rPr>
            </w:pP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16,083</w:t>
            </w:r>
          </w:p>
        </w:tc>
        <w:tc>
          <w:tcPr>
            <w:tcW w:w="46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6560" w:type="dxa"/>
            <w:vAlign w:val="bottom"/>
          </w:tcPr>
          <w:p>
            <w:pPr>
              <w:spacing w:after="0"/>
              <w:rPr>
                <w:sz w:val="14"/>
                <w:szCs w:val="14"/>
                <w:color w:val="auto"/>
              </w:rPr>
            </w:pPr>
          </w:p>
        </w:tc>
        <w:tc>
          <w:tcPr>
            <w:tcW w:w="21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17,080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41,693</w:t>
            </w:r>
          </w:p>
        </w:tc>
      </w:tr>
      <w:tr>
        <w:trPr>
          <w:trHeight w:val="172"/>
        </w:trPr>
        <w:tc>
          <w:tcPr>
            <w:tcW w:w="6560" w:type="dxa"/>
            <w:vAlign w:val="bottom"/>
          </w:tcPr>
          <w:p>
            <w:pPr>
              <w:spacing w:after="0"/>
              <w:rPr>
                <w:sz w:val="14"/>
                <w:szCs w:val="14"/>
                <w:color w:val="auto"/>
              </w:rPr>
            </w:pPr>
          </w:p>
        </w:tc>
        <w:tc>
          <w:tcPr>
            <w:tcW w:w="21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 and Income Taxes Paid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Cash paid for:</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Income taxes, net of refunds</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Interest</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200" w:lineRule="exact"/>
        <w:rPr>
          <w:sz w:val="20"/>
          <w:szCs w:val="20"/>
          <w:color w:val="auto"/>
        </w:rPr>
      </w:pPr>
    </w:p>
    <w:p>
      <w:pPr>
        <w:spacing w:after="0" w:line="320" w:lineRule="exact"/>
        <w:rPr>
          <w:sz w:val="20"/>
          <w:szCs w:val="20"/>
          <w:color w:val="auto"/>
        </w:rPr>
      </w:pPr>
    </w:p>
    <w:p>
      <w:pPr>
        <w:jc w:val="both"/>
        <w:ind w:left="340" w:right="180"/>
        <w:spacing w:after="0" w:line="241" w:lineRule="auto"/>
        <w:rPr>
          <w:sz w:val="20"/>
          <w:szCs w:val="20"/>
          <w:color w:val="auto"/>
        </w:rPr>
      </w:pPr>
      <w:r>
        <w:rPr>
          <w:rFonts w:ascii="Courier New" w:cs="Courier New" w:eastAsia="Courier New" w:hAnsi="Courier New"/>
          <w:sz w:val="15"/>
          <w:szCs w:val="15"/>
          <w:color w:val="auto"/>
        </w:rPr>
        <w:t>Capital lease obligations of $4,328 and $2,106 were incurred during the nine months ended June 30, 1997 and 1998, respectively, when the Company entered into lease agreements for vehicles.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For the Nine Months Ended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4"/>
              </w:rPr>
              <w:t>June 30,</w:t>
            </w:r>
          </w:p>
        </w:tc>
        <w:tc>
          <w:tcPr>
            <w:tcW w:w="4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June 30,</w:t>
            </w:r>
          </w:p>
        </w:tc>
      </w:tr>
      <w:tr>
        <w:trPr>
          <w:trHeight w:val="172"/>
        </w:trPr>
        <w:tc>
          <w:tcPr>
            <w:tcW w:w="10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688"/>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21,857</w:t>
            </w:r>
          </w:p>
        </w:tc>
      </w:tr>
      <w:tr>
        <w:trPr>
          <w:trHeight w:val="172"/>
        </w:trPr>
        <w:tc>
          <w:tcPr>
            <w:tcW w:w="10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700</w:t>
            </w:r>
          </w:p>
        </w:tc>
        <w:tc>
          <w:tcPr>
            <w:tcW w:w="4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20,891</w:t>
            </w:r>
          </w:p>
        </w:tc>
      </w:tr>
    </w:tbl>
    <w:p>
      <w:pPr>
        <w:sectPr>
          <w:pgSz w:w="11900" w:h="16838" w:orient="portrait"/>
          <w:cols w:equalWidth="0" w:num="2">
            <w:col w:w="6960" w:space="720"/>
            <w:col w:w="253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NOTES TO UNAUDITED CONSOLIDATED</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FINANCIAL STATEMENTS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THE COMPANY</w:t>
      </w:r>
    </w:p>
    <w:p>
      <w:pPr>
        <w:spacing w:after="0" w:line="176"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Amdocs Limited (the "Company" or "Amdocs") and its subsidiaries provide product-driven information system solutions to major telecommunication companies in the United States and around the world.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- 2 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 in conformity with generally accepted accounting principles. For further information, refer to the Company's consolidated financial statements for the year ended September 30, 1997 set forth in the Company's Registration Statement on Form F-1 filed with the Commission on June 19, 1998.</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Based Compensation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The Company has elected to account for stock-based compensation in accordance with the provisions of the Accounting Principle Board's Opinion No. 25, "Accounting for Stock Issued to Employees," and to apply the disclosure provisions of SFAS No. 123, "Accounting for Stock Based Compensation." Compensation expense is recorded based on the difference between the exercise price of options granted and the market value of the underlying shares at the date of grant.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The Company utilizes derivative financial instruments to reduce its exposure from changes in foreign exchange rates. The instruments primarily used are forward exchange contracts.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 enters into forward exchange contracts to hedge foreign currency transactions on a continuous basis for periods consistent with its committed exposures. The United States dollar equivalent of contractual amounts of the Company's forward exchange contracts to sell (purchase) the currencies below, at June 30, 1998,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Great Britain Pounds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21,115</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Austrian Shillings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15,332</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7,507</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(44,107)</w:t>
            </w:r>
          </w:p>
        </w:tc>
      </w:tr>
      <w:tr>
        <w:trPr>
          <w:trHeight w:val="172"/>
        </w:trPr>
        <w:tc>
          <w:tcPr>
            <w:tcW w:w="2060" w:type="dxa"/>
            <w:vAlign w:val="bottom"/>
          </w:tcPr>
          <w:p>
            <w:pPr>
              <w:spacing w:after="0"/>
              <w:rPr>
                <w:sz w:val="20"/>
                <w:szCs w:val="20"/>
                <w:color w:val="auto"/>
              </w:rPr>
            </w:pPr>
            <w:r>
              <w:rPr>
                <w:rFonts w:ascii="Courier New" w:cs="Courier New" w:eastAsia="Courier New" w:hAnsi="Courier New"/>
                <w:sz w:val="15"/>
                <w:szCs w:val="15"/>
                <w:color w:val="auto"/>
              </w:rPr>
              <w:t>Other currencies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(1,031)</w:t>
            </w:r>
          </w:p>
        </w:tc>
      </w:tr>
    </w:tbl>
    <w:p>
      <w:pPr>
        <w:spacing w:after="0" w:line="348" w:lineRule="exact"/>
        <w:rPr>
          <w:sz w:val="20"/>
          <w:szCs w:val="20"/>
          <w:color w:val="auto"/>
        </w:rPr>
      </w:pPr>
    </w:p>
    <w:p>
      <w:pPr>
        <w:ind w:right="3779" w:firstLine="805"/>
        <w:spacing w:after="0"/>
        <w:rPr>
          <w:sz w:val="20"/>
          <w:szCs w:val="20"/>
          <w:color w:val="auto"/>
        </w:rPr>
      </w:pPr>
      <w:r>
        <w:rPr>
          <w:rFonts w:ascii="Courier New" w:cs="Courier New" w:eastAsia="Courier New" w:hAnsi="Courier New"/>
          <w:sz w:val="15"/>
          <w:szCs w:val="15"/>
          <w:color w:val="auto"/>
        </w:rPr>
        <w:t>Realized gains and losses on foreign exchange contracts are not material in the periods ended June 30, 1998 or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Adoption of New Accounting Standard</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In June 1998, the Financial Accounting Standards Board issued Statement No. 133, "Accounting for Derivative Instruments and Hedging Activities," which is required to be adopted in years beginning after June 15, 1999. The Statement permits early adoption as of the beginning of any fiscal quarter after its issuance. The Company plans to adopt the new Statement effective July 1, 1998. The Statement will require the Company to recognize all derivatives on the balance sheet at fair value. Changes in the fair value of derivatives used for hedging purposes, depending on the nature of the hedge, will either be offset against the change in fair value of the hedged assets, liabilities or firm commitments through earnings or recognized in other comprehensive income</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4" w:lineRule="exact"/>
        <w:rPr>
          <w:sz w:val="20"/>
          <w:szCs w:val="20"/>
          <w:color w:val="auto"/>
        </w:rPr>
      </w:pPr>
    </w:p>
    <w:p>
      <w:pPr>
        <w:jc w:val="both"/>
        <w:ind w:right="3339"/>
        <w:spacing w:after="0" w:line="274" w:lineRule="auto"/>
        <w:rPr>
          <w:sz w:val="20"/>
          <w:szCs w:val="20"/>
          <w:color w:val="auto"/>
        </w:rPr>
      </w:pPr>
      <w:r>
        <w:rPr>
          <w:rFonts w:ascii="Courier New" w:cs="Courier New" w:eastAsia="Courier New" w:hAnsi="Courier New"/>
          <w:sz w:val="14"/>
          <w:szCs w:val="14"/>
          <w:color w:val="auto"/>
        </w:rPr>
        <w:t>until the hedged item is recognized in earnings. The ineffective portion of a derivative's change in fair value will be immediately recognized in earnings.</w:t>
      </w:r>
    </w:p>
    <w:p>
      <w:pPr>
        <w:spacing w:after="0" w:line="326" w:lineRule="exact"/>
        <w:rPr>
          <w:sz w:val="20"/>
          <w:szCs w:val="20"/>
          <w:color w:val="auto"/>
        </w:rPr>
      </w:pPr>
    </w:p>
    <w:p>
      <w:pPr>
        <w:ind w:right="3159" w:firstLine="805"/>
        <w:spacing w:after="0"/>
        <w:rPr>
          <w:sz w:val="20"/>
          <w:szCs w:val="20"/>
          <w:color w:val="auto"/>
        </w:rPr>
      </w:pPr>
      <w:r>
        <w:rPr>
          <w:rFonts w:ascii="Courier New" w:cs="Courier New" w:eastAsia="Courier New" w:hAnsi="Courier New"/>
          <w:sz w:val="15"/>
          <w:szCs w:val="15"/>
          <w:color w:val="auto"/>
        </w:rPr>
        <w:t>The Company estimates that the effect of its adoption of Statement 133 on the earnings of the Company will not be material.</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- 3 INCOME TAXES</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provision for income taxes for the nine month periods ended June 30, 1997 and 1998,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560" w:type="dxa"/>
            <w:vAlign w:val="bottom"/>
          </w:tcPr>
          <w:p>
            <w:pPr>
              <w:spacing w:after="0"/>
              <w:rPr>
                <w:sz w:val="14"/>
                <w:szCs w:val="14"/>
                <w:color w:val="auto"/>
              </w:rPr>
            </w:pPr>
          </w:p>
        </w:tc>
        <w:tc>
          <w:tcPr>
            <w:tcW w:w="19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560" w:type="dxa"/>
            <w:vAlign w:val="bottom"/>
          </w:tcPr>
          <w:p>
            <w:pPr>
              <w:spacing w:after="0"/>
              <w:rPr>
                <w:sz w:val="14"/>
                <w:szCs w:val="14"/>
                <w:color w:val="auto"/>
              </w:rPr>
            </w:pP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5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$ 16,038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$ 20,260</w:t>
            </w:r>
          </w:p>
        </w:tc>
      </w:t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9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(2,816)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1560" w:type="dxa"/>
            <w:vAlign w:val="bottom"/>
          </w:tcPr>
          <w:p>
            <w:pPr>
              <w:spacing w:after="0"/>
              <w:rPr>
                <w:sz w:val="14"/>
                <w:szCs w:val="14"/>
                <w:color w:val="auto"/>
              </w:rPr>
            </w:pP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560" w:type="dxa"/>
            <w:vAlign w:val="bottom"/>
          </w:tcPr>
          <w:p>
            <w:pPr>
              <w:spacing w:after="0"/>
              <w:rPr>
                <w:sz w:val="14"/>
                <w:szCs w:val="14"/>
                <w:color w:val="auto"/>
              </w:rPr>
            </w:pPr>
          </w:p>
        </w:tc>
        <w:tc>
          <w:tcPr>
            <w:tcW w:w="19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$ 13,222</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$ 18,510</w:t>
            </w:r>
          </w:p>
        </w:tc>
      </w:tr>
    </w:tbl>
    <w:p>
      <w:pPr>
        <w:spacing w:after="0" w:line="348"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nine month periods ended June 30, 1997 and 1998:</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080" w:type="dxa"/>
            <w:vAlign w:val="bottom"/>
          </w:tcPr>
          <w:p>
            <w:pPr>
              <w:spacing w:after="0"/>
              <w:rPr>
                <w:sz w:val="14"/>
                <w:szCs w:val="14"/>
                <w:color w:val="auto"/>
              </w:rPr>
            </w:pP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r>
      <w:tr>
        <w:trPr>
          <w:trHeight w:val="172"/>
        </w:trPr>
        <w:tc>
          <w:tcPr>
            <w:tcW w:w="3080" w:type="dxa"/>
            <w:vAlign w:val="bottom"/>
          </w:tcPr>
          <w:p>
            <w:pPr>
              <w:spacing w:after="0"/>
              <w:rPr>
                <w:sz w:val="14"/>
                <w:szCs w:val="14"/>
                <w:color w:val="auto"/>
              </w:rPr>
            </w:pP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bl>
    <w:p>
      <w:pPr>
        <w:spacing w:after="0" w:line="348"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increase in the effective income tax rate in 1998 reflects the estimated annual impact of certain expenses, primarily interest expense, incurred in a tax jurisdiction in which the Company has tax-exempt status, depriving the Company of a tax benefit which would otherwise offset tax expense incurred in other jurisdictions.</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FINANCING ARRANGEMENTS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Long-term debt and capital lease obligations at June 30, 1998 consist of the following: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20"/>
                <w:szCs w:val="20"/>
                <w:color w:val="auto"/>
              </w:rPr>
            </w:pPr>
            <w:r>
              <w:rPr>
                <w:rFonts w:ascii="Courier New" w:cs="Courier New" w:eastAsia="Courier New" w:hAnsi="Courier New"/>
                <w:sz w:val="15"/>
                <w:szCs w:val="15"/>
                <w:color w:val="auto"/>
              </w:rPr>
              <w:t>Notes payable to affiliates of certain</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60" w:type="dxa"/>
            <w:vAlign w:val="bottom"/>
          </w:tcPr>
          <w:p>
            <w:pPr>
              <w:ind w:left="800"/>
              <w:spacing w:after="0"/>
              <w:rPr>
                <w:sz w:val="20"/>
                <w:szCs w:val="20"/>
                <w:color w:val="auto"/>
              </w:rPr>
            </w:pPr>
            <w:r>
              <w:rPr>
                <w:rFonts w:ascii="Courier New" w:cs="Courier New" w:eastAsia="Courier New" w:hAnsi="Courier New"/>
                <w:sz w:val="15"/>
                <w:szCs w:val="15"/>
                <w:color w:val="auto"/>
              </w:rPr>
              <w:t>shareholders, interest rate 10%, principal</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60" w:type="dxa"/>
            <w:vAlign w:val="bottom"/>
          </w:tcPr>
          <w:p>
            <w:pPr>
              <w:ind w:left="800"/>
              <w:spacing w:after="0"/>
              <w:rPr>
                <w:sz w:val="20"/>
                <w:szCs w:val="20"/>
                <w:color w:val="auto"/>
              </w:rPr>
            </w:pPr>
            <w:r>
              <w:rPr>
                <w:rFonts w:ascii="Courier New" w:cs="Courier New" w:eastAsia="Courier New" w:hAnsi="Courier New"/>
                <w:sz w:val="15"/>
                <w:szCs w:val="15"/>
                <w:color w:val="auto"/>
              </w:rPr>
              <w:t>due September 2004</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74,521</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Revolving credit facility, variable interest</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260" w:type="dxa"/>
            <w:vAlign w:val="bottom"/>
          </w:tcPr>
          <w:p>
            <w:pPr>
              <w:ind w:left="800"/>
              <w:spacing w:after="0"/>
              <w:rPr>
                <w:sz w:val="20"/>
                <w:szCs w:val="20"/>
                <w:color w:val="auto"/>
              </w:rPr>
            </w:pPr>
            <w:r>
              <w:rPr>
                <w:rFonts w:ascii="Courier New" w:cs="Courier New" w:eastAsia="Courier New" w:hAnsi="Courier New"/>
                <w:sz w:val="15"/>
                <w:szCs w:val="15"/>
                <w:color w:val="auto"/>
              </w:rPr>
              <w:t>rate, 8.1% at June 30, 1998, principal due</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260" w:type="dxa"/>
            <w:vAlign w:val="bottom"/>
          </w:tcPr>
          <w:p>
            <w:pPr>
              <w:ind w:left="800"/>
              <w:spacing w:after="0"/>
              <w:rPr>
                <w:sz w:val="20"/>
                <w:szCs w:val="20"/>
                <w:color w:val="auto"/>
              </w:rPr>
            </w:pPr>
            <w:r>
              <w:rPr>
                <w:rFonts w:ascii="Courier New" w:cs="Courier New" w:eastAsia="Courier New" w:hAnsi="Courier New"/>
                <w:sz w:val="15"/>
                <w:szCs w:val="15"/>
                <w:color w:val="auto"/>
              </w:rPr>
              <w:t>at maturity December 2002</w:t>
            </w: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Capital lease obligations</w:t>
            </w:r>
          </w:p>
        </w:tc>
        <w:tc>
          <w:tcPr>
            <w:tcW w:w="9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9,666</w:t>
            </w:r>
          </w:p>
        </w:tc>
      </w:tr>
      <w:tr>
        <w:trPr>
          <w:trHeight w:val="172"/>
        </w:trPr>
        <w:tc>
          <w:tcPr>
            <w:tcW w:w="52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104,187</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Less current portion of capital obligations</w:t>
            </w:r>
          </w:p>
        </w:tc>
        <w:tc>
          <w:tcPr>
            <w:tcW w:w="9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2,340</w:t>
            </w:r>
          </w:p>
        </w:tc>
      </w:tr>
      <w:tr>
        <w:trPr>
          <w:trHeight w:val="172"/>
        </w:trPr>
        <w:tc>
          <w:tcPr>
            <w:tcW w:w="52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4"/>
                <w:szCs w:val="2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101,847</w:t>
            </w:r>
          </w:p>
        </w:tc>
      </w:tr>
      <w:tr>
        <w:trPr>
          <w:trHeight w:val="172"/>
        </w:trPr>
        <w:tc>
          <w:tcPr>
            <w:tcW w:w="526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STOCK OPTION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January 1998, the Company adopted its 1998 Stock Option and Incentive Plan (the "Plan"). Under the provisions of the Plan, 4,100 Ordinary Shares are available to be granted to officers, directors, employees, and consultants. In January 1998, options were granted to purchase 1,651 Ordinary Shares at an exercise price of $1.92 per share with vesting over four years and an option term of 10 years. On June 19, 1998, the Company granted options for an additional 855.4 shares with vesting over 3.5 years and the same exercise price as the options granted in January 1998. In connection with the June 1998 grants, the Company recorded unearned compensation expense totaling $10,333 as a separate component of shareholders' equity for the difference between the fair market value per share at the date of grant and the exercise price of $1.92 per share. Additional Paid in Capital was increased by the same amount. The unearned compensation will be amortized ratably over the vesting</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of 3.5 years.</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In May 1998, options to purchase 21 Ordinary Shares were granted to two non-employee directors at an exercise price equal to the offering price in the Company's initial public offering.</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EARNINGS PER SHARE</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90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 June 30,</w:t>
            </w:r>
          </w:p>
        </w:tc>
        <w:tc>
          <w:tcPr>
            <w:tcW w:w="300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Nine months ended June 30,</w:t>
            </w:r>
          </w:p>
        </w:tc>
      </w:tr>
      <w:tr>
        <w:trPr>
          <w:trHeight w:val="172"/>
        </w:trPr>
        <w:tc>
          <w:tcPr>
            <w:tcW w:w="2180" w:type="dxa"/>
            <w:vAlign w:val="bottom"/>
          </w:tcPr>
          <w:p>
            <w:pPr>
              <w:spacing w:after="0"/>
              <w:rPr>
                <w:sz w:val="14"/>
                <w:szCs w:val="14"/>
                <w:color w:val="auto"/>
              </w:rPr>
            </w:pPr>
          </w:p>
        </w:tc>
        <w:tc>
          <w:tcPr>
            <w:tcW w:w="3400" w:type="dxa"/>
            <w:vAlign w:val="bottom"/>
            <w:gridSpan w:val="4"/>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4"/>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1998</w:t>
            </w:r>
          </w:p>
        </w:tc>
        <w:tc>
          <w:tcPr>
            <w:tcW w:w="580" w:type="dxa"/>
            <w:vAlign w:val="bottom"/>
          </w:tcPr>
          <w:p>
            <w:pPr>
              <w:spacing w:after="0"/>
              <w:rPr>
                <w:sz w:val="14"/>
                <w:szCs w:val="14"/>
                <w:color w:val="auto"/>
              </w:rPr>
            </w:pPr>
          </w:p>
        </w:tc>
        <w:tc>
          <w:tcPr>
            <w:tcW w:w="1180" w:type="dxa"/>
            <w:vAlign w:val="bottom"/>
          </w:tcPr>
          <w:p>
            <w:pPr>
              <w:jc w:val="right"/>
              <w:ind w:right="745"/>
              <w:spacing w:after="0"/>
              <w:rPr>
                <w:sz w:val="20"/>
                <w:szCs w:val="20"/>
                <w:color w:val="auto"/>
              </w:rPr>
            </w:pPr>
            <w:r>
              <w:rPr>
                <w:rFonts w:ascii="Courier New" w:cs="Courier New" w:eastAsia="Courier New" w:hAnsi="Courier New"/>
                <w:sz w:val="15"/>
                <w:szCs w:val="15"/>
                <w:color w:val="auto"/>
                <w:w w:val="94"/>
              </w:rPr>
              <w:t>1997</w:t>
            </w:r>
          </w:p>
        </w:tc>
        <w:tc>
          <w:tcPr>
            <w:tcW w:w="62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1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7,378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6,443</w:t>
            </w:r>
          </w:p>
        </w:tc>
        <w:tc>
          <w:tcPr>
            <w:tcW w:w="1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$ 24,183</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$ 18,509</w:t>
            </w:r>
          </w:p>
        </w:tc>
      </w:tr>
      <w:tr>
        <w:trPr>
          <w:trHeight w:val="172"/>
        </w:trPr>
        <w:tc>
          <w:tcPr>
            <w:tcW w:w="21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basic</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earnings per</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share -</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107,916</w:t>
            </w:r>
          </w:p>
        </w:tc>
        <w:tc>
          <w:tcPr>
            <w:tcW w:w="620" w:type="dxa"/>
            <w:vAlign w:val="bottom"/>
          </w:tcPr>
          <w:p>
            <w:pPr>
              <w:spacing w:after="0"/>
              <w:rPr>
                <w:sz w:val="14"/>
                <w:szCs w:val="1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181,174</w:t>
            </w:r>
          </w:p>
        </w:tc>
        <w:tc>
          <w:tcPr>
            <w:tcW w:w="5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107,916</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145,630</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Effect of</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dilutive</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contingently</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issuable</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2,584</w:t>
            </w:r>
          </w:p>
        </w:tc>
        <w:tc>
          <w:tcPr>
            <w:tcW w:w="620" w:type="dxa"/>
            <w:vAlign w:val="bottom"/>
          </w:tcPr>
          <w:p>
            <w:pPr>
              <w:spacing w:after="0"/>
              <w:rPr>
                <w:sz w:val="14"/>
                <w:szCs w:val="1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2,584</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Effective of</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dilutive</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stock options</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granted</w:t>
            </w:r>
          </w:p>
        </w:tc>
        <w:tc>
          <w:tcPr>
            <w:tcW w:w="5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1,522</w:t>
            </w:r>
          </w:p>
        </w:tc>
        <w:tc>
          <w:tcPr>
            <w:tcW w:w="5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2"/>
        </w:trPr>
        <w:tc>
          <w:tcPr>
            <w:tcW w:w="21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dilutive</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earnings per</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share -</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adjusted</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shares and</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assumed</w:t>
            </w: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180" w:type="dxa"/>
            <w:vAlign w:val="bottom"/>
          </w:tcPr>
          <w:p>
            <w:pPr>
              <w:ind w:left="360"/>
              <w:spacing w:after="0"/>
              <w:rPr>
                <w:sz w:val="20"/>
                <w:szCs w:val="20"/>
                <w:color w:val="auto"/>
              </w:rPr>
            </w:pPr>
            <w:r>
              <w:rPr>
                <w:rFonts w:ascii="Courier New" w:cs="Courier New" w:eastAsia="Courier New" w:hAnsi="Courier New"/>
                <w:sz w:val="15"/>
                <w:szCs w:val="15"/>
                <w:color w:val="auto"/>
              </w:rPr>
              <w:t>conversions</w:t>
            </w:r>
          </w:p>
        </w:tc>
        <w:tc>
          <w:tcPr>
            <w:tcW w:w="50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110,500</w:t>
            </w:r>
          </w:p>
        </w:tc>
        <w:tc>
          <w:tcPr>
            <w:tcW w:w="620" w:type="dxa"/>
            <w:vAlign w:val="bottom"/>
          </w:tcPr>
          <w:p>
            <w:pPr>
              <w:spacing w:after="0"/>
              <w:rPr>
                <w:sz w:val="14"/>
                <w:szCs w:val="1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182,696</w:t>
            </w:r>
          </w:p>
        </w:tc>
        <w:tc>
          <w:tcPr>
            <w:tcW w:w="5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110,500</w:t>
            </w: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146,451</w:t>
            </w:r>
          </w:p>
        </w:tc>
      </w:tr>
      <w:tr>
        <w:trPr>
          <w:trHeight w:val="172"/>
        </w:trPr>
        <w:tc>
          <w:tcPr>
            <w:tcW w:w="21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0.04</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21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18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0.04</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2180" w:type="dxa"/>
            <w:vAlign w:val="bottom"/>
          </w:tcPr>
          <w:p>
            <w:pPr>
              <w:spacing w:after="0"/>
              <w:rPr>
                <w:sz w:val="14"/>
                <w:szCs w:val="14"/>
                <w:color w:val="auto"/>
              </w:rPr>
            </w:pP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RELATED PARTY INFORMATION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following includes income and expense resulting from</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gridSpan w:val="5"/>
          </w:tcPr>
          <w:p>
            <w:pPr>
              <w:spacing w:after="0"/>
              <w:rPr>
                <w:sz w:val="20"/>
                <w:szCs w:val="20"/>
                <w:color w:val="auto"/>
              </w:rPr>
            </w:pPr>
            <w:r>
              <w:rPr>
                <w:rFonts w:ascii="Courier New" w:cs="Courier New" w:eastAsia="Courier New" w:hAnsi="Courier New"/>
                <w:sz w:val="15"/>
                <w:szCs w:val="15"/>
                <w:color w:val="auto"/>
              </w:rPr>
              <w:t>transactions with related parties for the following periods: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688"/>
        </w:trPr>
        <w:tc>
          <w:tcPr>
            <w:tcW w:w="2280" w:type="dxa"/>
            <w:vAlign w:val="bottom"/>
          </w:tcPr>
          <w:p>
            <w:pPr>
              <w:spacing w:after="0"/>
              <w:rPr>
                <w:sz w:val="24"/>
                <w:szCs w:val="24"/>
                <w:color w:val="auto"/>
              </w:rPr>
            </w:pPr>
          </w:p>
        </w:tc>
        <w:tc>
          <w:tcPr>
            <w:tcW w:w="334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Three months ended June 30,</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June 30,</w:t>
            </w:r>
          </w:p>
        </w:tc>
      </w:tr>
      <w:tr>
        <w:trPr>
          <w:trHeight w:val="172"/>
        </w:trPr>
        <w:tc>
          <w:tcPr>
            <w:tcW w:w="2280" w:type="dxa"/>
            <w:vAlign w:val="bottom"/>
          </w:tcPr>
          <w:p>
            <w:pPr>
              <w:spacing w:after="0"/>
              <w:rPr>
                <w:sz w:val="14"/>
                <w:szCs w:val="14"/>
                <w:color w:val="auto"/>
              </w:rPr>
            </w:pPr>
          </w:p>
        </w:tc>
        <w:tc>
          <w:tcPr>
            <w:tcW w:w="3340" w:type="dxa"/>
            <w:vAlign w:val="bottom"/>
            <w:gridSpan w:val="4"/>
          </w:tcPr>
          <w:p>
            <w:pPr>
              <w:ind w:left="480"/>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spacing w:after="0"/>
              <w:rPr>
                <w:sz w:val="14"/>
                <w:szCs w:val="14"/>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1998</w:t>
            </w:r>
          </w:p>
        </w:tc>
        <w:tc>
          <w:tcPr>
            <w:tcW w:w="46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2,290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2,290</w:t>
            </w: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Services</w:t>
            </w: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26,253</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19,638</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75,084</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62,680</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26,253</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21,928</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75,084</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64,970</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1,568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3,880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639</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771</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1,891</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2,036</w:t>
            </w: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and  admini-</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strative</w:t>
            </w: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95</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282</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304</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2,302</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886</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6,053</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2,340</w:t>
            </w:r>
          </w:p>
        </w:tc>
      </w:tr>
      <w:tr>
        <w:trPr>
          <w:trHeight w:val="172"/>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w:t>
            </w:r>
          </w:p>
        </w:tc>
        <w:tc>
          <w:tcPr>
            <w:tcW w:w="46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6"/>
              </w:rPr>
              <w:t>------</w:t>
            </w:r>
          </w:p>
        </w:tc>
        <w:tc>
          <w:tcPr>
            <w:tcW w:w="5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580" w:type="dxa"/>
            <w:vAlign w:val="bottom"/>
          </w:tcPr>
          <w:p>
            <w:pPr>
              <w:ind w:left="4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4,150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INITIAL PUBLIC OFFERING</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On June 19, 1998, the Company raised net proceeds of $234,190 through an initial public offering of 18,000 Ordinary Shares. On June 24, 1998 the Company used these funds to repay $183,750 principal amount of outstanding term loans incurred in December 1997 and $49,000 principal amount of the aggregate $123,500 principal amount 10% subordinated debt financing completed in January 1998.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SUBSEQUENT EVENTS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 July 8, 1998, the Company established a $90,000 revolving line of credit with a syndicate of banks. The Company borrowed $66,000 under the line of credit to refinance its existing revolving credit facility and to repay an additional $46,000 of its subordinated debt. The new revolving line of credit bears a variable interest rate (6.5% at the establishment date). The credit agreement has various covenants that limit the Company's ability to make investments, incur debt, and dispose of property. The Company is also required to maintain certain financial ratios as defined in the agreement. As of July 31, 1998, the Company had extinguished its remaining subordinated debt with cash flows from operations.</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one of the Company's shareholders, SBC International Inc. ("SBCI"), to the underwriters involved with the Company's initial public offering, the underwriters elected to exercise their over-allotment option with respect to 1,344 non-voting Ordinary Shares held by SBCI. Consistent with the Company's Articles of Association, as a result of the transfer by SBCI of these non-voting Ordinary Shares, such non-voting Ordinary Shares converted automatically into voting Ordinary Shares.</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left="700" w:right="3699" w:hanging="715"/>
        <w:spacing w:after="0"/>
        <w:rPr>
          <w:sz w:val="20"/>
          <w:szCs w:val="20"/>
          <w:color w:val="auto"/>
        </w:rPr>
      </w:pPr>
      <w:r>
        <w:rPr>
          <w:rFonts w:ascii="Courier New" w:cs="Courier New" w:eastAsia="Courier New" w:hAnsi="Courier New"/>
          <w:sz w:val="15"/>
          <w:szCs w:val="15"/>
          <w:color w:val="auto"/>
        </w:rPr>
        <w:t>ITEM 2. MANAGEMENT'S DISCUSSION AND ANALYSIS OF RESULTS OF OPERATIONS AND FINANCIAL CONDITION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This report contains certain forward-looking statements that involve risks and uncertainties. The Company's actual results could differ materially from the results reflected in those forward-looking statements, as a result of various factors. THE COMPANY DISCLAIMS ANY OBLIGATION TO UPDATE ITS FORWARD-LOOKING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Company's products for the telecommunications industry include customer care and billing systems ("CC&amp;B Systems") for wireless, wireline and multiple-service or convergent network operators and service providers. Amdocs also supplies advertising and media services for directory sales and publishing systems ("Advertising and Media") to publishers of both traditional printed yellow page and white page directories and electronic directories, such as Internet, kiosk and CD-ROM directories. The Company's products are mission-critical for a customer's operations. The complexity of the process and the expertise required for system support also create opportunities for the Company to provide ongoing support, system enhancement and maintenance services.</w:t>
      </w:r>
    </w:p>
    <w:p>
      <w:pPr>
        <w:spacing w:after="0" w:line="17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 derives its revenue principally from (i) the sale of the Company's products and related services, including license fees and customization and implementation services, and (ii) recurring revenue from ongoing maintenance, support and related services provided to the Company's customers and, to a lesser degree, from incremental license fees resulting from increases in a customer's subscribers.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License revenue is recognized concurrently as customization work is performed, using percentage of completion accounting. Service revenue that involves significant ongoing obligations, including fees for customization, implementation, maintenance and support services, is also recognized as work is performed, under the percentage of completion method. Revenue related to ongoing support is recognized as work is performed. Revenue from third party hardware and software sales is recognized when systems are delivered. As a result of its percentage of completion accounting policies, the Company's annual and quarterly operating results may be significantly affected by the size and timing of customer projects and the Company's progress in completing such</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Since 1992, the Company has invested substantial resources to develop its information technology and to expand its family of products. As a result of significant information technology expenditures made through 1995, the Company was able to offer a full range of integrated applications for its CC&amp;B Systems at the same time factors such as increased demand for services, deregulation, privatization and technological advancements began to transform the telecommunications industry. The Company believes that the demand for CC&amp;B Systems will increase as the size and complexity of the telecommunications industry increases and that CC&amp;B Systems will account for a larger share of the Company's total revenue over time.</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the Company worldwide. The Company believes that it is a leading provider of Advertising and Media in most of the markets it serves. The Company believes that the demand for Advertising and Media will be favorably impacted by increased competition among international directory publishers, as well as by a broader introduction of electronic directories. However, the Company anticipates that the relative contribution of license and service fees for Advertising and Media to total revenue will decrease over time. The Company has also recently introduced a number of new products for Internet and electronic commerce applications. The Company anticipates that over the next several years products developed or to be developed for such applications will make a modest but increasing contribution to revenue.</w:t>
      </w:r>
    </w:p>
    <w:p>
      <w:pPr>
        <w:spacing w:after="0" w:line="181"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Company's research and development activities have historically involved the development of new software modules and product offerings in response to an identified market demand, usually in conjunction with a customer project. The Company also expends additional amounts on applied research and software development activities to keep abreast of new technologies in the telecommunications market. In the next several years, the Company intends to continue to make significant investments in its research and development activities both for CC&amp;B Systems and Advertising and Media.</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The Company has completed the planning phase of its Year 2000 compliance program, and does not anticipate that it will incur significant costs to modify its internal software or computerized systems, as substantially all of the Company's software and computerized systems are believed to be Year 2000 compliant. The Company anticipates modifying or replacing its non-compliant software or computerized systems by the end of fiscal 1999.</w:t>
      </w:r>
    </w:p>
    <w:p>
      <w:pPr>
        <w:spacing w:after="0" w:line="161" w:lineRule="exact"/>
        <w:rPr>
          <w:sz w:val="20"/>
          <w:szCs w:val="20"/>
          <w:color w:val="auto"/>
        </w:rPr>
      </w:pPr>
    </w:p>
    <w:p>
      <w:pPr>
        <w:ind w:right="3259" w:firstLine="805"/>
        <w:spacing w:after="0" w:line="263" w:lineRule="auto"/>
        <w:rPr>
          <w:sz w:val="20"/>
          <w:szCs w:val="20"/>
          <w:color w:val="auto"/>
        </w:rPr>
      </w:pPr>
      <w:r>
        <w:rPr>
          <w:rFonts w:ascii="Courier New" w:cs="Courier New" w:eastAsia="Courier New" w:hAnsi="Courier New"/>
          <w:sz w:val="14"/>
          <w:szCs w:val="14"/>
          <w:color w:val="auto"/>
        </w:rPr>
        <w:t>The Company believes that a small number of the Company's computer products currently used by its customers are not Year 2000 compliant. The Company has accrued $3.6 million as an estimate of the costs of modifying such products. There can be no assurance that such costs will not significantly exceed such estimate, in which case such costs could have a material adverse effect on the Company's results of operations and financial condition.</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European Monetary Union currency, or the euro, will be phased in over a three-year period commencing January 1, 1999, when participating European countries will begin using the euro currency for non-cash transactions. The Company intends to offer software products that are capable of accepting the euro currency and converting from local currencies to the euro. There can be no assurance that the Company's software or software provided to the Company's customers by other vendors will ensure an errorless transition to the euro currency. The Company has accrued $2.5 million as an estimate of the costs to modify its software products to accept the euro currency. There can be no assurance that such costs will not significantly exceed such estimate, in which case such costs could have a material adverse effect on the Company's results of operations and financial condition.</w:t>
      </w: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Approximately 85% of the Company's revenue and 60% of its operating expenses are paid in U.S. dollars or are paid in other currencies with the exchange rate linked to U.S. dollars. Other significant currencies in which the Company receives revenue or pays expenses are Australian dollars, Austrian shillings, British pounds, Israeli shekels and Japanese yen. Historically, the effect of fluctuations in currency exchange rates has had a minimal impact on the operations of the Company. As the Company expands its operations outside of the United States, its exposure to fluctuations in currency exchange rates could increase. In some cases, the Company utilizes hedging activities to mitigate such risks. At June 30, 1998, the Company had no significant unhedged monetary assets, liabilities or commitments denominated in currencies other than the U.S. dollar.</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EMPLOYEE ARRANGEMENTS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January 1998, the Company granted options to employees to purchase an aggregate 1,651,000 Ordinary Shares at a price of $1.92 per share, which was equivalent to the fair market value of such Ordinary Shares at such time. The Company's Board of Directors concluded that the exercise price of such options was at least equal to the fair market value at the time the options were granted. Following the Company's initial public offering in June 1998, the Company granted additional employees options for 855,400 Ordinary Shares at an exercise price of $1.92 per share, the same price at which options were granted to other employees. The Company recorded unearned compensation expense for the difference between the per share fair market value of the Ordinary Shares after the initial public offering and the exercise price of the options granted at that time, totaling $10.3 million. The aggregate compensation expense will be amortized ratably over fourteen fiscal quarters.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519" w:firstLine="805"/>
        <w:spacing w:after="0" w:line="241" w:lineRule="auto"/>
        <w:rPr>
          <w:sz w:val="20"/>
          <w:szCs w:val="20"/>
          <w:color w:val="auto"/>
        </w:rPr>
      </w:pPr>
      <w:r>
        <w:rPr>
          <w:rFonts w:ascii="Courier New" w:cs="Courier New" w:eastAsia="Courier New" w:hAnsi="Courier New"/>
          <w:sz w:val="15"/>
          <w:szCs w:val="15"/>
          <w:color w:val="auto"/>
        </w:rPr>
        <w:t>The following table sets forth, for the periods indicated, certain items in the Company's consolidated statements of operations reflected as a percentage of total revenue: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4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Three months ended June 30,</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June 30,</w:t>
            </w:r>
          </w:p>
        </w:tc>
      </w:tr>
      <w:tr>
        <w:trPr>
          <w:trHeight w:val="172"/>
        </w:trPr>
        <w:tc>
          <w:tcPr>
            <w:tcW w:w="2900" w:type="dxa"/>
            <w:vAlign w:val="bottom"/>
          </w:tcPr>
          <w:p>
            <w:pPr>
              <w:spacing w:after="0"/>
              <w:rPr>
                <w:sz w:val="14"/>
                <w:szCs w:val="14"/>
                <w:color w:val="auto"/>
              </w:rPr>
            </w:pPr>
          </w:p>
        </w:tc>
        <w:tc>
          <w:tcPr>
            <w:tcW w:w="34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17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c>
          <w:tcPr>
            <w:tcW w:w="17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9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License</w:t>
            </w:r>
          </w:p>
        </w:tc>
        <w:tc>
          <w:tcPr>
            <w:tcW w:w="1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Service</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91.1</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89.4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92.3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w:t>
            </w:r>
          </w:p>
        </w:tc>
      </w:tr>
      <w:tr>
        <w:trPr>
          <w:trHeight w:val="172"/>
        </w:trPr>
        <w:tc>
          <w:tcPr>
            <w:tcW w:w="29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62.2</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56.8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57.6</w:t>
            </w: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6.7</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900" w:type="dxa"/>
            <w:vAlign w:val="bottom"/>
          </w:tcPr>
          <w:p>
            <w:pPr>
              <w:ind w:left="800"/>
              <w:spacing w:after="0"/>
              <w:rPr>
                <w:sz w:val="20"/>
                <w:szCs w:val="20"/>
                <w:color w:val="auto"/>
              </w:rPr>
            </w:pPr>
            <w:r>
              <w:rPr>
                <w:rFonts w:ascii="Courier New" w:cs="Courier New" w:eastAsia="Courier New" w:hAnsi="Courier New"/>
                <w:sz w:val="15"/>
                <w:szCs w:val="15"/>
                <w:color w:val="auto"/>
              </w:rPr>
              <w:t>administrative</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13.1</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12.6</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r>
        <w:trPr>
          <w:trHeight w:val="172"/>
        </w:trPr>
        <w:tc>
          <w:tcPr>
            <w:tcW w:w="29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82.7</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78.6</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81.4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79.5</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7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17.3</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w:t>
            </w:r>
          </w:p>
        </w:tc>
      </w:tr>
    </w:tbl>
    <w:p>
      <w:pPr>
        <w:sectPr>
          <w:pgSz w:w="11900" w:h="16838" w:orient="portrait"/>
          <w:cols w:equalWidth="0" w:num="1">
            <w:col w:w="10219"/>
          </w:cols>
          <w:pgMar w:left="240" w:top="289" w:right="1440"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jc w:val="right"/>
              <w:ind w:right="2565"/>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1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700" w:type="dxa"/>
            <w:vAlign w:val="bottom"/>
          </w:tcPr>
          <w:p>
            <w:pPr>
              <w:ind w:left="660"/>
              <w:spacing w:after="0"/>
              <w:rPr>
                <w:sz w:val="20"/>
                <w:szCs w:val="20"/>
                <w:color w:val="auto"/>
              </w:rPr>
            </w:pPr>
            <w:r>
              <w:rPr>
                <w:rFonts w:ascii="Courier New" w:cs="Courier New" w:eastAsia="Courier New" w:hAnsi="Courier New"/>
                <w:sz w:val="15"/>
                <w:szCs w:val="15"/>
                <w:color w:val="auto"/>
              </w:rPr>
              <w:t>0.0</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9.4</w:t>
            </w:r>
          </w:p>
        </w:tc>
        <w:tc>
          <w:tcPr>
            <w:tcW w:w="17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0.1</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rPr>
              <w:t>7.7</w:t>
            </w:r>
          </w:p>
        </w:tc>
      </w:t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700" w:type="dxa"/>
            <w:vAlign w:val="bottom"/>
          </w:tcPr>
          <w:p>
            <w:pPr>
              <w:ind w:left="660"/>
              <w:spacing w:after="0"/>
              <w:rPr>
                <w:sz w:val="20"/>
                <w:szCs w:val="20"/>
                <w:color w:val="auto"/>
              </w:rPr>
            </w:pPr>
            <w:r>
              <w:rPr>
                <w:rFonts w:ascii="Courier New" w:cs="Courier New" w:eastAsia="Courier New" w:hAnsi="Courier New"/>
                <w:sz w:val="15"/>
                <w:szCs w:val="15"/>
                <w:color w:val="auto"/>
              </w:rPr>
              <w:t>7.7</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6.0</w:t>
            </w:r>
          </w:p>
        </w:tc>
        <w:tc>
          <w:tcPr>
            <w:tcW w:w="17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6.5</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rPr>
              <w:t>6.4</w:t>
            </w:r>
          </w:p>
        </w:tc>
      </w:tr>
      <w:tr>
        <w:trPr>
          <w:trHeight w:val="344"/>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tcPr>
          <w:p>
            <w:pPr>
              <w:ind w:left="660"/>
              <w:spacing w:after="0"/>
              <w:rPr>
                <w:sz w:val="20"/>
                <w:szCs w:val="20"/>
                <w:color w:val="auto"/>
              </w:rPr>
            </w:pPr>
            <w:r>
              <w:rPr>
                <w:rFonts w:ascii="Courier New" w:cs="Courier New" w:eastAsia="Courier New" w:hAnsi="Courier New"/>
                <w:sz w:val="15"/>
                <w:szCs w:val="15"/>
                <w:color w:val="auto"/>
              </w:rPr>
              <w:t>9.6%</w:t>
            </w: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6.0%</w:t>
            </w:r>
          </w:p>
        </w:tc>
        <w:tc>
          <w:tcPr>
            <w:tcW w:w="17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12.0%</w:t>
            </w:r>
          </w:p>
        </w:tc>
        <w:tc>
          <w:tcPr>
            <w:tcW w:w="1020" w:type="dxa"/>
            <w:vAlign w:val="bottom"/>
          </w:tcPr>
          <w:p>
            <w:pPr>
              <w:ind w:left="660"/>
              <w:spacing w:after="0"/>
              <w:rPr>
                <w:sz w:val="20"/>
                <w:szCs w:val="20"/>
                <w:color w:val="auto"/>
              </w:rPr>
            </w:pPr>
            <w:r>
              <w:rPr>
                <w:rFonts w:ascii="Courier New" w:cs="Courier New" w:eastAsia="Courier New" w:hAnsi="Courier New"/>
                <w:sz w:val="15"/>
                <w:szCs w:val="15"/>
                <w:color w:val="auto"/>
                <w:w w:val="94"/>
              </w:rPr>
              <w:t>6.4%</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1998 AND 1997</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Revenue. Revenue for the nine months ended June 30, 1998 was $287.1 million, an increase of $84.9 million, or 42.0%, compared to the nine months ended June 30, 1997. License revenue increased from $15.6 million in the nine months ended June 30, 1997 to $29.7 million in the nine months ended June 30, 1998, an increase of 91.0%, and service revenue increased by $70.8 million in the first nine months of fiscal 1998. Total CC&amp;B Systems revenue for the nine months ended June 30,1998 was $171.9 million, an increase of $59.1 million, or 52.3%, compared to the nine months ended June 30, 1997. Revenue attributable to Advertising and Media was $115.1 million for the nine months ended June 30, 1998, an increase of $25.9 million, or 29.0%, compared to the nine months ended June 30, 1997.</w:t>
      </w:r>
    </w:p>
    <w:p>
      <w:pPr>
        <w:spacing w:after="0" w:line="179"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In the nine months ended June 30, 1998, sales to customers in North America accounted for 54.3% of revenue and sales to customers in Europe and the rest of the world accounted for 23.4% and 22.3% of revenue, respectively.</w:t>
      </w:r>
    </w:p>
    <w:p>
      <w:pPr>
        <w:spacing w:after="0" w:line="176" w:lineRule="exact"/>
        <w:rPr>
          <w:sz w:val="20"/>
          <w:szCs w:val="20"/>
          <w:color w:val="auto"/>
        </w:rPr>
      </w:pPr>
    </w:p>
    <w:p>
      <w:pPr>
        <w:ind w:right="3159" w:firstLine="805"/>
        <w:spacing w:after="0" w:line="261" w:lineRule="auto"/>
        <w:rPr>
          <w:sz w:val="20"/>
          <w:szCs w:val="20"/>
          <w:color w:val="auto"/>
        </w:rPr>
      </w:pPr>
      <w:r>
        <w:rPr>
          <w:rFonts w:ascii="Courier New" w:cs="Courier New" w:eastAsia="Courier New" w:hAnsi="Courier New"/>
          <w:sz w:val="14"/>
          <w:szCs w:val="14"/>
          <w:color w:val="auto"/>
        </w:rPr>
        <w:t>Cost of License. Cost of license for the nine months ended June 30, 1998 was $8.5 million, an increase of $4.6 million, or 119.6%, from cost of license for the nine months ended June 30, 1997. The increase is due to the amortization of intellectual property purchased in September 1997, partially offset by the absence of royalty payments. Cost of license includes royalty payments made by the Company to certain subsidiaries of SBC Communications Inc. in connection with the grant to the Company of licenses to use certain software jointly developed with such subsidiaries. Since the purchase of intellectual property rights from such subsidiaries in September 1997, the cost of license includes the amortization of the capitalized value of such rights.</w:t>
      </w:r>
    </w:p>
    <w:p>
      <w:pPr>
        <w:spacing w:after="0" w:line="167" w:lineRule="exact"/>
        <w:rPr>
          <w:sz w:val="20"/>
          <w:szCs w:val="20"/>
          <w:color w:val="auto"/>
        </w:rPr>
      </w:pPr>
    </w:p>
    <w:p>
      <w:pPr>
        <w:ind w:right="3339" w:firstLine="805"/>
        <w:spacing w:after="0" w:line="263" w:lineRule="auto"/>
        <w:rPr>
          <w:sz w:val="20"/>
          <w:szCs w:val="20"/>
          <w:color w:val="auto"/>
        </w:rPr>
      </w:pPr>
      <w:r>
        <w:rPr>
          <w:rFonts w:ascii="Courier New" w:cs="Courier New" w:eastAsia="Courier New" w:hAnsi="Courier New"/>
          <w:sz w:val="14"/>
          <w:szCs w:val="14"/>
          <w:color w:val="auto"/>
        </w:rPr>
        <w:t>Cost of Service. Cost of service for the nine months ended June 30, 1998 was $165.3 million, an increase of $43.1 million, or 35.3%, from cost of service of $122.1 million for the nine months ended June 30, 1997. As a percentage of revenue, costs of service decreased to 57.6% in the nine months ended June 30, 1998 from 60.4% in the nine months ended June 30, 1997. The</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absolute increase in cost of service is consistent with the increase in revenue for the period, as these costs are predominately for compensation and reflect increased employment levels needed to support the growth in revenue.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the nine months ended June 30, 1998, research and development expense was $18.1 million, or 6.3% of revenue, compared with $12.2 million, or 6.0% of revenue, in the nine months ended June 30, 1997. The absolute increase in research and development expense in the nine months ended June 30, 1998 represents ongoing expenditures for both CC&amp;B Systems and Advertising and Media.</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to $36.4 million, or 12.6% of revenue, in the nine months ended June 30, 1998 from $26.4 million, or 13.1% of revenue, in the nine months ended June 30, 1997, an increase of 37.9%.</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Operating Income. Operating income in the nine months ended June 30, 1998 was $58.8 million, as compared with $37.6 million in the nine months ended June 30, 1998, an increase of 56.5%. As a percentage of revenue, operating income was 20.5% in the nine months ended June 30, 1998 as compared to 18.6% in the nine months ended June 30, 1997.</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Other Expense (Income), Net. Other expense (income), net is primarily interest expense incurred by the Company related to senior bank debt and subordinated debt, which debt was substantially repaid from the proceeds of the Company's initial public offering. In the nine months ended June 30, 1998, other income (expense), net was an expense of $21.8 million related to such debt, an increase of $21.6 million from the nine months ended June 30, 1997.</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Income Tax Expense. Income tax expense in the nine months ended June 30, 1998 was $18.5 million on income before taxes of $37.0 million. In the nine months ended June 30, 1997, income tax expense was $13.2 million on income before taxes of $37.4 million.</w:t>
      </w:r>
    </w:p>
    <w:p>
      <w:pPr>
        <w:spacing w:after="0" w:line="175"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The increase in the Company's effective tax rate for fiscal 1998 is attributable to the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expense related to senior bank debt and subordinated debt. The interest expense was incurred in Guernsey, a jurisdiction in which the Company is tax-exempt, and, therefore, on a consolidated basis, the Company was not able to make use of a tax deduction related to such interest expense.</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Company's overall effective tax rate has historically been approximately 30% due to the various corporate income tax rates of the countries in which the Company operates and the magnitude of the activities of the Company in those countries. The Company's effective tax rate for fiscal 1998 is estimated at approximately 50%, which is higher than the historical 30% due to the incurrence of the significant interest expense in Guernsey. The Company anticipates that its effective tax rate will be positively impacted in the future by favorable tax rates in Cyprus and the significant decrease of the interest expense of the debt incurred by one of the Company's Guernsey subsidiaries.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Net Income. The Company's net income was $18.5 million in the nine months ended June 30, 1998 compared with net income of $24.2 million in the nine months ended June 30, 1997. The decrease of $5.7 million was primarily the result of an increase in financing costs offsetting the increase in operating income.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THREE MONTHS ENDED JUNE 30, 1998 AND 1997</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Revenue. Revenue for the three months ended June 30, 1998 was $106.5 million, an increase of $29.4 million, or 38.1%, from the third quarter of fiscal 1997. License revenue increased from $6.9 million in the three months ended June 30, 1997 to $11.3 million in the three months ended June 30, 1998, an increase of 65.3%, and service revenue increased by $24.9 million in the third quarter of fiscal 1998. Total CC&amp;B Systems revenue for the three months ended June 30, 1998 was $70.9 million, an increase of $29.0 million, or 69.0%, from the three months ended June 30, 1997. Revenue attributable to Advertising and Media was $35.6 million for the three months ended June 30, 1998, an increase of $.4 million, or 1.3%, from the third quarter of fiscal 1997.</w:t>
      </w:r>
    </w:p>
    <w:p>
      <w:pPr>
        <w:spacing w:after="0" w:line="179"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In the three months ended June 30, 1998, sales to customers in North America accounted for 48.3% of revenue and sales to customers in Europe and the rest of the world accounted for 29.7% and 21.9% of revenue, respectively.</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Cost of License. Cost of license for the three months ended June 30, 1998 was $2.7 million, an increase of $1.1 million, or 69.3 %, from cost of license for the three months ended June 30, 1997. The increase is due to the amortization of intellectual</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property purchased in September 1997, partially offset by the absence of royalty payments.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Cost of Service. Cost of service for the three months ended June 30, 1998 was $60.5 million, an increase of $12.6 million, or 26.3%, from cost of service of $47.9 million for the three months ended June 30, 1997. As a percentage of revenue, costs of service decreased to 56.8 % in the three months ended June 30, 1998 from 62.2% in the three months ended June 30, 1997. The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the three months ended June 30, 1998, research and development expense was $7.2 million, or 6.7% of revenue, compared with $4.2 million, or 5.4% of revenue, in the three months ended June 30, 1997. The increase in research and development expense in the third quarter of fiscal 1998 represents ongoing expenditures for both CC&amp;B Systems and Advertising and Media.</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to $13.3 million, or 12.6% of revenue, in the three months ended June 30, 1998 from $10.1 million, or 13.1% of revenue, in the three months ended June 30, 1997, an increase of 32.4%. The absolute increase in costs is primarily attributable to increased marketing efforts for the Company's CC&amp;B Systems.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Operating Income. Operating income in the three months ended June 30, 1998 was $22.8 million, as compared with $13.4 million in three months ended June 30, 1997, an increase of 70.8%. As a percentage of revenue, operating income was 21.4% in the three months ended June 30, 1998 as compared to 17.3% in the three months ended June 30, 1997.</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Other Expense (Income), Net. Other expense (income), net is primarily interest expense incurred by the Company related to senior bank debt and subordinated debt issued in the first and second quarters of fiscal 1998. This debt was substantially repaid from the proceeds of the Company's initial public offering. In the three months ended June 30, 1998, other income</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net was an expense of $9.9 million related to such debt.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Income Tax Expense. Income tax expense in the three months ended June 30, 1998 was $6.4 million on income before taxes of $12.9 million. In the three months ended June 30, 1997, income tax expense was $6.0 million on income before taxes of $13.4 million. The increase in the Company's effective tax rate for the third quarter of fiscal 1998 was attributable to the interest expense related to senior bank debt and subordinated debt. The interest expense was incurred in Guernsey, a jurisdiction in which the Company is tax-exempt, and, therefore, on a consolidated basis, the Company was not able to make use of a tax deduction related to such interest expense.</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Net Income. The Company's net income was $6.4 million in the three months ended June 30, 1998 compared with net income of $7.4 million in the three months ended June 30, 1997. The decrease of $1.0 million was primarily the result of an increase in financing costs offsetting the increase in operating income.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The Company has primarily financed its operations through cash generated from operations. Cash and cash equivalents totaled $41.7 million at June 30, 1998. Net cash provided by operating activities amounted to $51.3 million for the nine months ended June 30, 1998.</w:t>
      </w:r>
    </w:p>
    <w:p>
      <w:pPr>
        <w:spacing w:after="0" w:line="175"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January 1998, the Company distributed $478.7 million in dividends to its shareholders.</w:t>
      </w:r>
    </w:p>
    <w:p>
      <w:pPr>
        <w:spacing w:after="0" w:line="176" w:lineRule="exact"/>
        <w:rPr>
          <w:sz w:val="20"/>
          <w:szCs w:val="20"/>
          <w:color w:val="auto"/>
        </w:rPr>
      </w:pPr>
    </w:p>
    <w:p>
      <w:pPr>
        <w:jc w:val="both"/>
        <w:ind w:right="3339" w:firstLine="805"/>
        <w:spacing w:after="0" w:line="242" w:lineRule="auto"/>
        <w:rPr>
          <w:sz w:val="20"/>
          <w:szCs w:val="20"/>
          <w:color w:val="auto"/>
        </w:rPr>
      </w:pPr>
      <w:r>
        <w:rPr>
          <w:rFonts w:ascii="Courier New" w:cs="Courier New" w:eastAsia="Courier New" w:hAnsi="Courier New"/>
          <w:sz w:val="15"/>
          <w:szCs w:val="15"/>
          <w:color w:val="auto"/>
        </w:rPr>
        <w:t>On June 19, 1998, the Company raised net proceeds of $234.2 million through an initial public offering of 18,000,000 Ordinary Shares. On June 24, 1998 the Company used these funds to repay $183.8 million principal amount of outstanding term loans incurred in December 1997 and $49.0 million principal amount of the aggregate $123.3 million principal amount 10% subordinated debt financing completed in January 1998.</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On July 8, 1998, the Company established a $90.0 million revolving line of credit with a syndicate of banks. The Company borrowed $66.0 million under the line of credit to refinance its existing revolving credit facility and to repay an additional $46.0 million of its subordinated debt. The new revolving line of</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credit bears a variable interest rate (6.5% at the establishment date). The credit agreement has various covenants that limit the Company's ability to make investments, incur debt, and dispose of property. The Company is also required to maintain certain financial ratios as defined in the agreement. As of July 31, 1998, the Company had extinguished its remaining subordinated debt with cash flows from operations.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As of June 30, 1998, the Company had a shareholders' deficit of $33.3 million as a result of the internal corporate reorganization effected between September 1997 and June 1998 and the $478.7 million in dividends distributed to shareholders in January 1998. The Company believes that cash generated from operations and the Company's current lines of credit will provide sufficient resources to meet the Company's capital needs over the next several years.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At June 30, 1998, the Company had short term revolving credit lines totaling $72.0 million, of which $37.5 million was outstanding as of June 30, 1998. As of such date, the Company had also used $4.9 million of its revolving credit facility to support outstanding letters of credit. In addition, as of June 30, 1998 the Company had long-term obligations outstanding of $7.3 million in connection with vehicle leasing arrangements.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Based on management's assessment, it is more likely than not that all the net deferred tax assets at June 30, 1998 will be realized through future taxable earnings. No significant increase in future taxable earnings would be required to fully realize the net deferred tax assets.</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CHANGES IN SECURITIES AND USE OF PROCEEDS.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Securities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one of the Company's shareholders, SBCI, to the underwriters involved with the Company's initial public offering, the underwriters elected to exercise their over-allotment option with respect to 1,343,800 non-voting Ordinary Shares held by SBCI. Consistent with the Company's Articles of Association, as a result of the transfer by SBCI of these non-voting Ordinary Shares, such non-voting Ordinary Shares converted automatically into voting Ordinary Shares.</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Following the exercise by the underwriters of their over-allotment option, SBCI, the sole holder of non-voting Ordinary Shares, now owns 30,234,700 non-voting Ordinary Shares and 14,500,000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On June 19, 1998, the Company's Registration Statement on Form F-1 was declared effective and the Company issued 18,000,000 Ordinary Shares at a price of $14 per share, raising $252.0 million in the aggregate. The managing underwriters were Goldman, Sachs &amp; Co. and Morgan Stanley Dean Witter.</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In connection with the offering, the Company incurred $17.8 million in registration expenses, including $15.7 million for underwriting discounts and commissions and $2.1 million for other related fees and expenses. The net proceeds of the offering, after deducting the foregoing expenses, were $234.2 million.</w:t>
      </w:r>
    </w:p>
    <w:p>
      <w:pPr>
        <w:spacing w:after="0" w:line="175"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On June 24, 1998 the Company used the net proceeds from its initial public offering to repay $183.8 million principal amount of outstanding term loans incurred in December 1997 and $49.0 million principal amount of the aggregate $123.5 million principal amount 10% subordinated debt financing completed in January 1998.</w:t>
      </w:r>
    </w:p>
    <w:p>
      <w:pPr>
        <w:sectPr>
          <w:pgSz w:w="11900" w:h="16838" w:orient="portrait"/>
          <w:cols w:equalWidth="0" w:num="1">
            <w:col w:w="10219"/>
          </w:cols>
          <w:pgMar w:left="240" w:top="289" w:right="1440" w:bottom="1440" w:gutter="0" w:footer="0" w:header="0"/>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27</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ITEM 6. EXHIBITS AND REPORTS ON FORM 8-K.</w:t>
      </w:r>
    </w:p>
    <w:p>
      <w:pPr>
        <w:spacing w:after="0" w:line="184" w:lineRule="exact"/>
        <w:rPr>
          <w:sz w:val="20"/>
          <w:szCs w:val="20"/>
          <w:color w:val="auto"/>
        </w:rPr>
      </w:pPr>
    </w:p>
    <w:p>
      <w:pPr>
        <w:ind w:left="808" w:hanging="808"/>
        <w:spacing w:after="0"/>
        <w:tabs>
          <w:tab w:leader="none" w:pos="8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176" w:lineRule="exact"/>
        <w:rPr>
          <w:sz w:val="20"/>
          <w:szCs w:val="20"/>
          <w:color w:val="auto"/>
        </w:rPr>
      </w:pPr>
    </w:p>
    <w:p>
      <w:pPr>
        <w:sectPr>
          <w:pgSz w:w="11900" w:h="16838" w:orient="portrait"/>
          <w:cols w:equalWidth="0" w:num="2">
            <w:col w:w="1328" w:space="720"/>
            <w:col w:w="817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July 29, 1998.</w:t>
      </w:r>
    </w:p>
    <w:p>
      <w:pPr>
        <w:spacing w:after="0" w:line="185" w:lineRule="exact"/>
        <w:rPr>
          <w:sz w:val="20"/>
          <w:szCs w:val="20"/>
          <w:color w:val="auto"/>
        </w:rPr>
      </w:pPr>
    </w:p>
    <w:p>
      <w:pPr>
        <w:sectPr>
          <w:pgSz w:w="11900" w:h="16838" w:orient="portrait"/>
          <w:cols w:equalWidth="0" w:num="2">
            <w:col w:w="1328" w:space="720"/>
            <w:col w:w="8179"/>
          </w:cols>
          <w:pgMar w:left="232" w:top="289" w:right="1440" w:bottom="1440" w:gutter="0" w:footer="0" w:header="0"/>
          <w:type w:val="continuous"/>
        </w:sectPr>
      </w:pPr>
    </w:p>
    <w:p>
      <w:pPr>
        <w:ind w:left="808" w:right="3439" w:hanging="808"/>
        <w:spacing w:after="0"/>
        <w:tabs>
          <w:tab w:leader="none" w:pos="80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 report on Form 8-K was filed by the Company during this period.</w:t>
      </w:r>
    </w:p>
    <w:p>
      <w:pPr>
        <w:sectPr>
          <w:pgSz w:w="11900" w:h="16838" w:orient="portrait"/>
          <w:cols w:equalWidth="0" w:num="1">
            <w:col w:w="10227"/>
          </w:cols>
          <w:pgMar w:left="232" w:top="289"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779"/>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3480"/>
        <w:spacing w:after="0"/>
        <w:tabs>
          <w:tab w:leader="none" w:pos="3900" w:val="left"/>
        </w:tabs>
        <w:rPr>
          <w:sz w:val="20"/>
          <w:szCs w:val="20"/>
          <w:color w:val="auto"/>
        </w:rPr>
      </w:pPr>
      <w:r>
        <w:rPr>
          <w:rFonts w:ascii="Courier New" w:cs="Courier New" w:eastAsia="Courier New" w:hAnsi="Courier New"/>
          <w:sz w:val="15"/>
          <w:szCs w:val="15"/>
          <w:color w:val="auto"/>
        </w:rPr>
        <w:t>/s/</w:t>
        <w:tab/>
        <w:t>Thomas G. O'Brien</w:t>
      </w:r>
    </w:p>
    <w:p>
      <w:pPr>
        <w:spacing w:after="0" w:line="2"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5"/>
          <w:szCs w:val="15"/>
          <w:color w:val="auto"/>
        </w:rPr>
        <w:t>Date: August 10, 1998</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Thomas G. O'Brien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Treasurer and Secretary</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Authorized U.S. Representative</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89"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5" w:lineRule="exact"/>
        <w:rPr>
          <w:sz w:val="20"/>
          <w:szCs w:val="20"/>
          <w:color w:val="auto"/>
        </w:rPr>
      </w:pPr>
    </w:p>
    <w:p>
      <w:pPr>
        <w:sectPr>
          <w:pgSz w:w="11900" w:h="16838" w:orient="portrait"/>
          <w:cols w:equalWidth="0" w:num="2">
            <w:col w:w="1420" w:space="720"/>
            <w:col w:w="80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July 29, 1998.</w:t>
      </w:r>
    </w:p>
    <w:p>
      <w:pPr>
        <w:sectPr>
          <w:pgSz w:w="11900" w:h="16838" w:orient="portrait"/>
          <w:cols w:equalWidth="0" w:num="2">
            <w:col w:w="1420" w:space="720"/>
            <w:col w:w="8079"/>
          </w:cols>
          <w:pgMar w:left="240" w:top="289" w:right="1440" w:bottom="1440" w:gutter="0" w:footer="0" w:header="0"/>
          <w:type w:val="continuous"/>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EXHIBIT 99.1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99.1. PRESS RELEASE.</w:t>
      </w:r>
    </w:p>
    <w:p>
      <w:pPr>
        <w:spacing w:after="0" w:line="176" w:lineRule="exact"/>
        <w:rPr>
          <w:sz w:val="20"/>
          <w:szCs w:val="20"/>
          <w:color w:val="auto"/>
        </w:rPr>
      </w:pPr>
    </w:p>
    <w:p>
      <w:pPr>
        <w:ind w:left="8" w:right="3959"/>
        <w:spacing w:after="0"/>
        <w:rPr>
          <w:sz w:val="20"/>
          <w:szCs w:val="20"/>
          <w:color w:val="auto"/>
        </w:rPr>
      </w:pPr>
      <w:r>
        <w:rPr>
          <w:rFonts w:ascii="Courier New" w:cs="Courier New" w:eastAsia="Courier New" w:hAnsi="Courier New"/>
          <w:sz w:val="15"/>
          <w:szCs w:val="15"/>
          <w:color w:val="auto"/>
        </w:rPr>
        <w:t>AMDOCS LIMITED ACHIEVES RECORD THIRD QUARTER, TOP LINE GROWS 38% WHILE OPERATING INCOME INCREASES 70%</w:t>
      </w:r>
    </w:p>
    <w:p>
      <w:pPr>
        <w:spacing w:after="0" w:line="176" w:lineRule="exact"/>
        <w:rPr>
          <w:sz w:val="20"/>
          <w:szCs w:val="20"/>
          <w:color w:val="auto"/>
        </w:rPr>
      </w:pPr>
    </w:p>
    <w:p>
      <w:pPr>
        <w:ind w:left="8" w:right="3879" w:hanging="8"/>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Growth Reflects Market Acceptance of Company's Total Solution Approach-</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St. Louis, MO -- July 29, 1998 Amdocs Limited (NYSE: DOX) today reported that revenues for the third quarter ended June 30, 1998, grew by 38.1% to a record $106.5 million compared to $77.1 million reported for the third quarter last year. This represents the first time that the company's quarterly revenues surpassed $100 million.</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noted that revenue growth in the quarter was driven by particularly strong performance in its customer care and billing business and continued, consistent performance in its Advertising and Media business, which includes traditional directories and directory-related Internet and e-commerce services. Quarterly revenues include license revenues, which grew 65.3% to $11.3 million compared to $6.9 million reported for the third quarter last year, and service revenues, which grew 35.5% to $95.2 million compared to $70.2 million in the third quarter of 1997.</w:t>
      </w:r>
    </w:p>
    <w:p>
      <w:pPr>
        <w:spacing w:after="0" w:line="177"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Operating income increased 70.8% to $22.8 million compared to $13.4 million in the third quarter of 1997.</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Net income for the third quarter was $6.4 million compared to net income of $7.4 million in the third quarter of 1997. Third quarter 1998 net income reflected the effects of approximately a $9.0 million net increase in interest expense. In June of 1998, the company used a significant portion of the $234 million in proceeds from its initial public offering to retire outstanding debt. As a result, the company's interest expense will be significantly reduced throughout the remainder of fiscal 1998 and 1999.</w:t>
      </w:r>
    </w:p>
    <w:p>
      <w:pPr>
        <w:spacing w:after="0" w:line="177"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Diluted earnings per share were $0.04 based on 182,696,000 weighted average shares outstanding, compared to $0.07 on 110,500,000 weighted average shares outstanding in the prior period.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For the nine months ended June 30, 1998, revenues grew by 42.0% to $287.1 million compared to $202.1 million in the same period last year. Net income for the nine months decreased by 23.5% to $18.5 million compared to $24.2 million in the same period last year. Diluted earnings per share for the nine months were $0.13 based on 146,450,000 weighted average shares outstanding compared to $0.22 on 110,500,000 shares outstanding for the first nine</w:t>
      </w:r>
    </w:p>
    <w:p>
      <w:pPr>
        <w:sectPr>
          <w:pgSz w:w="11900" w:h="16838" w:orient="portrait"/>
          <w:cols w:equalWidth="0" w:num="1">
            <w:col w:w="10227"/>
          </w:cols>
          <w:pgMar w:left="232" w:top="140"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of 1997.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Avi Naor, Chief Executive Officer of Amdocs Management Limited, noted, "With quarterly revenues exceeding $100 million for the first time, these results represent a milestone for Amdocs. The consistent rapid growth we have achieved is due to the distinctive benefits that our product-driven solution generates for our customers, the premier telecommunications vendors in the industry. Their growing demand for our product led to record revenues during the quarter as well as new contracts with leading wireless and wireline carriers throughout Europe, North America, South America and Japan."</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Naor added, "Our ability to offer a total solution of leading-edge products coupled with comprehensive services has proven to be a distinct competitive advantage. We are able to provide this total solution approach due to our base of over 2,600 information systems professionals, dedicated to developing our products and serving our customers. Because we offer high-volume UNIX-based solutions, which are the most sought-after in the marketplace, we have become a leading resource to premier telecommunications companies."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Amdocs is uniquely positioned to benefit from the consolidation now taking place in the industry because proven scalability is a key factor for these customers. Typically, we service the leading telecommunications companies looking for large-scale systems to support increased volumes and continued rapid growth. As telecommunications companies expand through consolidation, we have found that they turn to us for advanced customer care and billing solutions that can service exploding customer populations," Naor continued.</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Naor concluded, "Looking forward, we are confident that market conditions will remain favorable for Amdocs and that we will be able to successfully execute our operating plan. Given our long-term relationships with our customers we have high visibility on the fourth quarter and beyond."</w:t>
      </w:r>
    </w:p>
    <w:p>
      <w:pPr>
        <w:spacing w:after="0" w:line="175"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Amdocs is a leading provider of product-driven customer care and billing solutions to premier telecommunications companies worldwide. Amdocs has an unparalleled success record in project delivery of its mission-critical products. With human resources of over 2,600 information systems professionals dedicated to the telecommunications industry, Amdocs has an installed base of over 250 successful projects in more than 50 major telecommunications</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w:t>
      </w:r>
    </w:p>
    <w:p>
      <w:pPr>
        <w:spacing w:after="0" w:line="4"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companies throughout the world. For more information visit our web site at www.amdocs.com.</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Three months ended</w:t>
            </w:r>
          </w:p>
        </w:tc>
        <w:tc>
          <w:tcPr>
            <w:tcW w:w="50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Nine months ended</w:t>
            </w:r>
          </w:p>
        </w:tc>
        <w:tc>
          <w:tcPr>
            <w:tcW w:w="70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June 30</w:t>
            </w: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June 30</w:t>
            </w:r>
          </w:p>
        </w:tc>
        <w:tc>
          <w:tcPr>
            <w:tcW w:w="700" w:type="dxa"/>
            <w:vAlign w:val="bottom"/>
          </w:tcPr>
          <w:p>
            <w:pPr>
              <w:spacing w:after="0"/>
              <w:rPr>
                <w:sz w:val="14"/>
                <w:szCs w:val="14"/>
                <w:color w:val="auto"/>
              </w:rPr>
            </w:pPr>
          </w:p>
        </w:tc>
      </w:tr>
      <w:tr>
        <w:trPr>
          <w:trHeight w:val="172"/>
        </w:trPr>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1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License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11,322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6,851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29,741</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15,568</w:t>
            </w: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Service</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95,175</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70,238</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257,322</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86,547</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106,497</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77,089</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287,063</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202,115</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Cost of license</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2,654</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1,568</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8,521</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3,880</w:t>
            </w: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Cost of service</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60,518</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47,925</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165,268</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122,129</w:t>
            </w: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Research and</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development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7,172</w:t>
            </w:r>
          </w:p>
        </w:tc>
        <w:tc>
          <w:tcPr>
            <w:tcW w:w="8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4,167</w:t>
            </w:r>
          </w:p>
        </w:tc>
        <w:tc>
          <w:tcPr>
            <w:tcW w:w="50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18,127</w:t>
            </w:r>
          </w:p>
        </w:tc>
        <w:tc>
          <w:tcPr>
            <w:tcW w:w="9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12,178</w:t>
            </w: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Selling, general and</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administrative</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13,332</w:t>
            </w:r>
          </w:p>
        </w:tc>
        <w:tc>
          <w:tcPr>
            <w:tcW w:w="8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10,066</w:t>
            </w:r>
          </w:p>
        </w:tc>
        <w:tc>
          <w:tcPr>
            <w:tcW w:w="50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36,356</w:t>
            </w:r>
          </w:p>
        </w:tc>
        <w:tc>
          <w:tcPr>
            <w:tcW w:w="9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26,373</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83,676</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63,726</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228,272</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164,560</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22,821</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13,363</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37,555</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9,212</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184</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23,013</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696</w:t>
            </w:r>
          </w:p>
        </w:tc>
      </w:tr>
      <w:tr>
        <w:trPr>
          <w:trHeight w:val="344"/>
        </w:trPr>
        <w:tc>
          <w:tcPr>
            <w:tcW w:w="2940" w:type="dxa"/>
            <w:vAlign w:val="bottom"/>
          </w:tcPr>
          <w:p>
            <w:pPr>
              <w:ind w:left="800"/>
              <w:spacing w:after="0"/>
              <w:rPr>
                <w:sz w:val="20"/>
                <w:szCs w:val="20"/>
                <w:color w:val="auto"/>
              </w:rPr>
            </w:pPr>
            <w:r>
              <w:rPr>
                <w:rFonts w:ascii="Courier New" w:cs="Courier New" w:eastAsia="Courier New" w:hAnsi="Courier New"/>
                <w:sz w:val="15"/>
                <w:szCs w:val="15"/>
                <w:color w:val="auto"/>
              </w:rPr>
              <w:t>Other, Net</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723</w:t>
            </w:r>
          </w:p>
        </w:tc>
        <w:tc>
          <w:tcPr>
            <w:tcW w:w="88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(218)</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c>
          <w:tcPr>
            <w:tcW w:w="9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9,935</w:t>
            </w:r>
          </w:p>
        </w:tc>
        <w:tc>
          <w:tcPr>
            <w:tcW w:w="88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21,772</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12,886</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13,397</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37,019</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37,405</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5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6,443</w:t>
            </w:r>
          </w:p>
        </w:tc>
        <w:tc>
          <w:tcPr>
            <w:tcW w:w="880" w:type="dxa"/>
            <w:vAlign w:val="bottom"/>
          </w:tcPr>
          <w:p>
            <w:pPr>
              <w:spacing w:after="0"/>
              <w:rPr>
                <w:sz w:val="24"/>
                <w:szCs w:val="2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6,019</w:t>
            </w:r>
          </w:p>
        </w:tc>
        <w:tc>
          <w:tcPr>
            <w:tcW w:w="500" w:type="dxa"/>
            <w:vAlign w:val="bottom"/>
          </w:tcPr>
          <w:p>
            <w:pPr>
              <w:spacing w:after="0"/>
              <w:rPr>
                <w:sz w:val="24"/>
                <w:szCs w:val="2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c>
          <w:tcPr>
            <w:tcW w:w="90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13,222</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6,443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7,378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24,183</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Basic earnings per</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940" w:type="dxa"/>
            <w:vAlign w:val="bottom"/>
          </w:tcPr>
          <w:p>
            <w:pPr>
              <w:ind w:left="260"/>
              <w:spacing w:after="0"/>
              <w:rPr>
                <w:sz w:val="20"/>
                <w:szCs w:val="20"/>
                <w:color w:val="auto"/>
              </w:rPr>
            </w:pPr>
            <w:r>
              <w:rPr>
                <w:rFonts w:ascii="Courier New" w:cs="Courier New" w:eastAsia="Courier New" w:hAnsi="Courier New"/>
                <w:sz w:val="15"/>
                <w:szCs w:val="15"/>
                <w:color w:val="auto"/>
              </w:rPr>
              <w:t>share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Diluted earnings per</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0.07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0.22</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Weighted average diluted</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182,696</w:t>
            </w:r>
          </w:p>
        </w:tc>
        <w:tc>
          <w:tcPr>
            <w:tcW w:w="88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110,500</w:t>
            </w:r>
          </w:p>
        </w:tc>
        <w:tc>
          <w:tcPr>
            <w:tcW w:w="50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146,450</w:t>
            </w:r>
          </w:p>
        </w:tc>
        <w:tc>
          <w:tcPr>
            <w:tcW w:w="9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110,500</w:t>
            </w:r>
          </w:p>
        </w:tc>
      </w:tr>
      <w:tr>
        <w:trPr>
          <w:trHeight w:val="172"/>
        </w:trPr>
        <w:tc>
          <w:tcPr>
            <w:tcW w:w="29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8"/>
              </w:rPr>
              <w:t>June 30</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860" w:type="dxa"/>
            <w:vAlign w:val="bottom"/>
          </w:tcPr>
          <w:p>
            <w:pPr>
              <w:spacing w:after="0"/>
              <w:rPr>
                <w:sz w:val="14"/>
                <w:szCs w:val="14"/>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41,693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53,732</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Accounts receivable, including unbilled</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of $3,590 and $2,031, respectively</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64,186</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48,565</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Accounts receivable from related</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parties, including unbilled of $930 and</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$0, respectively</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19,427</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15,393</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12,705</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12,532</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Prepaid expenses and other current</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6,756</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000" w:type="dxa"/>
            <w:vAlign w:val="bottom"/>
          </w:tcPr>
          <w:p>
            <w:pPr>
              <w:spacing w:after="0"/>
              <w:rPr>
                <w:sz w:val="24"/>
                <w:szCs w:val="2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144,767</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136,383</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39,155</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8,363</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4,587</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Intellectual property rights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24,017</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25,982</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21,621</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$ 237,923</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$ 220,582</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Accounts payable and accrued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43,532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30,543</w:t>
            </w: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Accrued personnel costs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28,943</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Short-term financing arrangements</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17,470</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Unearned revenue</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33,511</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17,440</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Notes payable to related parties</w:t>
            </w:r>
          </w:p>
        </w:tc>
        <w:tc>
          <w:tcPr>
            <w:tcW w:w="440" w:type="dxa"/>
            <w:vAlign w:val="bottom"/>
          </w:tcPr>
          <w:p>
            <w:pPr>
              <w:spacing w:after="0"/>
              <w:rPr>
                <w:sz w:val="24"/>
                <w:szCs w:val="2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3,268</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Short-term portion of capital lease</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2,340</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obligations</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Deferred income taxes and income</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20,886</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taxes payable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000" w:type="dxa"/>
            <w:vAlign w:val="bottom"/>
          </w:tcPr>
          <w:p>
            <w:pPr>
              <w:spacing w:after="0"/>
              <w:rPr>
                <w:sz w:val="24"/>
                <w:szCs w:val="2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146,682</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98,452</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 and capital lease obligations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101,847</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7,370</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22,678</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20,507</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Preferred Shares-Authorized 25,000</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shares; (pound) 0.01 par value; 0 shares</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_</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_</w:t>
            </w: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issued and outstanding</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Ordinary Shares-Authorized 550,000</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shares; (pound) 0.01 par value; 196,800 and</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124,708 shares issued and outstanding,</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3,149</w:t>
            </w:r>
          </w:p>
        </w:tc>
        <w:tc>
          <w:tcPr>
            <w:tcW w:w="540" w:type="dxa"/>
            <w:vAlign w:val="bottom"/>
          </w:tcPr>
          <w:p>
            <w:pPr>
              <w:spacing w:after="0"/>
              <w:rPr>
                <w:sz w:val="14"/>
                <w:szCs w:val="1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24"/>
                <w:szCs w:val="2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447,597</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105,779</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Unearned compensation</w:t>
            </w:r>
          </w:p>
        </w:tc>
        <w:tc>
          <w:tcPr>
            <w:tcW w:w="440" w:type="dxa"/>
            <w:vAlign w:val="bottom"/>
          </w:tcPr>
          <w:p>
            <w:pPr>
              <w:spacing w:after="0"/>
              <w:rPr>
                <w:sz w:val="24"/>
                <w:szCs w:val="2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(10,333)</w:t>
            </w:r>
          </w:p>
        </w:tc>
        <w:tc>
          <w:tcPr>
            <w:tcW w:w="540" w:type="dxa"/>
            <w:vAlign w:val="bottom"/>
          </w:tcPr>
          <w:p>
            <w:pPr>
              <w:spacing w:after="0"/>
              <w:rPr>
                <w:sz w:val="24"/>
                <w:szCs w:val="2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ind w:left="800"/>
              <w:spacing w:after="0"/>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24"/>
                <w:szCs w:val="2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(473,697)</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shareholders' equity (deficit)</w:t>
            </w:r>
          </w:p>
        </w:tc>
        <w:tc>
          <w:tcPr>
            <w:tcW w:w="440" w:type="dxa"/>
            <w:vAlign w:val="bottom"/>
          </w:tcPr>
          <w:p>
            <w:pPr>
              <w:spacing w:after="0"/>
              <w:rPr>
                <w:sz w:val="24"/>
                <w:szCs w:val="2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(33,284)</w:t>
            </w:r>
          </w:p>
        </w:tc>
        <w:tc>
          <w:tcPr>
            <w:tcW w:w="540" w:type="dxa"/>
            <w:vAlign w:val="bottom"/>
          </w:tcPr>
          <w:p>
            <w:pPr>
              <w:spacing w:after="0"/>
              <w:rPr>
                <w:sz w:val="24"/>
                <w:szCs w:val="24"/>
                <w:color w:val="auto"/>
              </w:rPr>
            </w:pP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$ 237,923</w:t>
            </w:r>
          </w:p>
        </w:tc>
        <w:tc>
          <w:tcPr>
            <w:tcW w:w="14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$ 220,582</w:t>
            </w:r>
          </w:p>
        </w:tc>
      </w:tr>
    </w:tbl>
    <w:p>
      <w:pPr>
        <w:sectPr>
          <w:pgSz w:w="11900" w:h="16838" w:orient="portrait"/>
          <w:cols w:equalWidth="0" w:num="1">
            <w:col w:w="10219"/>
          </w:cols>
          <w:pgMar w:left="240" w:top="289" w:right="1440" w:bottom="0" w:gutter="0" w:footer="0" w:header="0"/>
        </w:sectPr>
      </w:pPr>
    </w:p>
    <w:bookmarkStart w:id="34" w:name="page35"/>
    <w:bookmarkEnd w:id="34"/>
    <w:p>
      <w:pPr>
        <w:ind w:left="4160"/>
        <w:spacing w:after="0"/>
        <w:tabs>
          <w:tab w:leader="none" w:pos="5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sectPr>
      <w:pgSz w:w="11900" w:h="16838" w:orient="portrait"/>
      <w:cols w:equalWidth="0" w:num="1">
        <w:col w:w="9019"/>
      </w:cols>
      <w:pgMar w:left="14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2019-12-14T19:40:13Z</dcterms:created>
  <dcterms:modified xsi:type="dcterms:W3CDTF">2019-12-14T19:40:13Z</dcterms:modified>
</cp:coreProperties>
</file>