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December 2016</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Hirzel House, Smith Street,</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7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8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183515</wp:posOffset>
            </wp:positionV>
            <wp:extent cx="132080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257175"/>
                    </a:xfrm>
                    <a:prstGeom prst="rect">
                      <a:avLst/>
                    </a:prstGeom>
                    <a:noFill/>
                  </pic:spPr>
                </pic:pic>
              </a:graphicData>
            </a:graphic>
          </wp:anchor>
        </w:drawing>
        <w:t>NOTICE OF ANNUAL GENERAL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FRIDAY, JANUARY 27,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annual general meeting of shareholders of Amdocs Limited will be held at 4:00 p.m., local time, on Friday, January 27, 2017, at the offices of Welsh, Carson, Anderson &amp; Stowe, 320 Park Avenue, Suite 2500, New York, New York, for the following purposes:</w:t>
      </w:r>
    </w:p>
    <w:p>
      <w:pPr>
        <w:spacing w:after="0" w:line="51" w:lineRule="exact"/>
        <w:rPr>
          <w:sz w:val="20"/>
          <w:szCs w:val="20"/>
          <w:color w:val="auto"/>
        </w:rPr>
      </w:pPr>
    </w:p>
    <w:p>
      <w:pPr>
        <w:ind w:left="460" w:right="200" w:firstLine="443"/>
        <w:spacing w:after="0" w:line="332" w:lineRule="auto"/>
        <w:tabs>
          <w:tab w:leader="none" w:pos="107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election of each of the following 11 individuals to serve as directors of Amdocs Limited until the next annual general meeting of shareholders or until his earlier resignation or removal or until his respective successor is elected and qualified (Proposal I);</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Clayton Christensen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Giora Yaron</w:t>
      </w:r>
    </w:p>
    <w:p>
      <w:pPr>
        <w:spacing w:after="0" w:line="84" w:lineRule="exact"/>
        <w:rPr>
          <w:sz w:val="20"/>
          <w:szCs w:val="20"/>
          <w:color w:val="auto"/>
        </w:rPr>
      </w:pPr>
    </w:p>
    <w:p>
      <w:pPr>
        <w:ind w:left="460" w:firstLine="443"/>
        <w:spacing w:after="0" w:line="268" w:lineRule="auto"/>
        <w:tabs>
          <w:tab w:leader="none" w:pos="10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of the 1998 Stock Option and Incentive Plan increasing the number of shares authorized for issuance under the plan and the sublimit on “full value” awards under the plan, in each case by 5,250,000 shares (Proposal II);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an increase in the dividend rate under our quarterly cash dividend program from $0.195 per share to $0.22 per share (Proposal III);</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our Consolidated Financial Statements for the fiscal year ended September 30, 2016 (Proposal IV); and</w:t>
      </w:r>
    </w:p>
    <w:p>
      <w:pPr>
        <w:spacing w:after="0" w:line="90" w:lineRule="exact"/>
        <w:rPr>
          <w:rFonts w:ascii="Arial" w:cs="Arial" w:eastAsia="Arial" w:hAnsi="Arial"/>
          <w:sz w:val="18"/>
          <w:szCs w:val="18"/>
          <w:color w:val="auto"/>
        </w:rPr>
      </w:pPr>
    </w:p>
    <w:p>
      <w:pPr>
        <w:ind w:left="460" w:right="320" w:firstLine="443"/>
        <w:spacing w:after="0" w:line="306" w:lineRule="auto"/>
        <w:tabs>
          <w:tab w:leader="none" w:pos="107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ratify and approve the appointment of Ernst &amp; Young LLP as our independent registered public accounting firm for the fiscal year ending September 30, 2017,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will also act on such other business as may properly come before the annual general meeting.</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of Directors has fixed the close of business on November 30, 2016 as the record date for the determination of our shareholders entitled to notice of, and to vote on the matters proposed at, the annual general meeting and any adjournments thereof.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2"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Name:</w:t>
        <w:tab/>
        <w:t>Matthew E. Smith</w:t>
      </w:r>
    </w:p>
    <w:p>
      <w:pPr>
        <w:spacing w:after="0" w:line="9"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ectPr>
          <w:pgSz w:w="11900" w:h="16838" w:orient="portrait"/>
          <w:cols w:equalWidth="0" w:num="1">
            <w:col w:w="11400"/>
          </w:cols>
          <w:pgMar w:left="240" w:top="841" w:right="259" w:bottom="1440" w:gutter="0" w:footer="0" w:header="0"/>
        </w:sectPr>
      </w:pPr>
    </w:p>
    <w:bookmarkStart w:id="2" w:name="page3"/>
    <w:bookmarkEnd w:id="2"/>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228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1228090"/>
                    </a:xfrm>
                    <a:prstGeom prst="rect">
                      <a:avLst/>
                    </a:prstGeom>
                    <a:noFill/>
                  </pic:spPr>
                </pic:pic>
              </a:graphicData>
            </a:graphic>
          </wp:anchor>
        </w:drawing>
        <w:t>YOUR VOTE IS IMPORTANT</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color w:val="auto"/>
        </w:rPr>
        <w:t>ALL SHAREHOLDERS OF AMDOCS LIMITED (WHETHER THEY EXPECT TO ATTEND THE ANNUAL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ANNUAL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122555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6" w:lineRule="exact"/>
        <w:rPr>
          <w:sz w:val="20"/>
          <w:szCs w:val="20"/>
          <w:color w:val="auto"/>
        </w:rPr>
      </w:pPr>
    </w:p>
    <w:p>
      <w:pPr>
        <w:ind w:left="640" w:right="120" w:hanging="44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proxy card for the annual general meeting for the fiscal year ended September 30, 2016 is enclosed and our Annual Report on Form 20-F is available on our website at www.amdocs.com/proxy or by request. The proxy card shall be delivered to our Secretary, in care of our principal U.S. subsidiary, Amdocs, Inc., by delivery to our transfer agent, American Stock Transfer &amp; Trust Company, LLC, at 6201 15th Avenue, Brooklyn, New York 11219, as soon as possible.</w:t>
      </w:r>
    </w:p>
    <w:p>
      <w:pPr>
        <w:spacing w:after="0" w:line="62" w:lineRule="exact"/>
        <w:rPr>
          <w:rFonts w:ascii="Arial" w:cs="Arial" w:eastAsia="Arial" w:hAnsi="Arial"/>
          <w:sz w:val="18"/>
          <w:szCs w:val="18"/>
          <w:color w:val="auto"/>
        </w:rPr>
      </w:pPr>
    </w:p>
    <w:p>
      <w:pPr>
        <w:ind w:left="640" w:hanging="44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59" w:lineRule="exact"/>
        <w:rPr>
          <w:rFonts w:ascii="Arial" w:cs="Arial" w:eastAsia="Arial" w:hAnsi="Arial"/>
          <w:sz w:val="18"/>
          <w:szCs w:val="18"/>
          <w:color w:val="auto"/>
        </w:rPr>
      </w:pPr>
    </w:p>
    <w:p>
      <w:pPr>
        <w:ind w:left="640" w:hanging="44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quorum for the annual general meeting shall be two shareholders or more holding a majority of the ordinary shares outstanding as of the record date. If within 30 minutes from the appointed time for the annual general meeting, a quorum is not present, it shall stand adjourned to any other time and any other place as determined by the Chairman of the annual general meeting. It shall not be necessary to notify any shareholder of any adjournment of less than 20 days if the time and place of the adjourned meeting are announced at the annual general meeting at which adjournment is taken, unless after the adjournment a new record date is fixed for the adjourned meeting.</w:t>
      </w:r>
    </w:p>
    <w:p>
      <w:pPr>
        <w:spacing w:after="0" w:line="34" w:lineRule="exact"/>
        <w:rPr>
          <w:rFonts w:ascii="Arial" w:cs="Arial" w:eastAsia="Arial" w:hAnsi="Arial"/>
          <w:sz w:val="16"/>
          <w:szCs w:val="16"/>
          <w:color w:val="auto"/>
        </w:rPr>
      </w:pPr>
    </w:p>
    <w:p>
      <w:pPr>
        <w:ind w:left="640" w:hanging="44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shareholder present in person or by proxy shall have one vote for each ordinary share held by him, her or it.</w:t>
      </w:r>
    </w:p>
    <w:p>
      <w:pPr>
        <w:sectPr>
          <w:pgSz w:w="11900" w:h="16838" w:orient="portrait"/>
          <w:cols w:equalWidth="0" w:num="1">
            <w:col w:w="11140"/>
          </w:cols>
          <w:pgMar w:left="500" w:top="314" w:right="25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90"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FRIDAY, JANUARY 27, 2017</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its Board of Directors of proxies from holders of its outstanding ordinary shares, par value £0.01 per share, for use at the annual general meeting of shareholders to be held at 4:00 p.m., local time, on Friday, January 27, 2017, at the offices of Welsh, Carson, Anderson &amp; Stowe, 320 Park Avenue, Suite 2500, New York, New York, or at any adjournments thereof (the “General Meeting”).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Proxy Statement and the accompanying proxy are first being mailed or delivered to our shareholders on or about December 20, 2016.</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the General Meeting, the holders of our ordinary shares as of the close of business on November 30, 2016 (the “Record Date”) will be asked to take the following actions:</w:t>
      </w:r>
    </w:p>
    <w:p>
      <w:pPr>
        <w:spacing w:after="0" w:line="51" w:lineRule="exact"/>
        <w:rPr>
          <w:sz w:val="20"/>
          <w:szCs w:val="20"/>
          <w:color w:val="auto"/>
        </w:rPr>
      </w:pPr>
    </w:p>
    <w:p>
      <w:pPr>
        <w:ind w:left="460" w:right="46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11 directors to serve until the next annual general meeting of shareholders or until their earlier resignation or removal or successors are elected and qualified (Proposal I);</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an amendment of the 1998 Stock Option and Incentive Plan increasing the number of shares authorized for issuance under the plan and the sublimit on “full value” awards under the plan, in each case by 5,250,000 shares (Proposal II);</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Approve an increase in the dividend rate under our quarterly cash dividend program from $0.195 per share to $0.22 per share (Proposal III);</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our Consolidated Financial Statements for the fiscal year ended September 30, 2016 (Proposal IV); and</w:t>
      </w:r>
    </w:p>
    <w:p>
      <w:pPr>
        <w:spacing w:after="0" w:line="90" w:lineRule="exact"/>
        <w:rPr>
          <w:rFonts w:ascii="Arial" w:cs="Arial" w:eastAsia="Arial" w:hAnsi="Arial"/>
          <w:sz w:val="18"/>
          <w:szCs w:val="18"/>
          <w:color w:val="auto"/>
        </w:rPr>
      </w:pPr>
    </w:p>
    <w:p>
      <w:pPr>
        <w:ind w:left="460" w:right="340" w:firstLine="443"/>
        <w:spacing w:after="0" w:line="306" w:lineRule="auto"/>
        <w:tabs>
          <w:tab w:leader="none" w:pos="1074"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Ratify and approve the appointment of Ernst &amp; Young LLP as our independent registered public accounting firm for the fiscal year ending September 30, 2017, and 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10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General Meeting. As of the date hereof, we are not aware of any such amendments or modifications or other matters to be presented for action at the General Meeting. However, if any other matters properly come before the General Meeting, the proxies solicited hereby will be exercised on such matters in accordance with the reasonable judgment of the proxy holders.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the Record Date, Amdocs had outstanding 146,786,764 ordinary shares. Each ordinary share is entitled to one vote on all matters presented at the General Meeting. Only holders of record of ordinary shares at the close of business on the Record Date are entitled to notice of, and to vote at, the General Meeting. Votes cast in person or by proxy at the General Meeting will be tabulated by the inspector of elections appointed for the General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General Meeting.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Approval of Proposals I, III, IV and V requires the affirmative vote of a majority of our ordinary shares voted in person or by proxy at the General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Approval of Proposal II requires the affirmative vote of holders of a majority of the ordinary shares issued and outstanding.</w:t>
      </w:r>
    </w:p>
    <w:p>
      <w:pPr>
        <w:sectPr>
          <w:pgSz w:w="11900" w:h="16838" w:orient="portrait"/>
          <w:cols w:equalWidth="0" w:num="1">
            <w:col w:w="11420"/>
          </w:cols>
          <w:pgMar w:left="240" w:top="274" w:right="239" w:bottom="1440" w:gutter="0" w:footer="0" w:header="0"/>
        </w:sectPr>
      </w:pPr>
    </w:p>
    <w:bookmarkStart w:id="4" w:name="page5"/>
    <w:bookmarkEnd w:id="4"/>
    <w:p>
      <w:pPr>
        <w:ind w:right="3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enclosed proxy provides that each shareholder may specify that his, her or its ordinary shares be voted “for”, “against” or “abstain” from voting for each of the director nominees named in Proposal I and with respect to each of Proposals II, III, IV and V. If proxies in the accompanying form are properly executed and returned, the ordinary shares represented thereby will be voted in the manner specified therein. If not otherwise specified, in the reasonable discretion of the proxy holders, the ordinary shares represented by a proxy will be voted FOR each of the proposals.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Proxies will not be counted as voting in respect of any matter as to which abstention is indicated, but abstentions will be counted as ordinary shares that are present for purposes of determining whether a quorum is present at the General Meeting. Nominees who are members of the New York Stock Exchange, or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(the “Broker Non-Votes”), we will not count those votes in favor of such matter. Broker Non-Votes will be counted as ordinary shares that are present for purposes of determining whether a quorum is present.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Shareholders of record are entitled to appoint one or more proxies to attend and vote at the General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General Meeting on January 27, 2017. We strongly encourage our shareholders to use the enclosed proxy card or to authorize the voting of their shares over the Internet or by telephone as provided in the instructions set forth in the enclosed proxy card.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shareholder giving a proxy may revoke it at any time before it is exercised at the General Meeting by:</w:t>
      </w:r>
    </w:p>
    <w:p>
      <w:pPr>
        <w:spacing w:after="0" w:line="90" w:lineRule="exact"/>
        <w:rPr>
          <w:sz w:val="20"/>
          <w:szCs w:val="20"/>
          <w:color w:val="auto"/>
        </w:rPr>
      </w:pPr>
    </w:p>
    <w:p>
      <w:pPr>
        <w:ind w:left="900" w:right="6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General Meeting or adjournment thereof, as the case may be; or</w:t>
      </w:r>
    </w:p>
    <w:p>
      <w:pPr>
        <w:spacing w:after="0" w:line="62"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General Meeting and voting in person (although attendance at the General Meeting will not in and of itself constitute revocation of a proxy).</w:t>
      </w:r>
    </w:p>
    <w:p>
      <w:pPr>
        <w:spacing w:after="0" w:line="126"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GENERAL MEETING OF SHAREHOLDERS TO BE HELD ON JANUARY 27, 2017</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This proxy statement and the 2016 Annual Report to Shareholders are available for viewing, printing and downloading at www.amdocs.com/proxy.</w:t>
      </w:r>
    </w:p>
    <w:p>
      <w:pPr>
        <w:spacing w:after="0" w:line="194"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You may also request a copy of the materials relating to our annual general meeting, including this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 and form of proxy for our annual general meeting, and our Annual Report on Form 20-F for the fiscal year ended September 30, 2016</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contacting our investor relations department by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at (314) 212-8328 or by e-mail at dox_info@amdocs.com.</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Whether or not you attend the General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General Meeting only if the holder is present or represented by proxy.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Eleven directors currently serve on our Board of Directors. As set forth below, the Board of Directors has nominated 11 individuals as nominees for election as directors at the General Meeting, all of whom are incumbent directors. Each director elected at the General Meeting will serve until the next annual general meeting of shareholders or until his earlier resignation or removal or a successor is elected and qualified.</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Ordinary shares represented by proxies returned duly executed will be voted, unless otherwise specified, in favor of the 11 nominees for the Board of Directors named below. If any or all of such persons should be unable to serve, the persons named in the enclosed proxy will vote the shares covered thereby for such substitute nominee or nominees as the Board of Directors may select. The Board of Directors has no reason to believe that any such nominee will be unable or unwilling to serve.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the names and ages of the nominees for director, the principal occupations of each nominee currently and for at least the past five years, and the year in which he became a director of Amdocs.</w:t>
      </w:r>
    </w:p>
    <w:p>
      <w:pPr>
        <w:sectPr>
          <w:pgSz w:w="11900" w:h="16838" w:orient="portrait"/>
          <w:cols w:equalWidth="0" w:num="1">
            <w:col w:w="11400"/>
          </w:cols>
          <w:pgMar w:left="240" w:top="274"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Robert A. Minicucci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Adrian Gardner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0</wp:posOffset>
            </wp:positionV>
            <wp:extent cx="257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440" w:right="60" w:hanging="370"/>
        <w:spacing w:after="0" w:line="284"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Mr.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 director of one other publicly-held company, Alliance Data Systems, Inc.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71" w:lineRule="exact"/>
        <w:rPr>
          <w:sz w:val="20"/>
          <w:szCs w:val="20"/>
          <w:color w:val="auto"/>
        </w:rPr>
      </w:pPr>
    </w:p>
    <w:p>
      <w:pPr>
        <w:ind w:left="440" w:hanging="370"/>
        <w:spacing w:after="0" w:line="287"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Gardner has been a director of Amdocs since 1998 and is Chairman of the Audit Committee. Mr. Gardner serves as Chief Financial Officer of Ipes Holdings Limited, a provider of outsourced services to private equity firms, from November 2016. From 2014 to September 2016, Mr. Gardner served as Chief Financial Officer of International Personal Finance plc, an international home credit business. Mr. Gardner was Chief Financial Officer and a director of RSM Tenon Group PLC, a London-based accounting and advisory firm listed on the London Stock Exchange, from 2011 until the acquisition in 2013 of its operating subsidiaries by Baker Tilly UK Holdings Limited, since renamed RSM UK Limited. Mr. Gardner served from 2011 to 2013 as Chief Financial Officer and as a director of RSM Tenon Group’s former principal operating subsidiary, which has been renamed RSM UK Limited. Mr. Gardner was Chief Financial Officer of PA Consulting Group, a London-based business consulting firm from 2007 to 2011. Mr. Gardner was Chief</w:t>
      </w:r>
    </w:p>
    <w:p>
      <w:pPr>
        <w:spacing w:after="0" w:line="10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2500" w:space="720"/>
            <w:col w:w="8180"/>
          </w:cols>
          <w:pgMar w:left="240" w:top="274"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r>
      <w:tr>
        <w:trPr>
          <w:trHeight w:val="194"/>
        </w:trPr>
        <w:tc>
          <w:tcPr>
            <w:tcW w:w="38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960" w:type="dxa"/>
            <w:vAlign w:val="bottom"/>
          </w:tcPr>
          <w:p>
            <w:pPr>
              <w:ind w:left="200"/>
              <w:spacing w:after="0" w:line="195" w:lineRule="exact"/>
              <w:rPr>
                <w:sz w:val="20"/>
                <w:szCs w:val="20"/>
                <w:color w:val="auto"/>
              </w:rPr>
            </w:pPr>
            <w:r>
              <w:rPr>
                <w:rFonts w:ascii="Arial" w:cs="Arial" w:eastAsia="Arial" w:hAnsi="Arial"/>
                <w:sz w:val="18"/>
                <w:szCs w:val="18"/>
                <w:color w:val="auto"/>
                <w:w w:val="92"/>
              </w:rPr>
              <w:t>Financial Officer and a director of ProStrakan Group plc, a pharmaceuticals company based in the United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Kingdom and listed on the London Stock Exchange, from 2002 until 2007. Prior to joining ProStrakan, he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was a Managing Director of Lazard LLC, based in London, where he worked with technology and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telecommunications-related companies. Prior to joining Lazard in 1989, Mr. Gardner qualified as a chartered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accountant with Price Waterhouse (now PricewaterhouseCoopers). Mr. Gardner is a fellow of the Institute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Chartered Accountants in England &amp; Wales. Mr. Gardner’s extensive experience as an accountant, technology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investment banker and chief financial officer enables him to make valuable contributions to our strategic and</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financial affairs.</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John T. McLennan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88"/>
              </w:rPr>
              <w:t>71   Mr. McLennan has been a director of Amdocs since 1999 and is Chairman of the Management Resources and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Compensation Committee. From 2000 until 2004, he served as Vice-Chair and Chief Executive Officer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Allstream (formerly AT&amp;T Canada). Mr. McLennan founded Jenmark Consulting Inc. and was its President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from 1997 until 2000. From 1993 to 1997, Mr. McLennan served as the President and Chief Executive Officer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of Bell Canada. Prior to that, he held various positions at several telecommunications companies, including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BCE Mobile Communications and Cantel Inc. Mr. McLennan is also a director of Emera Inc., a Canadian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publicly-held energy services company, and was its Chairman from 2009 to 2014. We believe Mr.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McLennan’s qualifications to sit on our Board of Directors include his years of experience in the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telecommunications industry, including as chief executive officer of a leading Canadian telecommunications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8"/>
              </w:rPr>
              <w:t>provider, and his experience providing strategic advice to complex organizations across a variety of</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industries, including as a public company director.</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Simon Olswang</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2"/>
              </w:rPr>
              <w:t>72   Mr. Olswang has been a director of Amdocs since 2004 and is Chairman of the Nominating and Corporate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Governance Committee. In 2002, Mr. Olswang retired as Chairman of Olswang, a media and communications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law firm in the United Kingdom that he founded in 1981. He is a member of the Advisory Board of Palamon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Capital Partners LLP and of the Board of Directors of Amiad Filtration Systems Limited, an Israeli clean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water company listed on the London AIM market. In 2012, Mr. Olswang was appointed a Trustee of Tel Hai</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Academic College. Mr. Olswang was a member of the Board of Directors of The British Library until March</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2008 and has served as a non-executive director of a number of companies and organizations, including Aegis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Group plc, The Press Association and the British Film Institute. Mr. Olswang previously served as Trustee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Langdon College of Further (Special) Education in Salford, of which he is a co-founder. We believe Mr.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Olswang’s qualifications to sit on our Board of Directors include his extensive experience providing strategic</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and legal advisory services to complex organizations, as well as startups, and his membership of the boards of</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directors of companies and other bodies active in the media and communications industry.</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Zohar Zisapel</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89"/>
              </w:rPr>
              <w:t>67   Mr. Zisapel has been a director of Amdocs since 2008 and is the Chairman of the Technology and Innovation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7"/>
              </w:rPr>
              <w:t>Committee. Mr. Zisapel co-founded RAD Data Communications Ltd., a privately-held voice and data</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communications company and part of the RAD Group, a family of independent networking and</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telecommunications companies, and was its</w:t>
            </w:r>
          </w:p>
        </w:tc>
      </w:tr>
      <w:tr>
        <w:trPr>
          <w:trHeight w:val="365"/>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8"/>
                <w:szCs w:val="18"/>
                <w:color w:val="auto"/>
              </w:rPr>
              <w:t>4</w:t>
            </w:r>
          </w:p>
        </w:tc>
      </w:tr>
    </w:tbl>
    <w:p>
      <w:pPr>
        <w:ind w:left="26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6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r>
      <w:tr>
        <w:trPr>
          <w:trHeight w:val="194"/>
        </w:trPr>
        <w:tc>
          <w:tcPr>
            <w:tcW w:w="38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960" w:type="dxa"/>
            <w:vAlign w:val="bottom"/>
          </w:tcPr>
          <w:p>
            <w:pPr>
              <w:ind w:left="200"/>
              <w:spacing w:after="0" w:line="195" w:lineRule="exact"/>
              <w:rPr>
                <w:sz w:val="20"/>
                <w:szCs w:val="20"/>
                <w:color w:val="auto"/>
              </w:rPr>
            </w:pPr>
            <w:r>
              <w:rPr>
                <w:rFonts w:ascii="Arial" w:cs="Arial" w:eastAsia="Arial" w:hAnsi="Arial"/>
                <w:sz w:val="18"/>
                <w:szCs w:val="18"/>
                <w:color w:val="auto"/>
                <w:w w:val="95"/>
              </w:rPr>
              <w:t>CEO from 1982 until 1998 and Chairman from 1998 until 2012. Mr. Zisapel also serves as chairman of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Ceragon Networks Ltd. and as a director of Radcom Ltd., both public companies traded on Nasdaq, and 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the boards of directors of several privately-held companies. Mr. Zisapel served as chairman of the Israel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Association of Electronic Industries from 1998 until 2001. Mr. Zisapel received an Honorary Doctorate from</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the Technion – Israel Institute of Technology, and he is teaching Entrepreneurship at the Tel Aviv University.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Mr. Zisapel’s experience as founder, chairman and director of several public and private high technology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companies, and his leadership in several government organizations, demonstrate his leadership capability and</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provide him with valuable insights into the voice and data communications industries.</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3"/>
              </w:rPr>
              <w:t>83   Mr. Brodsky has been a director of Amdocs since 2003. Since 2011, Mr. Brodsky has served as a senior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advisor to Comcast Corporation. Mr. Brodsky served as a director of Comcast Corporation from 1969 to</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2011, and as Vice Chairman of Comcast Corporation from 1989 to 2011. From 1999 to 2004, Mr. Brodsky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was Chairman of Comcast Ventures (formerly Comcast Interactive Capital, LP), a venture fund affiliated with</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Comcast. He is a director of RBB Fund, Inc. Mr. Brodsky brings to our Board of Directors deep and extensive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knowledge of business in general and of the cable industry in particular gained through his longstanding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executive leadership roles at Comcast, as well as financial expertise in capital markets, accounting and tax</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5"/>
              </w:rPr>
              <w:t>matters gained through his experience as Chief Financial Officer of Comcast and as a practicing CPA.</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Clayton Christensen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7"/>
              </w:rPr>
              <w:t>64   Dr. Christensen has been a director of Amdocs since April 2015. Dr. Christensen is the Kim B. Clark</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Professor of Business Administration at the Harvard Business School where he has been a faculty member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since 1992. He also served as President and Chairman of CPS Technologies, an industrial materials company,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from 1984 to 1989. From 1979 to 1984, Dr. Christensen worked as a consultant and project manager for the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7"/>
              </w:rPr>
              <w:t>Boston Consulting Group. Dr. Christensen is the founder of Rose Park Advisors, an investment firm,</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Innosight LLC, an innovation consulting firm, and the Christensen Institute for Disruptive Change, a non-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3"/>
              </w:rPr>
              <w:t>profit organization focused on innovation. He is a director of Tata Consultancy Services, an IT consulting</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firm and part of the Tata group, Franklin Covey Co., a public company focused on performance improvement,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and Intermountain Healthcare, a not-for-profit healthcare provider. Dr. Christensen’s qualifications to serve on</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our Board of Directors include his research and teaching interests, which are centered on building new growth</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businesses and sustaining the success of companies. Dr. Christensen’s previous work with various companies</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provides him with a broad perspective in the areas of management and operations.</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7"/>
              </w:rPr>
              <w:t>58   Mr. Gelman has been a director of Amdocs since 2002. Mr. Gelman became the President and Chief</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Executive Officer of Amdocs Management Limited, our wholly-owned subsidiary, in 2010. From 2010 until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2013, Mr. Gelman served as a director of Retalix, a global software company, and during 2010, he also served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as its Chairman. From 2008 to 2010, Mr. Gelman devoted his time to charitable matters focused on youth</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education. He served as Executive Vice President of Amdocs Management Limited</w:t>
            </w:r>
          </w:p>
        </w:tc>
      </w:tr>
      <w:tr>
        <w:trPr>
          <w:trHeight w:val="365"/>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8"/>
                <w:szCs w:val="18"/>
                <w:color w:val="auto"/>
              </w:rPr>
              <w:t>5</w:t>
            </w:r>
          </w:p>
        </w:tc>
      </w:tr>
    </w:tbl>
    <w:p>
      <w:pPr>
        <w:ind w:left="26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168"/>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r>
      <w:tr>
        <w:trPr>
          <w:trHeight w:val="194"/>
        </w:trPr>
        <w:tc>
          <w:tcPr>
            <w:tcW w:w="380" w:type="dxa"/>
            <w:vAlign w:val="bottom"/>
            <w:tcBorders>
              <w:top w:val="single" w:sz="8" w:color="auto"/>
            </w:tcBorders>
          </w:tcPr>
          <w:p>
            <w:pPr>
              <w:spacing w:after="0"/>
              <w:rPr>
                <w:sz w:val="16"/>
                <w:szCs w:val="16"/>
                <w:color w:val="auto"/>
              </w:rPr>
            </w:pPr>
          </w:p>
        </w:tc>
        <w:tc>
          <w:tcPr>
            <w:tcW w:w="26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960" w:type="dxa"/>
            <w:vAlign w:val="bottom"/>
          </w:tcPr>
          <w:p>
            <w:pPr>
              <w:ind w:left="200"/>
              <w:spacing w:after="0" w:line="195" w:lineRule="exact"/>
              <w:rPr>
                <w:sz w:val="20"/>
                <w:szCs w:val="20"/>
                <w:color w:val="auto"/>
              </w:rPr>
            </w:pPr>
            <w:r>
              <w:rPr>
                <w:rFonts w:ascii="Arial" w:cs="Arial" w:eastAsia="Arial" w:hAnsi="Arial"/>
                <w:sz w:val="18"/>
                <w:szCs w:val="18"/>
                <w:color w:val="auto"/>
                <w:w w:val="89"/>
              </w:rPr>
              <w:t>from 2002 until 2008 and as our Chief Operating Officer from 2006 until 2008. Prior to 2002, he was a Senior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Vice President, where he headed our U.S. sales and marketing operations and helped spearhead our entry into</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the customer care and billing systems market. Before that, Mr. Gelman was an account manager for our major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European and North American installations, and has led several major software development projects. Before</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joining Amdocs, Mr. Gelman was involved in the development of real-time software systems for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5"/>
              </w:rPr>
              <w:t>communications networks and software projects for NASA. Mr. Gelman’s qualifications to serve on our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Board of Directors include his more than two decades of service to Amdocs and its customers, including as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our Chief Operating Officer. With more than 30 years of experience in the software industry, he possesses a</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vast institutional knowledge and strategic understanding of our organization and industry.</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James S. Kahan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1"/>
              </w:rPr>
              <w:t>69   Mr. Kahan has been a director of Amdocs since 1998. From 1983 until his retirement in 2007, he worked at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SBC, which is now AT&amp;T, and served as a Senior Executive Vice President from 1992 until 2007. AT&amp;T is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our most significant customer. Prior to joining AT&amp;T, Mr. Kahan held various positions at several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telecommunications companies, including Western Electric, Bell Laboratories, South Central Bell and AT&amp;T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1"/>
              </w:rPr>
              <w:t>Corp. Mr. Kahan also serves on the Board of Directors of Live Nation Entertainment, Inc., a publicly-traded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live music and ticketing entity, as well as two private companies. Mr. Kahan’s long service at SBC and AT&amp;T,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as well as his management and financial experience at several public and private companies, have provided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him with extensive knowledge of the telecommunications industry, particularly with respect to corporate</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development, mergers and acquisitions and business integration.</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Richard T.C. LeFave</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0"/>
              </w:rPr>
              <w:t>64   Mr. LeFave has been a director of Amdocs since 2011. Since 2008, Mr. LeFave has been a Principal at D&amp;L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Partners, LLC, an information technology consulting firm. Mr. LeFave served as Chief Information Officer</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9"/>
              </w:rPr>
              <w:t>for Nextel Communications, a telecommunications company, from 1999 until its merger with Sprint</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Corporation in 2005, after which he served as Chief Information Officer for Sprint Nextel Corporation until</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6"/>
              </w:rPr>
              <w:t>2008. From 1995 to 1999, Mr. LeFave served as Chief Information Officer for Southern New England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6"/>
              </w:rPr>
              <w:t>Telephone Company, a provider of communications products and services. We believe Mr. LeFave’s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8"/>
              </w:rPr>
              <w:t>qualifications to sit on our board include his extensive experience and leadership in the information</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technology and telecommunications industry.</w:t>
            </w:r>
          </w:p>
        </w:tc>
      </w:tr>
      <w:tr>
        <w:trPr>
          <w:trHeight w:val="318"/>
        </w:trPr>
        <w:tc>
          <w:tcPr>
            <w:tcW w:w="3060" w:type="dxa"/>
            <w:vAlign w:val="bottom"/>
            <w:gridSpan w:val="2"/>
          </w:tcPr>
          <w:p>
            <w:pPr>
              <w:spacing w:after="0"/>
              <w:rPr>
                <w:sz w:val="20"/>
                <w:szCs w:val="20"/>
                <w:color w:val="auto"/>
              </w:rPr>
            </w:pPr>
            <w:r>
              <w:rPr>
                <w:rFonts w:ascii="Arial" w:cs="Arial" w:eastAsia="Arial" w:hAnsi="Arial"/>
                <w:sz w:val="18"/>
                <w:szCs w:val="18"/>
                <w:color w:val="auto"/>
              </w:rPr>
              <w:t>Giora Yaron</w:t>
            </w:r>
          </w:p>
        </w:tc>
        <w:tc>
          <w:tcPr>
            <w:tcW w:w="8360" w:type="dxa"/>
            <w:vAlign w:val="bottom"/>
            <w:gridSpan w:val="2"/>
          </w:tcPr>
          <w:p>
            <w:pPr>
              <w:ind w:left="220"/>
              <w:spacing w:after="0"/>
              <w:rPr>
                <w:sz w:val="20"/>
                <w:szCs w:val="20"/>
                <w:color w:val="auto"/>
              </w:rPr>
            </w:pPr>
            <w:r>
              <w:rPr>
                <w:rFonts w:ascii="Arial" w:cs="Arial" w:eastAsia="Arial" w:hAnsi="Arial"/>
                <w:sz w:val="18"/>
                <w:szCs w:val="18"/>
                <w:color w:val="auto"/>
                <w:w w:val="91"/>
              </w:rPr>
              <w:t>68   Dr. Yaron has been a director of Amdocs since 2009. Dr. Yaron co-founded Itamar Medical Ltd., a publicly-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9"/>
              </w:rPr>
              <w:t>traded medical technology company, and has been its co-chairman since 1997 and since 2015, served as its</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7"/>
              </w:rPr>
              <w:t>chairman. Dr. Yaron provides consulting services to Itamar Medical and to various other technology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8"/>
              </w:rPr>
              <w:t>companies. He co-founded P-cube, Pentacom, Qumranet, Exanet and Comsys, privately-held companies sold</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9"/>
              </w:rPr>
              <w:t>to multinational corporations. In 2009, Dr. Yaron also co-founded Qwilt, Inc., a privately-held video</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87"/>
              </w:rPr>
              <w:t>technology company and serves as one of its directors. Dr. Yaron served as a director of Hyperwise Security, a</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company focused on providing a comprehensive APT protection, which was sold to Checkpoint in early</w:t>
            </w:r>
          </w:p>
        </w:tc>
      </w:tr>
      <w:tr>
        <w:trPr>
          <w:trHeight w:val="216"/>
        </w:trPr>
        <w:tc>
          <w:tcPr>
            <w:tcW w:w="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0"/>
              </w:rPr>
              <w:t>2015, serves as Chairman of the Board at Excelero (ExpressIO), a company focused on providing ultra-fast</w:t>
            </w:r>
          </w:p>
        </w:tc>
      </w:tr>
      <w:tr>
        <w:trPr>
          <w:trHeight w:val="222"/>
        </w:trPr>
        <w:tc>
          <w:tcPr>
            <w:tcW w:w="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block storage solution and</w:t>
            </w:r>
          </w:p>
        </w:tc>
      </w:tr>
      <w:tr>
        <w:trPr>
          <w:trHeight w:val="365"/>
        </w:trPr>
        <w:tc>
          <w:tcPr>
            <w:tcW w:w="3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8"/>
                <w:szCs w:val="18"/>
                <w:color w:val="auto"/>
              </w:rPr>
              <w:t>6</w:t>
            </w:r>
          </w:p>
        </w:tc>
      </w:tr>
    </w:tbl>
    <w:p>
      <w:pPr>
        <w:ind w:left="2620"/>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-196215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0</wp:posOffset>
            </wp:positionV>
            <wp:extent cx="274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20"/>
        <w:spacing w:after="0" w:line="285" w:lineRule="auto"/>
        <w:rPr>
          <w:sz w:val="20"/>
          <w:szCs w:val="20"/>
          <w:color w:val="auto"/>
        </w:rPr>
      </w:pPr>
      <w:r>
        <w:rPr>
          <w:rFonts w:ascii="Arial" w:cs="Arial" w:eastAsia="Arial" w:hAnsi="Arial"/>
          <w:sz w:val="16"/>
          <w:szCs w:val="16"/>
          <w:color w:val="auto"/>
        </w:rPr>
        <w:t>Equalum focused on streaming in real-time changes from a variety of data bases to a unified platform for real-time Big Data Analytics. Since 2010, Dr. Yaron has been the chairman of The Executive Council of Tel Aviv University, an institution of higher education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502" w:lineRule="exact"/>
        <w:rPr>
          <w:sz w:val="20"/>
          <w:szCs w:val="20"/>
          <w:color w:val="auto"/>
        </w:rPr>
      </w:pPr>
    </w:p>
    <w:p>
      <w:pPr>
        <w:sectPr>
          <w:pgSz w:w="11900" w:h="16838" w:orient="portrait"/>
          <w:cols w:equalWidth="0" w:num="2">
            <w:col w:w="2520" w:space="720"/>
            <w:col w:w="8180"/>
          </w:cols>
          <w:pgMar w:left="240" w:top="275" w:right="239" w:bottom="1440" w:gutter="0" w:footer="0" w:header="0"/>
        </w:sectPr>
      </w:pPr>
    </w:p>
    <w:p>
      <w:pPr>
        <w:ind w:left="460"/>
        <w:spacing w:after="0"/>
        <w:rPr>
          <w:sz w:val="20"/>
          <w:szCs w:val="20"/>
          <w:color w:val="auto"/>
        </w:rPr>
      </w:pPr>
      <w:r>
        <w:rPr>
          <w:rFonts w:ascii="Arial" w:cs="Arial" w:eastAsia="Arial" w:hAnsi="Arial"/>
          <w:sz w:val="16"/>
          <w:szCs w:val="16"/>
          <w:color w:val="auto"/>
        </w:rPr>
        <w:t>Our Board of Directors maintains four committees as described below. Members of each committee are appointed by the Board of Directors.</w:t>
      </w:r>
    </w:p>
    <w:p>
      <w:pPr>
        <w:spacing w:after="0" w:line="19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reviews, acts on and reports to the Board of Directors with respect to various auditing and accounting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LeFave and Olswang, all of whom are independent directors, as defined by the rules of Nasdaq, and pursuant to the categorical director independence standards adopted by our Board of Directors. The Board of Directors has determined that</w:t>
      </w:r>
    </w:p>
    <w:p>
      <w:pPr>
        <w:spacing w:after="0" w:line="1"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 xml:space="preserve">Mr. Gardner is an “audit committee financial expert” as defined by rules promulgated by the SEC, and that each member of the Audit Committee is financially literate as required by the rules of Nasdaq. The Audit Committee written charter is available on our website at </w:t>
      </w:r>
      <w:r>
        <w:rPr>
          <w:rFonts w:ascii="Arial" w:cs="Arial" w:eastAsia="Arial" w:hAnsi="Arial"/>
          <w:sz w:val="16"/>
          <w:szCs w:val="16"/>
          <w:i w:val="1"/>
          <w:iCs w:val="1"/>
          <w:color w:val="auto"/>
        </w:rPr>
        <w:t>www.amdocs.com.</w:t>
      </w:r>
    </w:p>
    <w:p>
      <w:pPr>
        <w:spacing w:after="0" w:line="93"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i w:val="1"/>
          <w:iCs w:val="1"/>
          <w:color w:val="auto"/>
        </w:rPr>
        <w:t>Nominating and Corporate Governance Committee</w:t>
      </w:r>
      <w:r>
        <w:rPr>
          <w:rFonts w:ascii="Arial" w:cs="Arial" w:eastAsia="Arial" w:hAnsi="Arial"/>
          <w:sz w:val="15"/>
          <w:szCs w:val="15"/>
          <w:color w:val="auto"/>
        </w:rPr>
        <w:t>. The Nominating and Corporate Governance Committee identifies individuals qualified to become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in accordance with Nasdaq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t>
      </w:r>
      <w:r>
        <w:rPr>
          <w:rFonts w:ascii="Arial" w:cs="Arial" w:eastAsia="Arial" w:hAnsi="Arial"/>
          <w:sz w:val="15"/>
          <w:szCs w:val="15"/>
          <w:i w:val="1"/>
          <w:iCs w:val="1"/>
          <w:color w:val="auto"/>
        </w:rPr>
        <w:t>www.amdocs.com</w:t>
      </w:r>
      <w:r>
        <w:rPr>
          <w:rFonts w:ascii="Arial" w:cs="Arial" w:eastAsia="Arial" w:hAnsi="Arial"/>
          <w:sz w:val="15"/>
          <w:szCs w:val="15"/>
          <w:color w:val="auto"/>
        </w:rPr>
        <w:t>. You may request a copy of the corporate governance guidelines, at no cost, by writing to us at the address listed below under the heading “Annual Report on Form 20-F.”</w:t>
      </w:r>
    </w:p>
    <w:p>
      <w:pPr>
        <w:spacing w:after="0" w:line="10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Management Resources and Compensation Committee. </w:t>
      </w:r>
      <w:r>
        <w:rPr>
          <w:rFonts w:ascii="Arial" w:cs="Arial" w:eastAsia="Arial" w:hAnsi="Arial"/>
          <w:sz w:val="16"/>
          <w:szCs w:val="16"/>
          <w:color w:val="auto"/>
        </w:rPr>
        <w:t>The Management Resources and Compensation Committee discharges the responsibilities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relating to the compensation of the Chief Executive Officer of Amdocs Management Limited, makes recommendations to our Board of Directors with respect to the compensation of our other executive officers and oversees management succession planning for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5" w:right="239" w:bottom="1440" w:gutter="0" w:footer="0" w:header="0"/>
          <w:type w:val="continuous"/>
        </w:sectPr>
      </w:pPr>
    </w:p>
    <w:bookmarkStart w:id="10" w:name="page11"/>
    <w:bookmarkEnd w:id="10"/>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executive officers of the Company. The current members of our Management Resources and Compensation Committee are Messrs. McLennan (Chair), LeFave and Minicucci,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07"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Technology and Innovation Committee</w:t>
      </w:r>
      <w:r>
        <w:rPr>
          <w:rFonts w:ascii="Arial" w:cs="Arial" w:eastAsia="Arial" w:hAnsi="Arial"/>
          <w:sz w:val="16"/>
          <w:szCs w:val="16"/>
          <w:color w:val="auto"/>
        </w:rPr>
        <w:t>. The Technology and Innovation Committee was established to assist the Board of Directors in reviewing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development, opportunities and innovation, in connection with the current and future business and markets. The current members of our Technology and Innovation Committee are Messrs. Zisapel (Chair), Gelman, LeFave and Dr. Yaron.</w:t>
      </w:r>
    </w:p>
    <w:p>
      <w:pPr>
        <w:spacing w:after="0" w:line="10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Our directors who are not our employees, or Non-Employee Directors, receive no compensation from us, except in connection with their membership on the Board of Directors and its committees as described below regarding Non-Employee Directors under the heading “Compensation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the past fiscal year, the Board of Directors held seven meetings. In addition, the Audit Committee held eight meetings, the Management Resources and Compensation Committee held four meetings, the Nominating and Corporate Governance Committee held three meetings and the Technology and Innovation Committee held four meetings in the 2016 fiscal year. During fiscal 2016, each of our directors attended at least 75% of the aggregate of the number of Board of Directors meetings held during the time he was serving as a director and meetings held by all committees on which he then served. During fiscal 2016, our Non-Employee Directors held four meetings without management present. Executive sessions of the Non-Employee Directors are generally held in conjunction with regularly scheduled meetings of the Board of Directors. At other times, such meetings may be held at the request of any Non-Employee Director. The presiding director of each such executive session is elected by the Non-Employee Directors who attend such executive session. Shareholders and other interested parties may communicate directly with the presiding directors or with the independent directors as a group as described below under the heading “Communicating with the Independent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Board of Directors will give appropriate attention to written communications that are submitted by shareholders and other interested parties, and will respond if and as appropriate. The Chairman of the Board, with the assistance of our corporate secretary, is primarily responsible for monitoring communications from shareholders and other interested parties and for providing copies or summaries to the directors as he considers appropriate.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Chairman and corporate secretary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Shareholders who wish to send communications on any topic to the Board of Directors or to our independent or presiding directors should address such communications c/o Corporate Secretary, Amdocs Inc., 1390 Timberlake Manor Parkway, Chesterfield, Missouri 63017.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Corporate Governance Differences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issuers under the Nasdaq listing standards.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Qualification Standards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has adopted a formal set of categorical independence standards with respect to the determination of director independence. In accordance with these standards and Nasdaq rules, a director employed by us cannot be deemed to be an independent director and, consequently, Mr. Gelman is not an independent director. Our Board of Directors has determined that each of the following 8 of our current 10 Non-Employee Directors has no material relationship with us that would interfere with the exercise of independent judgment in carrying out the responsibilities of a director and is independent under such standards and rules: Messrs. Minicucci, Gardner, McLennan, Olswang, Brodsky, Kahan, LeFave and Dr. Yaron. In addition, our Board of Directors has determined that Dr. Christensen is not considered independent due to the Company’s payment to Dr. Christensen of consulting fees in excess of $120,000 per year from 2013 to 2014 and that Mr. Zisapel is not independent due to a commercial transaction between the Company and Radcom Ltd. (“Radcom”), a company in which Mr. Zisapel and certain of his family members have interests. In 2015, certain of our subsidiaries entered into a number of contracts with Radcom for it to act as a subcontractor for us and/or a value added reseller. In addition, in the ordinary course of business we purchase certain products from other entities in which Mr. Zisapel has an interest. In fiscal 2016, our aggregate payments with respect to all these transactions were substantially less than 1% of our total operating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our categorical standards is attached to this Proxy Statement as Appendix 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Board of Directors has adopted a Code of Ethics and Business Conduct that sets forth legal and ethical standards of conduct for our directors and employees, including executive officers, our subsidiaries and other business entities controlled by us worldwide. The code is available on our website at www.amdocs.com and you may request a copy, at no cost, by writing to us at the address listed below under the heading “Annual Report on Form 20-F.” We intend to post on our website all disclosures that are required by law or Nasdaq rules concerning any amendments to, or waivers from, any provision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management is responsible for assessing and managing risk, and periodically reviews areas of material risk within our organization in order to evaluate and enhance risk identification and mitigation strategies. Our Board of Directors oversees and reviews these risk management efforts as they relate to strategic and business risks. Our audit committee oversees and reviews the Company’s policies and processes with respect to enterprise risk management, discusses these efforts as they relate to operational and financial risks, and periodically reports and makes recommendations to our Board of Directors regarding these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structure our compensation to consist of both fixed and variable elements, including salary, equity, cash bonuses and insurance benefits.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fixed portions of compensation, such as salary, are designed to be market based and provide steady income regardless of our stock price performance. The variable portions of compensation, such as equity incentives and performance bonuses, are designed to reward the accomplishment of both short- and long-term corporate objectives. By basing a portion of our compensation on our long-term performance, we believe we reduce the risk that employees will focus on short-term goals to the detriment of our long-term stability. Further, our short-term incentive compensation is designed to reward short-term goals that we believe will enhance our long-term corporate success. Additionally, although we vary the elements of compensation that we use at different employee positions and rank, our compensation philosophy is applicable to all employees, including our executives. We believe this encourages consistent behavior across our organization, rather than establishing different approaches depending on an employee’s position or rank. We do not believe our compensation policies and practices encourage excessive or inappropriate risk taking.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Directors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Commencing in fiscal 2016, each of our Non-Employee Directors receives an annual cash payment of $80,000. Each member of our Audit Committee who is a Non-Employee Director and who is not the chairman of such committee receives an annual cash payment of $25,000. Each member of our Management Resources and Compensation Committee who is a Non-Employee Director and who is not a committee chairman receives an annual cash payment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$15,000. Each member of our Nominating and Corporate Governance and Technology and Innovation Committees who is a Non-Employee Director and who is not a committee chairman receives an annual cash payment of $10,000. The Chairman of our Audit Committee receives an annual cash payment of $35,000 and the Chairman of our Management Resources and Compensation Committee receives an annual cash payment of $25,000. The Chairmen of our Nominating and Corporate Governance and Technology and Innovation Committees each receive an annual cash payment of $20,000. Each Non-Employee Director receive an annual grant of ordinary shares at a total value of $245,000. The Chairman of the Board of Directors receives an additional annual amount equal to $200,000 awarded in the form of ordinary shares. All ordinary share awards to our Non-Employee Directors are fully vested upon grant. The price per share for the purpose of determining the value of the grants to our Non-Employee Directors is the Nasdaq closing price of our shares on the last trading day preceding the grant date. We reimburse all of our Non-Employee Directors for their reasonable travel expenses incurred in connection with attending Board or committee meetings. Cash and equity compensation paid to our Non-Employee Directors are prorated for partial year service.</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During the 2016 fiscal year, we granted to 10 Non-Employee Directors an aggregate of 48,986 shares at a weighted average price of $54.10 per share, which were fully vested upon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It is proposed that each of the following 11 individuals be elected to serve as a director of Amdocs Limited until the next annual general meeting of shareholders or until his earlier resignation or removal or until his respective successor is elected and qualified:</w:t>
      </w:r>
    </w:p>
    <w:p>
      <w:pPr>
        <w:spacing w:after="0" w:line="21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Robert A. Minicucci</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Adrian Gardner</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John T. McLennan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Simon Olswang</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Zohar Zisapel</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Julian A. Brodsky</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Clayton Christensen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Eli Gelman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James S. Kahan</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Richard T.C. LeFave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Giora Yaron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the election of each director nominee named above.</w:t>
      </w:r>
    </w:p>
    <w:p>
      <w:pPr>
        <w:spacing w:after="0" w:line="207"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EACH OF THE DIRECTOR NOMINEES NAMED ABOVE.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following table sets forth specified information with respect to the beneficial ownership of our ordinary shares, as of November 30, 2016, of (i) any person known by us to be the beneficial owner of more than 5% of our ordinary shares, and (ii) all of our directors and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146,786,764 ordinary shares outstanding as of November 30, 2016. Information concerning shareholders other than our directors and officers is based on periodic public filings made by such shareholders and may not necessarily be accurate as of November 30, 2016.</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780" w:type="dxa"/>
            <w:vAlign w:val="bottom"/>
            <w:vMerge w:val="restart"/>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58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9"/>
              </w:rPr>
              <w:t>Owned</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
        </w:trPr>
        <w:tc>
          <w:tcPr>
            <w:tcW w:w="7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FMR LLC(1)</w:t>
            </w: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10,126,935</w:t>
            </w:r>
          </w:p>
        </w:tc>
        <w:tc>
          <w:tcPr>
            <w:tcW w:w="7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840" w:type="dxa"/>
            <w:vAlign w:val="bottom"/>
          </w:tcPr>
          <w:p>
            <w:pPr>
              <w:jc w:val="right"/>
              <w:spacing w:after="0"/>
              <w:rPr>
                <w:sz w:val="20"/>
                <w:szCs w:val="20"/>
                <w:color w:val="auto"/>
              </w:rPr>
            </w:pPr>
            <w:r>
              <w:rPr>
                <w:rFonts w:ascii="Arial" w:cs="Arial" w:eastAsia="Arial" w:hAnsi="Arial"/>
                <w:sz w:val="18"/>
                <w:szCs w:val="18"/>
                <w:color w:val="auto"/>
              </w:rPr>
              <w:t>8,405,631</w:t>
            </w:r>
          </w:p>
        </w:tc>
        <w:tc>
          <w:tcPr>
            <w:tcW w:w="7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officers as a group (15 persons)(3)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2,276,214</w:t>
            </w:r>
          </w:p>
        </w:tc>
        <w:tc>
          <w:tcPr>
            <w:tcW w:w="7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13G/A filed by FMR LLC, or FMR, with the SEC on February 12, 2016, as of December 31, 2015, FMR had sole power to vote or direct the vote over 835,485 shares and sole power to dispose or direct the disposition of 10,126,935 shares. Edward C. Johnson 3d is a Director and the Chairman of FMR and Abigail P. Johnson is a Director, the Vice Chairman, the Chief Executive Officer and the President of FMR. Members of the family of Edward C. Johnson 3d, including Abigail P. Johnson, directly or through trusts, own approximately 49% of the voting power of FMR. The address of FMR is 245 Summer Street, Boston, Massachusetts 02210.</w:t>
      </w:r>
    </w:p>
    <w:p>
      <w:pPr>
        <w:jc w:val="both"/>
        <w:ind w:left="460" w:right="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13G filed by Blackrock, Inc., or Blackrock, with the SEC on January 25, 2016, as of December 31, 2015, Blackrock had sole voting power over 7,462,954 of our ordinary shares and sole dispositive power over 8,405,631 of our ordinary shares. The address of Blackrock is 55 East 52nd Street, New York, New York 10022.</w:t>
      </w:r>
    </w:p>
    <w:p>
      <w:pPr>
        <w:spacing w:after="0" w:line="1"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2016. As of such date, none of our directors or executive officers beneficially owned 1% or more of our outstanding ordinary shares.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 MATTERS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management is responsible for the preparation of our financial statements and for maintaining an adequate system of disclosure controls and procedures and internal control over financial reporting for that purpose. Our independent registered public accounting firm is responsible for conducting an independent audit of our annual financial statements in accordance with generally accepted accounting principles, as well as an independent audit of management’s assessment of our internal control over financial reporting, and issuing reports on the results of their audits. The Audit Committee is responsible for providing independent, objective oversight of these processes.</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Audit Committee has reviewed our audited financial statements for the fiscal year ended September 30, 2016 and has discussed these financial statements with our management and independent registered public accounting firm.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Audit Committee has also discussed with our independent registered public accounting firm the matters required to be discussed by the Public Company Accounting Oversight Board (PCAOB) Auditing Standard No. 16 (Communications with Audit Committees) (AS 16), which requires our independent registered public accounting firm to discuss with our Audit Committee, among other things, the following:</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methods to account for significant unusual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significant accounting policies in controversial or emerging areas for which there is a lack of authoritative guidance or consensus;</w:t>
      </w:r>
    </w:p>
    <w:p>
      <w:pPr>
        <w:spacing w:after="0" w:line="113"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process used by management in formulating particularly sensitive accounting estimates and the basis for the auditors’ conclusions regarding the reasonableness of those estimates;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disagreements with management over matters that could be (individually or in the aggregate) significant to the Company’s financial statements or the auditor’s report.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independent registered public accounting firm also provided the Audit Committee with the written disclosures and the letter required by PCAOB Rule 3526 (Rule 3526), Communication with Audit Committees Concerning Independence. PCAOB Rule 3562 requires auditors annually to disclose in writing all relationships that in the auditor’s professional opinion may reasonably be thought to bear on independence, confirm their perceived independence and engage in a discussion of independence. The Audit Committee has discussed with the independent registered public accounting firm its independence from us.</w:t>
      </w:r>
    </w:p>
    <w:p>
      <w:pPr>
        <w:spacing w:after="0" w:line="11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our Board of Directors that the audited financial statements be included in our Annual Report on Form 20-F for the fiscal year ended September 30,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2016, our Audit Committee approved all of the services provided by Ernst &amp; Young.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STOCK OPTION AND INCENTIVE PLAN</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November 8, 2016, our Board of Directors adopted, subject to shareholder approval, an amendment to our 1998 Stock Option and Incentive Plan, as amended, which we refer to as the 1998 Plan, increasing from 62,300,000 to 67,550,000 the maximum number of ordinary shares issuable under the 1998 Plan and making the other change described below.</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1998 Plan was last amended in January 2015. As of November 30, 2016, of the 62,300,000 ordinary shares reserved for issuance under the 1998 Plan prior to giving effect to this amendment, awards with respect to an aggregate of 58,211,710 ordinary shares (net of cancellations and forfeitures) had been granted, of which 48,772,542 shares have been issued upon option exercises and restricted share issuances that have vested, 8,047,860 remain subject to outstanding option awards, 1,391,308 remain subject to outstanding unvested restricted shares, and 4,088,290 ordinary shares remained available for future awards.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Based on 146,786,764 ordinary shares outstanding as of November 30, 2016, which is the Record Date, the number of shares reserved for issuance pursuant to outstanding awards granted and the number of shares available for future grants represented approximately 8.3% of our shares outstanding on a fully diluted basis, assuming all shares reserved for issuance pursuant to outstanding awards granted and all shares available for future grants were issued and outstanding.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November 30, 2016, the closing price of our ordinary shares was 58.97 per share. Of the options to purchase 8,047,860 ordinary shares that were outstanding as of November 30, 2016, awards to purchase 5,650 ordinary shares were at an exercise price of $58.98 or greater. These awards with an exercise price greater than the current trading price of the ordinary shares, so-called “underwater” awards, represented approximately 0.1% of the ordinary shares reserved for issuance pursuant to outstanding awards. The weighted average remaining life of the options outstanding as of November 30, 2016 was 7.5 years, and their weighted average exercise price was $45.93.</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information, as of November 30, 2016, regarding our equity compensation plans. The table does not include the additional shares that may be issuable pursuant to the proposed amendments to the 1998 Plan that are the subject of this Proposal II.</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89"/>
              </w:rPr>
              <w:t>As of November 30, 2016</w:t>
            </w:r>
          </w:p>
        </w:tc>
        <w:tc>
          <w:tcPr>
            <w:tcW w:w="1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Number of Ordinary Shares</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to be Issued Upon Exercise</w:t>
            </w:r>
          </w:p>
        </w:tc>
        <w:tc>
          <w:tcPr>
            <w:tcW w:w="8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 Ordinary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Outstanding Options,</w:t>
            </w:r>
          </w:p>
        </w:tc>
        <w:tc>
          <w:tcPr>
            <w:tcW w:w="8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Price of Outstanding</w:t>
            </w: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Restricted Stock-Based</w:t>
            </w:r>
          </w:p>
        </w:tc>
        <w:tc>
          <w:tcPr>
            <w:tcW w:w="8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 Restricted Stock-</w:t>
            </w: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Awards, Warrants and</w:t>
            </w:r>
          </w:p>
        </w:tc>
        <w:tc>
          <w:tcPr>
            <w:tcW w:w="80" w:type="dxa"/>
            <w:vAlign w:val="bottom"/>
          </w:tcPr>
          <w:p>
            <w:pPr>
              <w:spacing w:after="0"/>
              <w:rPr>
                <w:sz w:val="12"/>
                <w:szCs w:val="12"/>
                <w:color w:val="auto"/>
              </w:rPr>
            </w:pPr>
          </w:p>
        </w:tc>
        <w:tc>
          <w:tcPr>
            <w:tcW w:w="1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Based Awards, Warrants</w:t>
            </w:r>
          </w:p>
        </w:tc>
        <w:tc>
          <w:tcPr>
            <w:tcW w:w="1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Rights</w:t>
            </w:r>
          </w:p>
        </w:tc>
        <w:tc>
          <w:tcPr>
            <w:tcW w:w="8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and Rights</w:t>
            </w:r>
          </w:p>
        </w:tc>
        <w:tc>
          <w:tcPr>
            <w:tcW w:w="1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Plans(1)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9,439,168(2)</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4,088,290(3)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shareholders(3)</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609(4)</w:t>
            </w:r>
          </w:p>
        </w:tc>
        <w:tc>
          <w:tcPr>
            <w:tcW w:w="1820" w:type="dxa"/>
            <w:vAlign w:val="bottom"/>
            <w:gridSpan w:val="3"/>
          </w:tcPr>
          <w:p>
            <w:pPr>
              <w:jc w:val="right"/>
              <w:ind w:right="180"/>
              <w:spacing w:after="0"/>
              <w:rPr>
                <w:sz w:val="20"/>
                <w:szCs w:val="20"/>
                <w:color w:val="auto"/>
              </w:rPr>
            </w:pPr>
            <w:r>
              <w:rPr>
                <w:rFonts w:ascii="Arial" w:cs="Arial" w:eastAsia="Arial" w:hAnsi="Arial"/>
                <w:sz w:val="18"/>
                <w:szCs w:val="18"/>
                <w:color w:val="auto"/>
              </w:rPr>
              <w:t>32.34</w:t>
            </w:r>
          </w:p>
        </w:tc>
        <w:tc>
          <w:tcPr>
            <w:tcW w:w="1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9,439,777(5)</w:t>
            </w: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45.93</w:t>
            </w:r>
          </w:p>
        </w:tc>
        <w:tc>
          <w:tcPr>
            <w:tcW w:w="1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4,088,290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the shares listed under the column heading “Number of Ordinary Shares to be Issued Upon Exercise of Outstanding Options, Restricted Stock-Based Awards, Warrants and Rights.”</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options to purchase 8,047,860 ordinary shares and 1,391,308 restricted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shares available for future issuance under the 1998 Plan.</w:t>
      </w:r>
    </w:p>
    <w:p>
      <w:pPr>
        <w:spacing w:after="0" w:line="9"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options assumed in connection with acquisitions. No additional awards were or can be granted under the plans that originally issued these awards.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ind w:left="460" w:right="58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9,439,777 ordinary shares reflected, 8,048,469 are ordinary shares to be issued upon exercise of outstanding options with a weighted average exercise price of $45.93 and a weighted average remaining life of 7.50 years, and 1,391,308 are restricted shares.</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Under our practices over the last three fiscal years, and as set forth in the table below, the combined run rate for usage of ordinary shares, or the burn rate, used for grants to participants under 1998 Plan has been 2.04% for fiscal 2014, 2.00% for fiscal 2015 and 1.71% for fiscal 2016:</w:t>
      </w:r>
    </w:p>
    <w:p>
      <w:pPr>
        <w:spacing w:after="0" w:line="121"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Fiscal 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0</wp:posOffset>
            </wp:positionV>
            <wp:extent cx="17411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tabs>
          <w:tab w:leader="none" w:pos="8640" w:val="left"/>
          <w:tab w:leader="none" w:pos="9700" w:val="left"/>
          <w:tab w:leader="none" w:pos="10740" w:val="left"/>
        </w:tabs>
        <w:rPr>
          <w:sz w:val="20"/>
          <w:szCs w:val="20"/>
          <w:color w:val="auto"/>
        </w:rPr>
      </w:pPr>
      <w:r>
        <w:rPr>
          <w:rFonts w:ascii="Arial" w:cs="Arial" w:eastAsia="Arial" w:hAnsi="Arial"/>
          <w:sz w:val="14"/>
          <w:szCs w:val="14"/>
          <w:b w:val="1"/>
          <w:bCs w:val="1"/>
          <w:color w:val="auto"/>
        </w:rPr>
        <w:t>Type of Award</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829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0</wp:posOffset>
            </wp:positionV>
            <wp:extent cx="1741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ind w:left="9440"/>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granted</w:t>
            </w:r>
          </w:p>
        </w:tc>
        <w:tc>
          <w:tcPr>
            <w:tcW w:w="33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1,898</w:t>
            </w: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2,418</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2,410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3320" w:type="dxa"/>
            <w:vAlign w:val="bottom"/>
          </w:tcPr>
          <w:p>
            <w:pPr>
              <w:jc w:val="right"/>
              <w:ind w:right="212"/>
              <w:spacing w:after="0"/>
              <w:rPr>
                <w:sz w:val="20"/>
                <w:szCs w:val="20"/>
                <w:color w:val="auto"/>
              </w:rPr>
            </w:pPr>
            <w:r>
              <w:rPr>
                <w:rFonts w:ascii="Arial" w:cs="Arial" w:eastAsia="Arial" w:hAnsi="Arial"/>
                <w:sz w:val="18"/>
                <w:szCs w:val="18"/>
                <w:color w:val="auto"/>
              </w:rPr>
              <w:t>658</w:t>
            </w:r>
          </w:p>
        </w:tc>
        <w:tc>
          <w:tcPr>
            <w:tcW w:w="1060" w:type="dxa"/>
            <w:vAlign w:val="bottom"/>
          </w:tcPr>
          <w:p>
            <w:pPr>
              <w:jc w:val="right"/>
              <w:ind w:right="232"/>
              <w:spacing w:after="0"/>
              <w:rPr>
                <w:sz w:val="20"/>
                <w:szCs w:val="20"/>
                <w:color w:val="auto"/>
              </w:rPr>
            </w:pPr>
            <w:r>
              <w:rPr>
                <w:rFonts w:ascii="Arial" w:cs="Arial" w:eastAsia="Arial" w:hAnsi="Arial"/>
                <w:sz w:val="18"/>
                <w:szCs w:val="18"/>
                <w:color w:val="auto"/>
              </w:rPr>
              <w:t>665</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828</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basic ordinary shares outstanding</w:t>
            </w:r>
          </w:p>
        </w:tc>
        <w:tc>
          <w:tcPr>
            <w:tcW w:w="33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149,168</w:t>
            </w:r>
          </w:p>
        </w:tc>
        <w:tc>
          <w:tcPr>
            <w:tcW w:w="10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154,423</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159,012</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Burn rate</w:t>
            </w:r>
          </w:p>
        </w:tc>
        <w:tc>
          <w:tcPr>
            <w:tcW w:w="3320" w:type="dxa"/>
            <w:vAlign w:val="bottom"/>
          </w:tcPr>
          <w:p>
            <w:pPr>
              <w:jc w:val="right"/>
              <w:ind w:right="72"/>
              <w:spacing w:after="0"/>
              <w:rPr>
                <w:sz w:val="20"/>
                <w:szCs w:val="20"/>
                <w:color w:val="auto"/>
              </w:rPr>
            </w:pPr>
            <w:r>
              <w:rPr>
                <w:rFonts w:ascii="Arial" w:cs="Arial" w:eastAsia="Arial" w:hAnsi="Arial"/>
                <w:sz w:val="18"/>
                <w:szCs w:val="18"/>
                <w:color w:val="auto"/>
              </w:rPr>
              <w:t>1.71%</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r>
    </w:tbl>
    <w:p>
      <w:pPr>
        <w:spacing w:after="0" w:line="14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Board of Directors considers availability of ordinary shares for future grants under the 1998 Plan to be important to the business prospects and operations of the company and believes that, after giving effect to the proposed 5,250,000 share increase of the 1998 Plan, we will have sufficient awards available for grant to our employees and others for the next two to three years. The Board considers grants of options and restricted stock to be an effective method to attract and retain officers, directors, employees and consultants, and to encourage long-term performance and productivity. The company will not be able to grant awards under the 1998 Plan after January 28, 2025.</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of Directors believes that the increase in the number of shares issuable under the 1998 Plan and the other change described below are in the best interests of the company and its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of the 1998 Stock Option and Incentive Plan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Following is a summary of the material changes proposed to be made to the 1998 Plan. The following summary of material changes is qualified in its entirety by reference to the 1998 Plan, as proposed to be amended, a copy of which is attached as Appendix B.</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Shares Available. </w:t>
      </w:r>
      <w:r>
        <w:rPr>
          <w:rFonts w:ascii="Arial" w:cs="Arial" w:eastAsia="Arial" w:hAnsi="Arial"/>
          <w:sz w:val="16"/>
          <w:szCs w:val="16"/>
          <w:color w:val="auto"/>
        </w:rPr>
        <w:t>The proposed amendment increases by 5,250,000 the number of ordinary shares available for issuance under the 1998 Plan.</w:t>
      </w:r>
    </w:p>
    <w:p>
      <w:pPr>
        <w:spacing w:after="0" w:line="113"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Sublimit on “Full Value” Awards</w:t>
      </w:r>
      <w:r>
        <w:rPr>
          <w:rFonts w:ascii="Arial" w:cs="Arial" w:eastAsia="Arial" w:hAnsi="Arial"/>
          <w:sz w:val="16"/>
          <w:szCs w:val="16"/>
          <w:color w:val="auto"/>
        </w:rPr>
        <w:t>. The 1998 Plan was amended in 2008 to impose a sublimit that restricts our ability to make “full value”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(i.e., awards other than stock options and stock appreciation rights, such as restricted stock or awards denominated in stock units) to 9,700,000 ordinary shares. After taking into account full value awards granted after the 2008 amendment, as of November 30, 2016, we had the ability to grant such full value awards with respect to 4,260,783 ordinary shares. Subject to shareholder approval of the proposed amendment, from January 27, 2017, we will have the ability to grant such full value awards with respect to an additional 5,250,000 ordinary shares. In the event any ordinary shares that are subject to a full value award cease to be subject to such award (other than by reason of exercise or payment of the award to the extent it is settled in shares), such shares shall again be available for full value awards, without regard to the ordinary share sublimit.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1998 Stock Option and Incentive Plan (as proposed to be amended)</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is a summary of the 1998 Stock Option and Incentive Plan (as proposed to be amended), a copy of which is attached as Appendix B. The following summary is qualified in its entirety by reference to the 1998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ind w:right="260" w:firstLine="456"/>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w:t>
      </w:r>
      <w:r>
        <w:rPr>
          <w:rFonts w:ascii="Arial" w:cs="Arial" w:eastAsia="Arial" w:hAnsi="Arial"/>
          <w:sz w:val="16"/>
          <w:szCs w:val="16"/>
          <w:color w:val="auto"/>
        </w:rPr>
        <w:t>. The purpose of the 1998 Plan is to afford an incentive to grantees to acquire a proprietary interest in the company, to continue in service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increase their efforts on behalf of the company and to promote the success of the company’s business.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1998 Plan provides for the grant of stock options (which may be either incentive stock options or nonqualified stock options),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rights, restricted stock awards and other stock-based awards, which we collectively refers to as “awards.”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Grantees receive the right to purchase a specified number of ordinary shares at a specified option price and subject to such other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as are specified in connection with the option grant. Options may not be granted at an exercise price that is less than 100% of the fair market value of our ordinary shares on the date of grant and may not be granted for a term in excess of ten years. Payment of the exercise price of options may be by cash, delivery of ordinary shares, a combination thereof, or, in connection with a broker-assisted exercise. The 1998 Plan provides that, unless otherwise determined by the Committee, options will vest as to 25% of the ordinary shares subject to such award on each of the first, second, third and fourth anniversaries of the date of grant of the option. Although we have never done so, the 1998 Plan permits us to make loans to grantees in connection with the exercise of outstanding options. Options may generally only be exercised while the grantee is in our service or employ. If the grantee’s service ends for any reason other than cause, death or disability, his or her option will expire 90 days after such cessation. Termination for cause results in expiration of the option upon the termination date. Termination due to death or disability allows, in general, for the option to be exercised for 12 months, but in no event after the option’s stated final expiration date. The 1998 Plan prohibits the grant of options containing a provision entitling a grantee to the automatic grant of additional options in connection with any exercise by the grantee of his or her options.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Restricted stock awards entitle grantees to acquire ordinary shares subject to the right of Amdocs Limited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to repurchase all or part of such shares from the grantee in the event that the conditions specified in the applicable award are not satisfied prior to the end of the applicable restriction period established for such award. The vesting of restricted stock awards can be based on the achievement of specified performance goals or on the passage of time.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The Committee may also grant stock appreciation rights without the grant of an accompanying option, which rights shall permit</w:t>
      </w:r>
      <w:r>
        <w:rPr>
          <w:rFonts w:ascii="Arial" w:cs="Arial" w:eastAsia="Arial" w:hAnsi="Arial"/>
          <w:sz w:val="16"/>
          <w:szCs w:val="16"/>
          <w:i w:val="1"/>
          <w:iCs w:val="1"/>
          <w:color w:val="auto"/>
        </w:rPr>
        <w:t xml:space="preserve"> </w:t>
      </w:r>
      <w:r>
        <w:rPr>
          <w:rFonts w:ascii="Arial" w:cs="Arial" w:eastAsia="Arial" w:hAnsi="Arial"/>
          <w:sz w:val="16"/>
          <w:szCs w:val="16"/>
          <w:color w:val="auto"/>
        </w:rPr>
        <w:t>the grantee to receive, at the time of any exercise of such rights, cash equal to the amount by which the fair market value of all shares of ordinary shares in respect to which the right was exercised exceeds the exercise price thereof. The exercise price of a stock appreciation right shall not be less than the fair market value on the date the stock appreciation right is granted and no stock appreciation right may be granted with a term in excess of 10 years. As of the date of this Proxy Statement, we have never granted stock appreciation rights under the 1998 Plan.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Other Stock-Based Awards</w:t>
      </w:r>
      <w:r>
        <w:rPr>
          <w:rFonts w:ascii="Arial" w:cs="Arial" w:eastAsia="Arial" w:hAnsi="Arial"/>
          <w:sz w:val="18"/>
          <w:szCs w:val="18"/>
          <w:color w:val="auto"/>
        </w:rPr>
        <w:t>. The committee administering the 1998 Plan may grant other awards pursuant to which ordinary shares may be acquired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denominated in stock units. As of the date of this Proxy Statement, we have granted restricted stock units, but no other stock-based awards under the 1998 Plan.</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Eligibility to Receive Awards</w:t>
      </w:r>
      <w:r>
        <w:rPr>
          <w:rFonts w:ascii="Arial" w:cs="Arial" w:eastAsia="Arial" w:hAnsi="Arial"/>
          <w:sz w:val="18"/>
          <w:szCs w:val="18"/>
          <w:color w:val="auto"/>
        </w:rPr>
        <w:t>. All officers, directors, employees and consultants of Amdocs Limited, or of any parent or subsidiary of Amdocs Limited,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the 1998 Plan. Under the 1998 Plan, a subsidiary means any entity in which Amdocs Limited holds, directly or indirectly, 50% or more of its voting power.</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Shares Available. </w:t>
      </w:r>
      <w:r>
        <w:rPr>
          <w:rFonts w:ascii="Arial" w:cs="Arial" w:eastAsia="Arial" w:hAnsi="Arial"/>
          <w:sz w:val="18"/>
          <w:szCs w:val="18"/>
          <w:color w:val="auto"/>
        </w:rPr>
        <w:t>Awards may be made under the 1998 Plan for up to 67,550,000 ordinary shares (including the 5,250,000 ordinary shares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amendment), with a sublimit on the number of ordinary shares that may be issued pursuant to “full value” awards (i.e., awards other than stock options and stock appreciation rights, such as restricted stock or awards denominated in stock units). As of November 30, 2016, the sublimit on such full value awards was 4,260,783 ordinary shares. Subject to shareholder approval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jc w:val="both"/>
        <w:ind w:right="2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proposed amendment, from January 27, 2017, this sublimit will be increased by 5,250,000 ordinary shares. If any award expires or is terminated, surrendered, cancelled (including the repurchase of unvested restricted stock at its original issuance price) or forfeited, the unused shares covered by such award (other than any shares surrendered by reason of exercise or payment of the award to the extent it is settled in shares) will again be available for grant under the 1998 Plan, with the exception of (i) shares that were subject to a stock-settled stock appreciation right and were not issued upon the net settlement or net exercise of such stock appreciation right, (ii) shares used to pay the exercise price of a stock option, (iii) shares delivered to or withheld by the company to pay the withholding taxes related to an award, or (iv) shares repurchased on the open market with proceeds of a stock option exercise. Any shares subject to a full value award that cease to be subject to such award (other than by reason of exercise or payment of the award to the extent it is settled in shares) shall again be available for full value awards, without regard to the sublimit that will be in effect following this amendment.</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1998 Plan is administered by a committee established by the Board of Directors, which we refer to as the Committee.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has the authority to administer the 1998 Plan and to exercise all the powers and authorities either specifically granted to it under the 1998 Plan or necessary or advisable in the administration of the 1998 Plan, and to make all other determinations deemed necessary or advisable for the administration of the 1998 Plan.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Assumed or Substitute Awards</w:t>
      </w:r>
      <w:r>
        <w:rPr>
          <w:rFonts w:ascii="Arial" w:cs="Arial" w:eastAsia="Arial" w:hAnsi="Arial"/>
          <w:sz w:val="16"/>
          <w:szCs w:val="16"/>
          <w:color w:val="auto"/>
        </w:rPr>
        <w:t>. If, in connection with a business combination transaction, we assume or substitute for awards originally granted by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and such assumed or substituted awards will be administered under the 1998 Plan, such awards (1) will not count as part of the total number of ordinary shares that may be made subject to awards under the 1998 Plan, subject to any limitations required by the U.S. Internal Revenue Code of 1986, as amended, and (2) will be on such terms as the Board deems appropriate notwithstanding any limitations contained in the 1998 Plan on new awards.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The Committee is required to make appropriate adjustments in connection with the 1998 Plan and any outstanding awards to reflect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recapitalizations, stock splits, combinations or exchanges of ordinary shares and other similar transactions which result in any increase or decrease in the number of issued ordinary shares effected without receipt of consideration. In the event of a proposed sale of all or substantially all the assets of Amdocs, merger, liquidation, dissolution or other similar event, the Committee is authorized to provide for outstanding awards to be assumed or substituted for, to accelerate the awards to make them fully exercisable prior to consummation of the acquisition event, to provide that the awards will terminate as a fixed date following their acceleration or to provide for a cash-out of any outstanding options.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No award may be made under the 1998 Plan after January 28, 2025. The Board of Directors may at any time suspend,</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modify or amend the 1998 Plan, however, shareholders must approve any amendment that would (1) increase the aggregate number of ordinary shares issuable under the 1998 Plan, (2) materially increase the benefits accruing to grantees, (3) change the class of employees eligible for participation, (4) extend the period during which awards may be granted or (5) provide for an option that is exercisable more than 10 years after the date it is granted.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No Repricing of Options or Stock Appreciation Rights</w:t>
      </w:r>
      <w:r>
        <w:rPr>
          <w:rFonts w:ascii="Arial" w:cs="Arial" w:eastAsia="Arial" w:hAnsi="Arial"/>
          <w:sz w:val="16"/>
          <w:szCs w:val="16"/>
          <w:color w:val="auto"/>
        </w:rPr>
        <w:t>. The 1998 Plan prohibits the repricing of options or stock appreciation rights under the 1998 Plan</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shareholder approval. Specifically, except in connection with a corporate transaction involving us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Nontransferability</w:t>
      </w:r>
      <w:r>
        <w:rPr>
          <w:rFonts w:ascii="Arial" w:cs="Arial" w:eastAsia="Arial" w:hAnsi="Arial"/>
          <w:sz w:val="18"/>
          <w:szCs w:val="18"/>
          <w:color w:val="auto"/>
        </w:rPr>
        <w:t>. Awards granted under the 1998 Plan are not transferable other than by will or by the laws of descent and distribution,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 qualified domestic relations order.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9" w:name="page20"/>
    <w:bookmarkEnd w:id="19"/>
    <w:p>
      <w:pPr>
        <w:jc w:val="both"/>
        <w:ind w:right="20"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 Awards</w:t>
      </w:r>
      <w:r>
        <w:rPr>
          <w:rFonts w:ascii="Arial" w:cs="Arial" w:eastAsia="Arial" w:hAnsi="Arial"/>
          <w:sz w:val="18"/>
          <w:szCs w:val="18"/>
          <w:color w:val="auto"/>
        </w:rPr>
        <w:t>. Under the 1998 Plan, nonqualified stock options and restricted stock awards may be granted to employees and consultants of Amdocs</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or any of its subsidiaries or parents pursuant to the provisions of Section 102 of the Israel Tax Ordinance (New Version) 1961. Section 102 is designed to afford qualified recipients with specified favorable tax treatment in Israel.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1998 Stock Option and Incentive Plan, as amended, in the form attached to the company’s Proxy Statement as Appendix B, be and hereby is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issued and outstanding is necessary for the approval of the Ordinary Resolution to approve the amendment to the 1998 Plan. If Proposal II is not approved by the shareholders, the 1998 Plan will continue in accordance with its existing terms and the Board will evaluate other alternatives for achieving the purposes of the plan.</w:t>
      </w:r>
    </w:p>
    <w:p>
      <w:pPr>
        <w:spacing w:after="0" w:line="13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AMENDMENT AND CONTINUATION OF THE 1998 PLAN AS SET FORTH IN APPENDIX B ATTACHED HERETO.</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APPROVAL OF INCREASE OF THE QUARTERLY DIVIDEND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Article 92 of our Articles of Incorporation provides that our Board of Directors may declare and pay dividends on our ordinary shares, subject to compliance with applicable law and subject to the approval of our shareholders by ordinary resolution.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2012, our shareholders approved the institution of a quarterly cash dividend program at the quarterly rate of $0.13 per ordinary share.</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this authorization, our Board of Directors has the authority to reduce the quarterly dividend or discontinue the dividend program should it determine that doing so is in the best interests of our shareholders or is necessary pursuant to Guernsey law, but our Board of Directors does not have authority to increase the per share amount or frequency of the dividend without shareholder approval. In 2014, our shareholders approved an increase in the rate of the quarterly cash dividend to $0.155 per share, in 2015, our shareholders approved an increase to $0.17 per share, and in 2016 our shareholders approved our shareholders approved another increase to $0.195 per share.</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In November 2016, our Board of Directors approved an increase in the quarterly cash dividend rate to $0.22 per ordinary share. In order to permit us to implement this dividend rate increase, our Board of Directors proposes that our shareholders approve the ordinary resolution set forth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 in Quarterly Dividend Rate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Board of Directors believes that it is in the best interest of our shareholders to increase the quarterly dividend rate in light of our financial and business performance and outlook. For example, since we implemented our dividend program in 2012, we have generated increases in annual revenue, net income and free cash flow. At the same time, we have continued to repurchase our ordinary shares, through a subsidiary, and repurchased approximately $454.0 million and $413.4 million (excluding broker and transaction fees) of our ordinary shares during the fiscal years ended September 30, 2015 and 2016, respectively. The increase in the quarterly dividend rate coincides with our general long-term guideline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This is not a complete presentation of our financial position, results of operations and cash flows in conformity with U.S. generally accepted accounting principles, so we encourage you to review our consolidated financial statements for the fiscal year ended September 30, 2016 set forth in our Annual Report on Form 20-F filed on December 12, 2016 with the U.S. Securities and Exchange Commission, or the SEC.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our shareholders approve the proposal, our Board of Directors will continue to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will be required for dividends payable pursuant to our quarterly cash dividend program. However, any increase to the per share amount or frequency of the dividend would require further shareholder approval.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1" w:name="page22"/>
    <w:bookmarkEnd w:id="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shareholder approval, we expect to begin paying the dividend at the increased rate commencing in April 2017.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that shareholder approval is not obtained, the quarterly dividend rate will remain at $0.195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United States Federal Income Tax Considerations Related to Distributions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 In general, U.S. corporate shareholders will not be entitled to any deduction for distributions received as dividends on the ordinary shares.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requirements, including holding period requirements, are met. “Qualified dividend income” includes dividends paid on shares of “qualified foreign corporations,” including shares of a foreign corporation that are readily tradable on an established securities market in the United States (as well as foreign corporations from certain treaty jurisdictions). Since our ordinary shares are listed on Nasdaq, we believe that dividends paid by us with respect to our ordinary shares should constitute “qualified dividend income” for U.S. federal income tax purposes, provided that the holding period and other applicable requirements are satisfied. The preferential rate will not apply to dividends received to the extent that the U.S. holder elects to treat dividends as “investment income,” which may be offset by investment interest expense. In addition, dividends paid by us will not qualify for the preferential U.S. federal income tax rate if we are, for the tax year in which the dividends are paid, or were, for the preceding tax year, a “passive foreign investment company” (“PFIC”) for U.S. federal income tax purposes, which we would be if (i) at least 75% of our gross income is “passive income” (i.e., dividends, interest, royalties, rents and gains from commodities and securities transactions), or (ii) on average at least 50% of the gross value of our assets is attributable to assets that produce “passive income” or are held for the production of “passive income.” We do not believe that we will be a PFIC in the current taxable year and do not expect to become one in the foreseeable future.</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 additional 3.8% tax is imposed on the net investment income (which includes taxable dividends) received by U.S. holders that are individuals, trusts or estates earning income above certain thresholds.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Dividends paid by us generally will be classified as foreign source “passive category income” or, in certain cases, “general category income” for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foreign tax credit purposes.</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Payments to U.S. holders generally will be subject to information reporting requirements with respect to dividends that are paid within the United States or through U.S.-related financial intermediaries, unless the U.S. holder is an “exempt recipient.” Such payments may also be subject to backup withholding (currently at a rate of 28%) unless the U.S. holder provides a taxpayer identification number and a duly executed Internal Revenue Service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Internal Revenue Service.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holders are urged to consult their tax advisors regarding the tax treatment of any dividends received by such holder in respect of ordinary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an increase in the dividend rate under Amdocs Limited’s quarterly cash dividend program from $0.195 per share to $0.22 per share be, and hereby is,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General Meeting is necessary for approval of the increase in the dividend rate under our quarterly cash dividend program.</w:t>
      </w:r>
    </w:p>
    <w:p>
      <w:pPr>
        <w:spacing w:after="0" w:line="126"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INCREASE IN THE QUARTERLY DIVIDEND RATE UNDER THE CASH DIVIDEND PROGRAM.</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280" w:right="419" w:bottom="1440" w:gutter="0" w:footer="0" w:header="0"/>
        </w:sectPr>
      </w:pPr>
    </w:p>
    <w:bookmarkStart w:id="23" w:name="page24"/>
    <w:bookmarkEnd w:id="23"/>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IV</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APPROVAL OF OUR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30, 2016</w:t>
      </w:r>
    </w:p>
    <w:p>
      <w:pPr>
        <w:spacing w:after="0" w:line="165"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color w:val="auto"/>
        </w:rPr>
        <w:t>Our Annual Report for the fiscal year ended September 30, 2016 is available on our website at http://www.amdocs.com/About/Pages/AnnualReport.aspx. Our Consolidated Financial Statements for the fiscal year ended September 30, 2016 are included in our Annual Report. At the General Meeting, we will review the Operating and Financial Review and Prospects section of our Annual Report and will answer appropriate questions related thereto.</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the Consolidated Financial Statements of Amdocs Limited for the fiscal year ended September 30, 2016 be, and the same hereby are, approved.”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approve the Consolidated Financial Statements.</w:t>
      </w:r>
    </w:p>
    <w:p>
      <w:pPr>
        <w:spacing w:after="0" w:line="126"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OUR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4" w:name="page25"/>
    <w:bookmarkEnd w:id="24"/>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V</w:t>
      </w:r>
    </w:p>
    <w:p>
      <w:pPr>
        <w:spacing w:after="0" w:line="9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RATIFICATION AND APPROVAL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Audit Committee of the Board of Directors has selected the firm of Ernst &amp; Young LLP to continue to serve as our independent registered public accounting firm for the fiscal year ending September 30, 2017 and until the next annual general meeting, and the Audit Committee recommends to the shareholders that they (i) ratify and approve such selection, and (ii) authorize the Audit Committee of the Board of Directors to fix the remuneration of such registered public accounting firm. Ernst &amp; Young LLP audited Amdocs’ books and accounts for the fiscal year ended September 30, 2016 and has served as our independent public accounting firm since 1996. One or more representatives of Ernst &amp; Young LLP are expected to be present at the General Meeting, will have an opportunity to make a statement if he or she so desires and will be available to respond to appropriate questions.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 Fees and Other Matters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Fee Category</w:t>
            </w:r>
          </w:p>
        </w:tc>
        <w:tc>
          <w:tcPr>
            <w:tcW w:w="4580" w:type="dxa"/>
            <w:vAlign w:val="bottom"/>
          </w:tcPr>
          <w:p>
            <w:pPr>
              <w:spacing w:after="0"/>
              <w:rPr>
                <w:sz w:val="15"/>
                <w:szCs w:val="15"/>
                <w:color w:val="auto"/>
              </w:rPr>
            </w:pPr>
          </w:p>
        </w:tc>
        <w:tc>
          <w:tcPr>
            <w:tcW w:w="4660" w:type="dxa"/>
            <w:vAlign w:val="bottom"/>
            <w:gridSpan w:val="2"/>
          </w:tcPr>
          <w:p>
            <w:pPr>
              <w:jc w:val="center"/>
              <w:ind w:left="3759"/>
              <w:spacing w:after="0"/>
              <w:rPr>
                <w:sz w:val="20"/>
                <w:szCs w:val="20"/>
                <w:color w:val="auto"/>
              </w:rPr>
            </w:pPr>
            <w:r>
              <w:rPr>
                <w:rFonts w:ascii="Arial" w:cs="Arial" w:eastAsia="Arial" w:hAnsi="Arial"/>
                <w:sz w:val="14"/>
                <w:szCs w:val="14"/>
                <w:b w:val="1"/>
                <w:bCs w:val="1"/>
                <w:color w:val="auto"/>
                <w:w w:val="83"/>
              </w:rPr>
              <w:t>2016</w:t>
            </w:r>
          </w:p>
        </w:tc>
        <w:tc>
          <w:tcPr>
            <w:tcW w:w="220" w:type="dxa"/>
            <w:vAlign w:val="bottom"/>
          </w:tcPr>
          <w:p>
            <w:pPr>
              <w:spacing w:after="0"/>
              <w:rPr>
                <w:sz w:val="15"/>
                <w:szCs w:val="15"/>
                <w:color w:val="auto"/>
              </w:rPr>
            </w:pPr>
          </w:p>
        </w:tc>
        <w:tc>
          <w:tcPr>
            <w:tcW w:w="10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5"/>
                <w:szCs w:val="15"/>
                <w:color w:val="auto"/>
              </w:rPr>
            </w:pPr>
          </w:p>
        </w:tc>
      </w:tr>
      <w:tr>
        <w:trPr>
          <w:trHeight w:val="203"/>
        </w:trPr>
        <w:tc>
          <w:tcPr>
            <w:tcW w:w="5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Audit Fees(1)</w:t>
            </w:r>
          </w:p>
        </w:tc>
        <w:tc>
          <w:tcPr>
            <w:tcW w:w="38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$ 3,200,000</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$ 3,200,000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4880" w:type="dxa"/>
            <w:vAlign w:val="bottom"/>
            <w:gridSpan w:val="3"/>
          </w:tcPr>
          <w:p>
            <w:pPr>
              <w:jc w:val="center"/>
              <w:ind w:left="3539"/>
              <w:spacing w:after="0"/>
              <w:rPr>
                <w:sz w:val="20"/>
                <w:szCs w:val="20"/>
                <w:color w:val="auto"/>
              </w:rPr>
            </w:pPr>
            <w:r>
              <w:rPr>
                <w:rFonts w:ascii="Arial" w:cs="Arial" w:eastAsia="Arial" w:hAnsi="Arial"/>
                <w:sz w:val="18"/>
                <w:szCs w:val="18"/>
                <w:color w:val="auto"/>
                <w:w w:val="86"/>
              </w:rPr>
              <w:t>$ 1,200,000</w:t>
            </w:r>
          </w:p>
        </w:tc>
        <w:tc>
          <w:tcPr>
            <w:tcW w:w="1140" w:type="dxa"/>
            <w:vAlign w:val="bottom"/>
            <w:gridSpan w:val="3"/>
          </w:tcPr>
          <w:p>
            <w:pPr>
              <w:jc w:val="center"/>
              <w:ind w:left="19"/>
              <w:spacing w:after="0"/>
              <w:rPr>
                <w:sz w:val="20"/>
                <w:szCs w:val="20"/>
                <w:color w:val="auto"/>
              </w:rPr>
            </w:pPr>
            <w:r>
              <w:rPr>
                <w:rFonts w:ascii="Arial" w:cs="Arial" w:eastAsia="Arial" w:hAnsi="Arial"/>
                <w:sz w:val="18"/>
                <w:szCs w:val="18"/>
                <w:color w:val="auto"/>
                <w:w w:val="88"/>
              </w:rPr>
              <w:t>$ 1,300,000</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4880" w:type="dxa"/>
            <w:vAlign w:val="bottom"/>
            <w:gridSpan w:val="3"/>
            <w:shd w:val="clear" w:color="auto" w:fill="CCEEFF"/>
          </w:tcPr>
          <w:p>
            <w:pPr>
              <w:jc w:val="center"/>
              <w:ind w:left="3539"/>
              <w:spacing w:after="0"/>
              <w:rPr>
                <w:sz w:val="20"/>
                <w:szCs w:val="20"/>
                <w:color w:val="auto"/>
              </w:rPr>
            </w:pPr>
            <w:r>
              <w:rPr>
                <w:rFonts w:ascii="Arial" w:cs="Arial" w:eastAsia="Arial" w:hAnsi="Arial"/>
                <w:sz w:val="18"/>
                <w:szCs w:val="18"/>
                <w:color w:val="auto"/>
                <w:w w:val="86"/>
              </w:rPr>
              <w:t>$ 1,600,000</w:t>
            </w:r>
          </w:p>
        </w:tc>
        <w:tc>
          <w:tcPr>
            <w:tcW w:w="1140" w:type="dxa"/>
            <w:vAlign w:val="bottom"/>
            <w:gridSpan w:val="3"/>
            <w:shd w:val="clear" w:color="auto" w:fill="CCEEFF"/>
          </w:tcPr>
          <w:p>
            <w:pPr>
              <w:jc w:val="center"/>
              <w:ind w:left="19"/>
              <w:spacing w:after="0"/>
              <w:rPr>
                <w:sz w:val="20"/>
                <w:szCs w:val="20"/>
                <w:color w:val="auto"/>
              </w:rPr>
            </w:pPr>
            <w:r>
              <w:rPr>
                <w:rFonts w:ascii="Arial" w:cs="Arial" w:eastAsia="Arial" w:hAnsi="Arial"/>
                <w:sz w:val="18"/>
                <w:szCs w:val="18"/>
                <w:color w:val="auto"/>
                <w:w w:val="88"/>
              </w:rPr>
              <w:t>$ 1,300,000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2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fees consist of fees associated with the annual audit and reviews of our quarterly financial results submitted on Form 6-K, consultations on various accounting issues and performance of local statutory audits.</w:t>
      </w: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Audit-related services principally include Statement on Standards for Attestation Engagements (SSAE) 16 report issuances and due diligence examinations.</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fees consist of fees associated with tax compliance, tax advice and tax planning services.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the following ordinary resolution be adopted at the General Meeting:</w:t>
      </w:r>
    </w:p>
    <w:p>
      <w:pPr>
        <w:spacing w:after="0" w:line="90"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RESOLVED</w:t>
      </w:r>
      <w:r>
        <w:rPr>
          <w:rFonts w:ascii="Arial" w:cs="Arial" w:eastAsia="Arial" w:hAnsi="Arial"/>
          <w:sz w:val="18"/>
          <w:szCs w:val="18"/>
          <w:color w:val="auto"/>
        </w:rPr>
        <w:t>, that (i) the appointment of Ernst &amp; Young LLP as Amdocs Limited’s independent registered public accounting firm for the fiscal year ending September 30, 2017 and until Amdocs Limited’s next annual general meeting be, and it hereby is, ratified and approved, and (ii) the Audit Committee of the Board of Directors be, and it hereby is, authorized to fix the remuneration of such independent registered public accounting firm in accordance with the nature and extent of its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affirmative vote of holders of a majority of the ordinary shares represented in person or by proxy at the General Meeting is necessary for the approval of the ordinary resolution to ratify and approve the appointment of Ernst &amp; Young LLP and the authorization of the Audit Committee of the Board of Directors to fix its remuneration.</w:t>
      </w:r>
    </w:p>
    <w:p>
      <w:pPr>
        <w:spacing w:after="0" w:line="13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THE AUDIT COMMITTEE OF THE BOARD OF DIRECTORS AND THE BOARD OF DIRECTORS RECOMMEND THAT THE SHAREHOLDERS VOTE “FOR” THE RATIFICATION AND APPROVAL OF THE APPOINTMENT OF ERNST &amp; YOUNG LLP AS THE COMPANY’S INDEPENDENT REGISTERED PUBLIC ACCOUNTING FIRM AND THE AUTHORIZATION OF THE AUDIT COMMITTEE TO FIX THE REMUNERATION OF ERNST &amp; YOUNG LLP.</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Our management knows of no other business to be transacted at the General Meeting; but, if any other matters are properly presented to the General Meeting, the persons named in the enclosed form of proxy will vote upon such matters in accordance with their reasonable discretion.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Once filed with the SEC, we will promptly provide without charge, at the written request of any shareholder, a copy of our Annual Report on Form 20-F, including our audited financial statements, financial statement schedules and exhibits, as filed with the SEC. Our Annual Report on Form 20-F will also be accessible to the general public via the Internet at the SEC’s website located at http://www.sec.gov as well as on our website at www.amdocs.com. Requests for copies of our Annual Report on Form 20-F should be provided to our principal U.S. subsidiary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(314) 212-8358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dox_info@amdocs.com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Mr. Matthew E. Smith</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Secretary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D.F. King &amp; Co., Inc. to assist in the solicitation of proxies. We will also reimburse brokerage houses and other custodians, nominees and fiduciaries for their expenses in accordance with Nasdaq rules concerning the sending of proxies and proxy materials to the beneficial owners of our ordinary shares.</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E. Smith</w:t>
      </w:r>
    </w:p>
    <w:p>
      <w:pPr>
        <w:spacing w:after="0" w:line="15"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CATEGORICAL STANDARDS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applying the requirements under the NASDAQ rules, the Board has adopted guidelines to assist it in determining whether a director has a relationship that would interfere with the exercise of independent judgment in carrying out the responsibilities of a director. Under these guidelines, a director will be considered to have such a relationship if during the last three years prior to the independence determination date:</w:t>
      </w:r>
    </w:p>
    <w:p>
      <w:pPr>
        <w:spacing w:after="0" w:line="26" w:lineRule="exact"/>
        <w:rPr>
          <w:sz w:val="20"/>
          <w:szCs w:val="20"/>
          <w:color w:val="auto"/>
        </w:rPr>
      </w:pPr>
    </w:p>
    <w:p>
      <w:pPr>
        <w:ind w:left="9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Charitable Contributions</w:t>
      </w:r>
      <w:r>
        <w:rPr>
          <w:rFonts w:ascii="Arial" w:cs="Arial" w:eastAsia="Arial" w:hAnsi="Arial"/>
          <w:sz w:val="18"/>
          <w:szCs w:val="18"/>
          <w:color w:val="auto"/>
        </w:rPr>
        <w:t>. The director, or an immediate family member of the director, has served as an executive officer of a charitable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receives payments from the Company in an amount which, in any single fiscal year since the determination date, exceeds the greater of $200,000, or 5% of such charitable organization’s revenues;</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The director or an immediate family member of the director has served, as an executive officer of another company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to the Company, or to which the Company was indebted, at the time the director was serving as an executive officer, where the total amount of either company’s indebtedness to the other in any single fiscal year since the determination date exceeds five percent (5%) of such company’s revenues;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For purposes of the above standards: (i) “COMPANY” includes Amdocs Limited and any parent or subsidiary that would be required under U.S. generally accepted accounting principles to prepare financial statements on a consolidated basis; and (ii) “IMMEDIATE FAMILY MEMBER” includes a person’s spouse, parents, children, and siblings, whether by blood, marriage, or adoption, or anyone residing in such person’s home.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1998 STOCK OPTION AND INCENTIVE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PROPOSED TO BE AMENDED ON JANUARY 27, 2017</w:t>
      </w:r>
    </w:p>
    <w:p>
      <w:pPr>
        <w:spacing w:after="0" w:line="21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Purpose; Type of Awards; Construction</w:t>
      </w:r>
    </w:p>
    <w:p>
      <w:pPr>
        <w:spacing w:after="0" w:line="90" w:lineRule="exact"/>
        <w:rPr>
          <w:rFonts w:ascii="Arial" w:cs="Arial" w:eastAsia="Arial" w:hAnsi="Arial"/>
          <w:sz w:val="18"/>
          <w:szCs w:val="18"/>
          <w:color w:val="auto"/>
        </w:rPr>
      </w:pP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used in this Plan, the following words and phrases shall have the meanings indicated: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“Ordinary Shares” shall mean shares of ordinary shares, par value £0.01 per share, of the Company.</w:t>
      </w:r>
    </w:p>
    <w:p>
      <w:pPr>
        <w:spacing w:after="0" w:line="90" w:lineRule="exact"/>
        <w:rPr>
          <w:rFonts w:ascii="Arial" w:cs="Arial" w:eastAsia="Arial" w:hAnsi="Arial"/>
          <w:sz w:val="18"/>
          <w:szCs w:val="18"/>
          <w:color w:val="auto"/>
        </w:rPr>
      </w:pPr>
    </w:p>
    <w:p>
      <w:pPr>
        <w:jc w:val="both"/>
        <w:ind w:left="900" w:right="5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59" w:lineRule="exact"/>
        <w:rPr>
          <w:rFonts w:ascii="Arial" w:cs="Arial" w:eastAsia="Arial" w:hAnsi="Arial"/>
          <w:sz w:val="18"/>
          <w:szCs w:val="18"/>
          <w:color w:val="auto"/>
        </w:rPr>
      </w:pPr>
    </w:p>
    <w:p>
      <w:pPr>
        <w:ind w:left="900" w:right="20" w:hanging="446"/>
        <w:spacing w:after="0" w:line="302" w:lineRule="auto"/>
        <w:tabs>
          <w:tab w:leader="none" w:pos="9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w:t>
      </w:r>
    </w:p>
    <w:p>
      <w:pPr>
        <w:spacing w:after="0" w:line="2" w:lineRule="exact"/>
        <w:rPr>
          <w:rFonts w:ascii="Arial" w:cs="Arial" w:eastAsia="Arial" w:hAnsi="Arial"/>
          <w:sz w:val="15"/>
          <w:szCs w:val="15"/>
          <w:color w:val="auto"/>
        </w:rPr>
      </w:pPr>
    </w:p>
    <w:p>
      <w:pPr>
        <w:ind w:left="900" w:right="220" w:hanging="1"/>
        <w:spacing w:after="0" w:line="352" w:lineRule="auto"/>
        <w:tabs>
          <w:tab w:leader="none" w:pos="1207" w:val="left"/>
        </w:tabs>
        <w:numPr>
          <w:ilvl w:val="2"/>
          <w:numId w:val="15"/>
        </w:numPr>
        <w:rPr>
          <w:rFonts w:ascii="Arial" w:cs="Arial" w:eastAsia="Arial" w:hAnsi="Arial"/>
          <w:sz w:val="15"/>
          <w:szCs w:val="15"/>
          <w:color w:val="auto"/>
        </w:rPr>
      </w:pPr>
      <w:r>
        <w:rPr>
          <w:rFonts w:ascii="Arial" w:cs="Arial" w:eastAsia="Arial" w:hAnsi="Arial"/>
          <w:sz w:val="15"/>
          <w:szCs w:val="15"/>
          <w:color w:val="auto"/>
        </w:rPr>
        <w:t>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59"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“Subsidiary” shall mean any company (other than the Company) in an unbroken chain of companies beginning with the Company if, at the time of granting an award, each of the companies other than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28" w:name="page29"/>
    <w:bookmarkEnd w:id="28"/>
    <w:p>
      <w:pPr>
        <w:ind w:left="912"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last company in the unbroken chain owns stock possessing fifty percent (50%) or more of the total combined voting power of all classes of stock in one of the other companies in such chain.</w:t>
      </w:r>
    </w:p>
    <w:p>
      <w:pPr>
        <w:spacing w:after="0" w:line="51" w:lineRule="exact"/>
        <w:rPr>
          <w:sz w:val="20"/>
          <w:szCs w:val="20"/>
          <w:color w:val="auto"/>
        </w:rPr>
      </w:pPr>
    </w:p>
    <w:p>
      <w:pPr>
        <w:ind w:left="892" w:right="160" w:hanging="446"/>
        <w:spacing w:after="0" w:line="370" w:lineRule="auto"/>
        <w:tabs>
          <w:tab w:leader="none" w:pos="892" w:val="left"/>
        </w:tabs>
        <w:numPr>
          <w:ilvl w:val="1"/>
          <w:numId w:val="16"/>
        </w:numPr>
        <w:rPr>
          <w:rFonts w:ascii="Arial" w:cs="Arial" w:eastAsia="Arial" w:hAnsi="Arial"/>
          <w:sz w:val="15"/>
          <w:szCs w:val="15"/>
          <w:color w:val="auto"/>
        </w:rPr>
      </w:pPr>
      <w:r>
        <w:rPr>
          <w:rFonts w:ascii="Arial" w:cs="Arial" w:eastAsia="Arial" w:hAnsi="Arial"/>
          <w:sz w:val="15"/>
          <w:szCs w:val="15"/>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183" w:lineRule="exact"/>
        <w:rPr>
          <w:rFonts w:ascii="Arial" w:cs="Arial" w:eastAsia="Arial" w:hAnsi="Arial"/>
          <w:sz w:val="15"/>
          <w:szCs w:val="15"/>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shall be administered by a committee (the “Committee”) established by the Board of Directors of the Company (the “Board”).</w:t>
      </w:r>
    </w:p>
    <w:p>
      <w:pPr>
        <w:spacing w:after="0" w:line="90" w:lineRule="exact"/>
        <w:rPr>
          <w:rFonts w:ascii="Arial" w:cs="Arial" w:eastAsia="Arial" w:hAnsi="Arial"/>
          <w:sz w:val="18"/>
          <w:szCs w:val="18"/>
          <w:color w:val="auto"/>
        </w:rPr>
      </w:pPr>
    </w:p>
    <w:p>
      <w:pPr>
        <w:ind w:left="452" w:right="60"/>
        <w:spacing w:after="0" w:line="287" w:lineRule="auto"/>
        <w:rPr>
          <w:rFonts w:ascii="Arial" w:cs="Arial" w:eastAsia="Arial" w:hAnsi="Arial"/>
          <w:sz w:val="18"/>
          <w:szCs w:val="18"/>
          <w:color w:val="auto"/>
        </w:rPr>
      </w:pPr>
      <w:r>
        <w:rPr>
          <w:rFonts w:ascii="Arial" w:cs="Arial" w:eastAsia="Arial" w:hAnsi="Arial"/>
          <w:sz w:val="16"/>
          <w:szCs w:val="16"/>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41" w:lineRule="exact"/>
        <w:rPr>
          <w:rFonts w:ascii="Arial" w:cs="Arial" w:eastAsia="Arial" w:hAnsi="Arial"/>
          <w:sz w:val="18"/>
          <w:szCs w:val="18"/>
          <w:color w:val="auto"/>
        </w:rPr>
      </w:pPr>
    </w:p>
    <w:p>
      <w:pPr>
        <w:ind w:left="452" w:right="40"/>
        <w:spacing w:after="0" w:line="256" w:lineRule="auto"/>
        <w:rPr>
          <w:rFonts w:ascii="Arial" w:cs="Arial" w:eastAsia="Arial" w:hAnsi="Arial"/>
          <w:sz w:val="18"/>
          <w:szCs w:val="18"/>
          <w:color w:val="auto"/>
        </w:rPr>
      </w:pPr>
      <w:r>
        <w:rPr>
          <w:rFonts w:ascii="Arial" w:cs="Arial" w:eastAsia="Arial" w:hAnsi="Arial"/>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62" w:lineRule="exact"/>
        <w:rPr>
          <w:rFonts w:ascii="Arial" w:cs="Arial" w:eastAsia="Arial" w:hAnsi="Arial"/>
          <w:sz w:val="18"/>
          <w:szCs w:val="18"/>
          <w:color w:val="auto"/>
        </w:rPr>
      </w:pPr>
    </w:p>
    <w:p>
      <w:pPr>
        <w:ind w:left="452" w:right="60"/>
        <w:spacing w:after="0" w:line="268" w:lineRule="auto"/>
        <w:rPr>
          <w:rFonts w:ascii="Arial" w:cs="Arial" w:eastAsia="Arial" w:hAnsi="Arial"/>
          <w:sz w:val="18"/>
          <w:szCs w:val="18"/>
          <w:color w:val="auto"/>
        </w:rPr>
      </w:pPr>
      <w:r>
        <w:rPr>
          <w:rFonts w:ascii="Arial" w:cs="Arial" w:eastAsia="Arial" w:hAnsi="Arial"/>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50" w:lineRule="exact"/>
        <w:rPr>
          <w:rFonts w:ascii="Arial" w:cs="Arial" w:eastAsia="Arial" w:hAnsi="Arial"/>
          <w:sz w:val="18"/>
          <w:szCs w:val="18"/>
          <w:color w:val="auto"/>
        </w:rPr>
      </w:pPr>
    </w:p>
    <w:p>
      <w:pPr>
        <w:ind w:left="452" w:right="500"/>
        <w:spacing w:after="0" w:line="268" w:lineRule="auto"/>
        <w:rPr>
          <w:rFonts w:ascii="Arial" w:cs="Arial" w:eastAsia="Arial" w:hAnsi="Arial"/>
          <w:sz w:val="18"/>
          <w:szCs w:val="18"/>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253"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90"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64" w:lineRule="exact"/>
        <w:rPr>
          <w:rFonts w:ascii="Arial" w:cs="Arial" w:eastAsia="Arial" w:hAnsi="Arial"/>
          <w:sz w:val="18"/>
          <w:szCs w:val="18"/>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Ordinary Shares</w:t>
      </w:r>
    </w:p>
    <w:p>
      <w:pPr>
        <w:spacing w:after="0" w:line="90" w:lineRule="exact"/>
        <w:rPr>
          <w:rFonts w:ascii="Arial" w:cs="Arial" w:eastAsia="Arial" w:hAnsi="Arial"/>
          <w:sz w:val="18"/>
          <w:szCs w:val="18"/>
          <w:color w:val="auto"/>
        </w:rPr>
      </w:pPr>
    </w:p>
    <w:p>
      <w:pPr>
        <w:ind w:left="452" w:right="580"/>
        <w:spacing w:after="0" w:line="332" w:lineRule="auto"/>
        <w:rPr>
          <w:rFonts w:ascii="Arial" w:cs="Arial" w:eastAsia="Arial" w:hAnsi="Arial"/>
          <w:sz w:val="18"/>
          <w:szCs w:val="18"/>
          <w:color w:val="auto"/>
        </w:rPr>
      </w:pPr>
      <w:r>
        <w:rPr>
          <w:rFonts w:ascii="Arial" w:cs="Arial" w:eastAsia="Arial" w:hAnsi="Arial"/>
          <w:sz w:val="16"/>
          <w:szCs w:val="16"/>
          <w:color w:val="auto"/>
        </w:rPr>
        <w:t>The maximum number of Ordinary Shares reserved for grant of awards under the Plan shall be 67,550,000. Such shares may, in whole or in part, be authorized but unissued shares. The foregoing numbers of shares may be increased or decreased by the events set forth in Section 10 hereof.</w:t>
      </w:r>
    </w:p>
    <w:p>
      <w:pPr>
        <w:spacing w:after="0" w:line="4" w:lineRule="exact"/>
        <w:rPr>
          <w:rFonts w:ascii="Arial" w:cs="Arial" w:eastAsia="Arial" w:hAnsi="Arial"/>
          <w:sz w:val="18"/>
          <w:szCs w:val="18"/>
          <w:color w:val="auto"/>
        </w:rPr>
      </w:pPr>
    </w:p>
    <w:p>
      <w:pPr>
        <w:ind w:left="452" w:right="320"/>
        <w:spacing w:after="0" w:line="259" w:lineRule="auto"/>
        <w:rPr>
          <w:rFonts w:ascii="Arial" w:cs="Arial" w:eastAsia="Arial" w:hAnsi="Arial"/>
          <w:sz w:val="18"/>
          <w:szCs w:val="18"/>
          <w:color w:val="auto"/>
        </w:rPr>
      </w:pPr>
      <w:r>
        <w:rPr>
          <w:rFonts w:ascii="Arial" w:cs="Arial" w:eastAsia="Arial" w:hAnsi="Arial"/>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12"/>
          </w:cols>
          <w:pgMar w:left="248" w:top="280" w:right="239" w:bottom="1440" w:gutter="0" w:footer="0" w:header="0"/>
        </w:sectPr>
      </w:pPr>
    </w:p>
    <w:bookmarkStart w:id="29" w:name="page30"/>
    <w:bookmarkEnd w:id="29"/>
    <w:p>
      <w:pPr>
        <w:ind w:left="452"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grants of awards under the Plan; provided that an award under the plan may not again be made available for issuance under the plan if such Ordinary Shares are: (i) Ordinary Shares that were subject to stock-settled stock appreciation rights and were not issued upon the net settlement or net exercise of such stock appreciation rights, (ii) Ordinary Shares used to pay the Option Price, (iii) Ordinary Shares delivered to or withheld by the Company to pay the withholding taxes related to an award, or (iv) Ordinary Shares repurchased on the open market with proceeds of an Option exercise.</w:t>
      </w:r>
    </w:p>
    <w:p>
      <w:pPr>
        <w:spacing w:after="0" w:line="234"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90" w:lineRule="exact"/>
        <w:rPr>
          <w:rFonts w:ascii="Arial" w:cs="Arial" w:eastAsia="Arial" w:hAnsi="Arial"/>
          <w:sz w:val="18"/>
          <w:szCs w:val="18"/>
          <w:color w:val="auto"/>
        </w:rPr>
      </w:pPr>
    </w:p>
    <w:p>
      <w:pPr>
        <w:ind w:left="452" w:right="160"/>
        <w:spacing w:after="0" w:line="259" w:lineRule="auto"/>
        <w:rPr>
          <w:rFonts w:ascii="Arial" w:cs="Arial" w:eastAsia="Arial" w:hAnsi="Arial"/>
          <w:sz w:val="18"/>
          <w:szCs w:val="18"/>
          <w:color w:val="auto"/>
        </w:rPr>
      </w:pPr>
      <w:r>
        <w:rPr>
          <w:rFonts w:ascii="Arial" w:cs="Arial" w:eastAsia="Arial" w:hAnsi="Arial"/>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NUMBER OF SHARES. Each Option Agreement shall state the number of shares of Ordinary Shares to which the Option relates.</w:t>
      </w:r>
    </w:p>
    <w:p>
      <w:pPr>
        <w:spacing w:after="0" w:line="90" w:lineRule="exact"/>
        <w:rPr>
          <w:rFonts w:ascii="Arial" w:cs="Arial" w:eastAsia="Arial" w:hAnsi="Arial"/>
          <w:sz w:val="18"/>
          <w:szCs w:val="18"/>
          <w:color w:val="auto"/>
        </w:rPr>
      </w:pPr>
    </w:p>
    <w:p>
      <w:pPr>
        <w:ind w:left="892" w:right="220" w:hanging="446"/>
        <w:spacing w:after="0" w:line="268"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OPTION. Each Option Agreement shall specifically state that the Option constitutes an Incentive Stock Option or a Nonqualified Stock Option.</w:t>
      </w:r>
    </w:p>
    <w:p>
      <w:pPr>
        <w:spacing w:after="0" w:line="50" w:lineRule="exact"/>
        <w:rPr>
          <w:rFonts w:ascii="Arial" w:cs="Arial" w:eastAsia="Arial" w:hAnsi="Arial"/>
          <w:sz w:val="18"/>
          <w:szCs w:val="18"/>
          <w:color w:val="auto"/>
        </w:rPr>
      </w:pPr>
    </w:p>
    <w:p>
      <w:pPr>
        <w:ind w:left="892" w:right="180" w:hanging="446"/>
        <w:spacing w:after="0" w:line="256"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62" w:lineRule="exact"/>
        <w:rPr>
          <w:rFonts w:ascii="Arial" w:cs="Arial" w:eastAsia="Arial" w:hAnsi="Arial"/>
          <w:sz w:val="18"/>
          <w:szCs w:val="18"/>
          <w:color w:val="auto"/>
        </w:rPr>
      </w:pPr>
    </w:p>
    <w:p>
      <w:pPr>
        <w:ind w:left="892" w:right="180" w:hanging="446"/>
        <w:spacing w:after="0" w:line="290" w:lineRule="auto"/>
        <w:tabs>
          <w:tab w:leader="none" w:pos="892" w:val="left"/>
        </w:tabs>
        <w:numPr>
          <w:ilvl w:val="1"/>
          <w:numId w:val="18"/>
        </w:numPr>
        <w:rPr>
          <w:rFonts w:ascii="Arial" w:cs="Arial" w:eastAsia="Arial" w:hAnsi="Arial"/>
          <w:sz w:val="16"/>
          <w:szCs w:val="16"/>
          <w:color w:val="auto"/>
        </w:rPr>
      </w:pPr>
      <w:r>
        <w:rPr>
          <w:rFonts w:ascii="Arial" w:cs="Arial" w:eastAsia="Arial" w:hAnsi="Arial"/>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37" w:lineRule="exact"/>
        <w:rPr>
          <w:rFonts w:ascii="Arial" w:cs="Arial" w:eastAsia="Arial" w:hAnsi="Arial"/>
          <w:sz w:val="16"/>
          <w:szCs w:val="16"/>
          <w:color w:val="auto"/>
        </w:rPr>
      </w:pPr>
    </w:p>
    <w:p>
      <w:pPr>
        <w:ind w:left="892" w:right="140" w:hanging="446"/>
        <w:spacing w:after="0" w:line="255" w:lineRule="auto"/>
        <w:tabs>
          <w:tab w:leader="none" w:pos="8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62" w:lineRule="exact"/>
        <w:rPr>
          <w:sz w:val="20"/>
          <w:szCs w:val="20"/>
          <w:color w:val="auto"/>
        </w:rPr>
      </w:pPr>
    </w:p>
    <w:p>
      <w:pPr>
        <w:ind w:left="912"/>
        <w:spacing w:after="0" w:line="318" w:lineRule="auto"/>
        <w:rPr>
          <w:sz w:val="20"/>
          <w:szCs w:val="20"/>
          <w:color w:val="auto"/>
        </w:rPr>
      </w:pPr>
      <w:r>
        <w:rPr>
          <w:rFonts w:ascii="Arial" w:cs="Arial" w:eastAsia="Arial" w:hAnsi="Arial"/>
          <w:sz w:val="15"/>
          <w:szCs w:val="15"/>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19" w:lineRule="exact"/>
        <w:rPr>
          <w:sz w:val="20"/>
          <w:szCs w:val="20"/>
          <w:color w:val="auto"/>
        </w:rPr>
      </w:pPr>
    </w:p>
    <w:p>
      <w:pPr>
        <w:ind w:left="892" w:right="40" w:hanging="446"/>
        <w:spacing w:after="0" w:line="306" w:lineRule="auto"/>
        <w:tabs>
          <w:tab w:leader="none" w:pos="89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w:t>
      </w:r>
    </w:p>
    <w:p>
      <w:pPr>
        <w:spacing w:after="0" w:line="9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92"/>
          </w:cols>
          <w:pgMar w:left="248" w:top="280" w:right="259" w:bottom="1440" w:gutter="0" w:footer="0" w:header="0"/>
        </w:sectPr>
      </w:pPr>
    </w:p>
    <w:bookmarkStart w:id="30" w:name="page31"/>
    <w:bookmarkEnd w:id="30"/>
    <w:p>
      <w:pPr>
        <w:ind w:left="466"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39" w:lineRule="exact"/>
        <w:rPr>
          <w:sz w:val="20"/>
          <w:szCs w:val="20"/>
          <w:color w:val="auto"/>
        </w:rPr>
      </w:pPr>
    </w:p>
    <w:p>
      <w:pPr>
        <w:ind w:left="446" w:hanging="446"/>
        <w:spacing w:after="0" w:line="288"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38"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20"/>
        </w:numPr>
        <w:rPr>
          <w:rFonts w:ascii="Arial" w:cs="Arial" w:eastAsia="Arial" w:hAnsi="Arial"/>
          <w:sz w:val="15"/>
          <w:szCs w:val="15"/>
          <w:color w:val="auto"/>
        </w:rPr>
      </w:pPr>
      <w:r>
        <w:rPr>
          <w:rFonts w:ascii="Arial" w:cs="Arial" w:eastAsia="Arial" w:hAnsi="Arial"/>
          <w:sz w:val="15"/>
          <w:szCs w:val="15"/>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31" w:lineRule="exact"/>
        <w:rPr>
          <w:rFonts w:ascii="Arial" w:cs="Arial" w:eastAsia="Arial" w:hAnsi="Arial"/>
          <w:sz w:val="15"/>
          <w:szCs w:val="15"/>
          <w:color w:val="auto"/>
        </w:rPr>
      </w:pPr>
    </w:p>
    <w:p>
      <w:pPr>
        <w:ind w:left="446" w:right="180" w:hanging="446"/>
        <w:spacing w:after="0" w:line="268"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PROVISIONS. The Option Agreements evidencing Options under the Plan shall contain such other terms and conditions, not inconsistent with the Plan, as the Committee may determine.</w:t>
      </w:r>
    </w:p>
    <w:p>
      <w:pPr>
        <w:spacing w:after="0" w:line="50" w:lineRule="exact"/>
        <w:rPr>
          <w:rFonts w:ascii="Arial" w:cs="Arial" w:eastAsia="Arial" w:hAnsi="Arial"/>
          <w:sz w:val="18"/>
          <w:szCs w:val="18"/>
          <w:color w:val="auto"/>
        </w:rPr>
      </w:pPr>
    </w:p>
    <w:p>
      <w:pPr>
        <w:ind w:left="446" w:right="20" w:hanging="446"/>
        <w:spacing w:after="0" w:line="259"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OF OPTIONS. A Grantee who decides to exercise an Option in whole or in part shall give notice to the Company or its designated agent of such exercise in writing on a form approved by the Committee. Such notice shall specify the manner in which the Grantee will make payment of the Option Price.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46"/>
          </w:cols>
          <w:pgMar w:left="694" w:top="280" w:right="259" w:bottom="1440" w:gutter="0" w:footer="0" w:header="0"/>
        </w:sectPr>
      </w:pPr>
    </w:p>
    <w:bookmarkStart w:id="31" w:name="page32"/>
    <w:bookmarkEnd w:id="31"/>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Stock Options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Options intended to constitute Nonqualified Stock Options shall be subject only to the general terms and conditions specified in Section 6 hereof.</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8"/>
          <w:szCs w:val="18"/>
          <w:u w:val="single" w:color="auto"/>
          <w:color w:val="auto"/>
        </w:rPr>
        <w:t>102 Securities</w:t>
      </w:r>
    </w:p>
    <w:p>
      <w:pPr>
        <w:spacing w:after="0" w:line="90" w:lineRule="exact"/>
        <w:rPr>
          <w:sz w:val="20"/>
          <w:szCs w:val="20"/>
          <w:color w:val="auto"/>
        </w:rPr>
      </w:pPr>
    </w:p>
    <w:p>
      <w:pPr>
        <w:jc w:val="both"/>
        <w:ind w:left="460" w:right="40"/>
        <w:spacing w:after="0" w:line="298" w:lineRule="auto"/>
        <w:rPr>
          <w:sz w:val="20"/>
          <w:szCs w:val="20"/>
          <w:color w:val="auto"/>
        </w:rPr>
      </w:pPr>
      <w:r>
        <w:rPr>
          <w:rFonts w:ascii="Arial" w:cs="Arial" w:eastAsia="Arial" w:hAnsi="Arial"/>
          <w:sz w:val="16"/>
          <w:szCs w:val="16"/>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23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Incentive Stock Options</w:t>
      </w:r>
    </w:p>
    <w:p>
      <w:pPr>
        <w:spacing w:after="0" w:line="90"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50" w:lineRule="exact"/>
        <w:rPr>
          <w:rFonts w:ascii="Arial" w:cs="Arial" w:eastAsia="Arial" w:hAnsi="Arial"/>
          <w:sz w:val="18"/>
          <w:szCs w:val="18"/>
          <w:color w:val="auto"/>
        </w:rPr>
      </w:pPr>
    </w:p>
    <w:p>
      <w:pPr>
        <w:ind w:left="900" w:hanging="446"/>
        <w:spacing w:after="0" w:line="289"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37" w:lineRule="exact"/>
        <w:rPr>
          <w:rFonts w:ascii="Arial" w:cs="Arial" w:eastAsia="Arial" w:hAnsi="Arial"/>
          <w:sz w:val="16"/>
          <w:szCs w:val="16"/>
          <w:color w:val="auto"/>
        </w:rPr>
      </w:pPr>
    </w:p>
    <w:p>
      <w:pPr>
        <w:jc w:val="both"/>
        <w:ind w:left="900" w:right="100" w:hanging="446"/>
        <w:spacing w:after="0" w:line="306"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90"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31" w:lineRule="exact"/>
        <w:rPr>
          <w:rFonts w:ascii="Arial" w:cs="Arial" w:eastAsia="Arial" w:hAnsi="Arial"/>
          <w:sz w:val="18"/>
          <w:szCs w:val="18"/>
          <w:color w:val="auto"/>
        </w:rPr>
      </w:pPr>
    </w:p>
    <w:p>
      <w:pPr>
        <w:ind w:left="1020" w:hanging="566"/>
        <w:spacing w:after="0"/>
        <w:tabs>
          <w:tab w:leader="none" w:pos="10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Committee shall determine the number of shares of Ordinary Shares to be issued to the Grantee pursuant to the award.</w:t>
      </w:r>
    </w:p>
    <w:p>
      <w:pPr>
        <w:spacing w:after="0" w:line="90" w:lineRule="exact"/>
        <w:rPr>
          <w:sz w:val="20"/>
          <w:szCs w:val="20"/>
          <w:color w:val="auto"/>
        </w:rPr>
      </w:pPr>
    </w:p>
    <w:p>
      <w:pPr>
        <w:ind w:left="1020" w:right="180" w:hanging="559"/>
        <w:spacing w:after="0" w:line="255" w:lineRule="auto"/>
        <w:tabs>
          <w:tab w:leader="none" w:pos="1000" w:val="left"/>
        </w:tabs>
        <w:rPr>
          <w:sz w:val="20"/>
          <w:szCs w:val="20"/>
          <w:color w:val="auto"/>
        </w:rPr>
      </w:pPr>
      <w:r>
        <w:rPr>
          <w:rFonts w:ascii="Arial" w:cs="Arial" w:eastAsia="Arial" w:hAnsi="Arial"/>
          <w:sz w:val="18"/>
          <w:szCs w:val="18"/>
          <w:color w:val="auto"/>
        </w:rPr>
        <w:t>(b)(i)</w:t>
        <w:tab/>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 attempt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80" w:right="259" w:bottom="1440" w:gutter="0" w:footer="0" w:header="0"/>
        </w:sectPr>
      </w:pPr>
    </w:p>
    <w:bookmarkStart w:id="32" w:name="page33"/>
    <w:bookmarkEnd w:id="32"/>
    <w:p>
      <w:pPr>
        <w:ind w:left="10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fourth anniversary of the date of grant</w:t>
      </w:r>
      <w:r>
        <w:rPr>
          <w:rFonts w:ascii="Arial" w:cs="Arial" w:eastAsia="Arial" w:hAnsi="Arial"/>
          <w:sz w:val="16"/>
          <w:szCs w:val="16"/>
          <w:b w:val="1"/>
          <w:bCs w:val="1"/>
          <w:color w:val="auto"/>
        </w:rPr>
        <w:t>;</w:t>
      </w:r>
      <w:r>
        <w:rPr>
          <w:rFonts w:ascii="Arial" w:cs="Arial" w:eastAsia="Arial" w:hAnsi="Arial"/>
          <w:sz w:val="16"/>
          <w:szCs w:val="16"/>
          <w:color w:val="auto"/>
        </w:rPr>
        <w:t xml:space="preserve">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42" w:lineRule="exact"/>
        <w:rPr>
          <w:sz w:val="20"/>
          <w:szCs w:val="20"/>
          <w:color w:val="auto"/>
        </w:rPr>
      </w:pPr>
    </w:p>
    <w:p>
      <w:pPr>
        <w:ind w:left="1020" w:right="20" w:hanging="566"/>
        <w:spacing w:after="0" w:line="291"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39" w:lineRule="exact"/>
        <w:rPr>
          <w:sz w:val="20"/>
          <w:szCs w:val="20"/>
          <w:color w:val="auto"/>
        </w:rPr>
      </w:pPr>
    </w:p>
    <w:p>
      <w:pPr>
        <w:ind w:left="1020" w:right="80" w:hanging="566"/>
        <w:spacing w:after="0" w:line="256"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62" w:lineRule="exact"/>
        <w:rPr>
          <w:rFonts w:ascii="Arial" w:cs="Arial" w:eastAsia="Arial" w:hAnsi="Arial"/>
          <w:sz w:val="18"/>
          <w:szCs w:val="18"/>
          <w:color w:val="auto"/>
        </w:rPr>
      </w:pPr>
    </w:p>
    <w:p>
      <w:pPr>
        <w:ind w:left="1020" w:right="580" w:hanging="566"/>
        <w:spacing w:after="0" w:line="26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50" w:lineRule="exact"/>
        <w:rPr>
          <w:rFonts w:ascii="Arial" w:cs="Arial" w:eastAsia="Arial" w:hAnsi="Arial"/>
          <w:sz w:val="18"/>
          <w:szCs w:val="18"/>
          <w:color w:val="auto"/>
        </w:rPr>
      </w:pPr>
    </w:p>
    <w:p>
      <w:pPr>
        <w:ind w:left="1020" w:right="240" w:hanging="566"/>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u w:val="single" w:color="auto"/>
          <w:color w:val="auto"/>
        </w:rPr>
        <w:t>Stock Appreciation Rights</w:t>
      </w:r>
    </w:p>
    <w:p>
      <w:pPr>
        <w:spacing w:after="0" w:line="90" w:lineRule="exact"/>
        <w:rPr>
          <w:sz w:val="20"/>
          <w:szCs w:val="20"/>
          <w:color w:val="auto"/>
        </w:rPr>
      </w:pPr>
    </w:p>
    <w:p>
      <w:pPr>
        <w:ind w:left="900" w:right="4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Committee may also grant stock appreciation rights (“SARs”)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w:t>
      </w:r>
    </w:p>
    <w:p>
      <w:pPr>
        <w:spacing w:after="0" w:line="59" w:lineRule="exact"/>
        <w:rPr>
          <w:rFonts w:ascii="Arial" w:cs="Arial" w:eastAsia="Arial" w:hAnsi="Arial"/>
          <w:sz w:val="18"/>
          <w:szCs w:val="18"/>
          <w:color w:val="auto"/>
        </w:rPr>
      </w:pPr>
    </w:p>
    <w:p>
      <w:pPr>
        <w:jc w:val="both"/>
        <w:ind w:left="900" w:right="22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establish the exercise price of each SAR and specify it in the applicable SAR agreement. The exercise price shall not be less than 100% of the Fair Market Value on the date the SAR is granted; provided that if the Committee approves the grant of an SAR effective as of a future date, the exercise price shall be not less than 100% of the Fair Market Value on such future date.</w:t>
      </w:r>
    </w:p>
    <w:p>
      <w:pPr>
        <w:spacing w:after="0" w:line="25" w:lineRule="exact"/>
        <w:rPr>
          <w:rFonts w:ascii="Arial" w:cs="Arial" w:eastAsia="Arial" w:hAnsi="Arial"/>
          <w:sz w:val="16"/>
          <w:szCs w:val="16"/>
          <w:color w:val="auto"/>
        </w:rPr>
      </w:pPr>
    </w:p>
    <w:p>
      <w:pPr>
        <w:ind w:left="900" w:right="7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SAR shall be exercisable at such times and subject to such terms and conditions as the Committee may specify in the applicable SAR agreement; provided, however, that no SAR will be granted with a term in excess of 10 years.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280" w:right="279" w:bottom="1440" w:gutter="0" w:footer="0" w:header="0"/>
        </w:sectPr>
      </w:pPr>
    </w:p>
    <w:bookmarkStart w:id="33" w:name="page34"/>
    <w:bookmarkEnd w:id="33"/>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9B.</w:t>
      </w:r>
      <w:r>
        <w:rPr>
          <w:sz w:val="20"/>
          <w:szCs w:val="20"/>
          <w:color w:val="auto"/>
        </w:rPr>
        <w:tab/>
      </w:r>
      <w:r>
        <w:rPr>
          <w:rFonts w:ascii="Arial" w:cs="Arial" w:eastAsia="Arial" w:hAnsi="Arial"/>
          <w:sz w:val="18"/>
          <w:szCs w:val="18"/>
          <w:u w:val="single" w:color="auto"/>
          <w:color w:val="auto"/>
        </w:rPr>
        <w:t>Other Stock-Based Awards</w:t>
      </w:r>
    </w:p>
    <w:p>
      <w:pPr>
        <w:spacing w:after="0" w:line="90"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Such other stock based awards may be granted alone, in addition to, or in tandem with any award of any typed granted under the plan and must be consistent with the purposes of the Plan. From and after January 27, 2017, the Committee may not award such stock-based awards that are “full-value” awards, including but not limited to Shares of Restricted Stock or awards denominated in stock units (but excluding options and SARs), in an aggregate amount that exceeds the sum of (a) the number of Ordinary Shares that were subject to such sublimit as of January 26, 2017 (which number was 4,260,783 Ordinary Shares as of November 30, 2016) plus (b) 5,250,000 Ordinary Shares.</w:t>
      </w:r>
    </w:p>
    <w:p>
      <w:pPr>
        <w:spacing w:after="0" w:line="24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9C.</w:t>
      </w:r>
      <w:r>
        <w:rPr>
          <w:sz w:val="20"/>
          <w:szCs w:val="20"/>
          <w:color w:val="auto"/>
        </w:rPr>
        <w:tab/>
      </w:r>
      <w:r>
        <w:rPr>
          <w:rFonts w:ascii="Arial" w:cs="Arial" w:eastAsia="Arial" w:hAnsi="Arial"/>
          <w:sz w:val="18"/>
          <w:szCs w:val="18"/>
          <w:u w:val="single" w:color="auto"/>
          <w:color w:val="auto"/>
        </w:rPr>
        <w:t>Limitations and Conditions</w:t>
      </w:r>
    </w:p>
    <w:p>
      <w:pPr>
        <w:spacing w:after="0" w:line="90" w:lineRule="exact"/>
        <w:rPr>
          <w:sz w:val="20"/>
          <w:szCs w:val="20"/>
          <w:color w:val="auto"/>
        </w:rPr>
      </w:pPr>
    </w:p>
    <w:p>
      <w:pPr>
        <w:ind w:left="900" w:hanging="446"/>
        <w:spacing w:after="0" w:line="290"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or the limitation on other stock-based awards under Section 9B hereof,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37" w:lineRule="exact"/>
        <w:rPr>
          <w:rFonts w:ascii="Arial" w:cs="Arial" w:eastAsia="Arial" w:hAnsi="Arial"/>
          <w:sz w:val="16"/>
          <w:szCs w:val="16"/>
          <w:color w:val="auto"/>
        </w:rPr>
      </w:pPr>
    </w:p>
    <w:p>
      <w:pPr>
        <w:ind w:left="900" w:right="40" w:hanging="446"/>
        <w:spacing w:after="0" w:line="314"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Subject to section 5 above, 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 For the avoidance of doubt, any shares that have been made subject to an award made prior to January 27, 2017 and of the type described in the last sentence of Section 9B that cease to be subject to such award (other than by reason of exercise or payment of the award to the extent it is settled in shares) shall again be available for awards of the type described in the last sentence of Section 9B, without regard to the sublimit set forth in the last sentence of Section 9B, and shall not be considered as having been theretofore made subject to award.</w:t>
      </w:r>
    </w:p>
    <w:p>
      <w:pPr>
        <w:spacing w:after="0" w:line="23" w:lineRule="exact"/>
        <w:rPr>
          <w:rFonts w:ascii="Arial" w:cs="Arial" w:eastAsia="Arial" w:hAnsi="Arial"/>
          <w:sz w:val="15"/>
          <w:szCs w:val="15"/>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Nothing contained herein shall affect the right of the Company to terminate any Grantee’s employment at any time or for any reason.</w:t>
      </w:r>
    </w:p>
    <w:p>
      <w:pPr>
        <w:spacing w:after="0" w:line="31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Effect of Certain Changes</w:t>
      </w:r>
    </w:p>
    <w:p>
      <w:pPr>
        <w:spacing w:after="0" w:line="90" w:lineRule="exact"/>
        <w:rPr>
          <w:rFonts w:ascii="Arial" w:cs="Arial" w:eastAsia="Arial" w:hAnsi="Arial"/>
          <w:sz w:val="18"/>
          <w:szCs w:val="18"/>
          <w:color w:val="auto"/>
        </w:rPr>
      </w:pPr>
    </w:p>
    <w:p>
      <w:pPr>
        <w:ind w:left="900" w:right="40" w:hanging="446"/>
        <w:spacing w:after="0" w:line="291"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00"/>
          </w:cols>
          <w:pgMar w:left="240" w:top="280" w:right="259" w:bottom="1440" w:gutter="0" w:footer="0" w:header="0"/>
        </w:sectPr>
      </w:pPr>
    </w:p>
    <w:bookmarkStart w:id="34" w:name="page35"/>
    <w:bookmarkEnd w:id="34"/>
    <w:p>
      <w:pPr>
        <w:ind w:left="892" w:right="300" w:hanging="446"/>
        <w:spacing w:after="0" w:line="268" w:lineRule="auto"/>
        <w:tabs>
          <w:tab w:leader="none" w:pos="892"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50" w:lineRule="exact"/>
        <w:rPr>
          <w:rFonts w:ascii="Arial" w:cs="Arial" w:eastAsia="Arial" w:hAnsi="Arial"/>
          <w:sz w:val="18"/>
          <w:szCs w:val="18"/>
          <w:color w:val="auto"/>
        </w:rPr>
      </w:pPr>
    </w:p>
    <w:p>
      <w:pPr>
        <w:ind w:left="1472" w:right="40" w:hanging="567"/>
        <w:spacing w:after="0" w:line="255" w:lineRule="auto"/>
        <w:tabs>
          <w:tab w:leader="none" w:pos="14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61" w:lineRule="exact"/>
        <w:rPr>
          <w:rFonts w:ascii="Arial" w:cs="Arial" w:eastAsia="Arial" w:hAnsi="Arial"/>
          <w:sz w:val="18"/>
          <w:szCs w:val="18"/>
          <w:color w:val="auto"/>
        </w:rPr>
      </w:pPr>
    </w:p>
    <w:p>
      <w:pPr>
        <w:ind w:left="1472" w:right="40" w:hanging="567"/>
        <w:spacing w:after="0" w:line="256" w:lineRule="auto"/>
        <w:tabs>
          <w:tab w:leader="none" w:pos="14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62" w:lineRule="exact"/>
        <w:rPr>
          <w:sz w:val="20"/>
          <w:szCs w:val="20"/>
          <w:color w:val="auto"/>
        </w:rPr>
      </w:pPr>
    </w:p>
    <w:p>
      <w:pPr>
        <w:ind w:left="912"/>
        <w:spacing w:after="0" w:line="294" w:lineRule="auto"/>
        <w:rPr>
          <w:sz w:val="20"/>
          <w:szCs w:val="20"/>
          <w:color w:val="auto"/>
        </w:rPr>
      </w:pPr>
      <w:r>
        <w:rPr>
          <w:rFonts w:ascii="Arial" w:cs="Arial" w:eastAsia="Arial" w:hAnsi="Arial"/>
          <w:sz w:val="16"/>
          <w:szCs w:val="16"/>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35" w:lineRule="exact"/>
        <w:rPr>
          <w:sz w:val="20"/>
          <w:szCs w:val="20"/>
          <w:color w:val="auto"/>
        </w:rPr>
      </w:pPr>
    </w:p>
    <w:p>
      <w:pPr>
        <w:jc w:val="both"/>
        <w:ind w:left="892" w:right="180" w:hanging="446"/>
        <w:spacing w:after="0" w:line="259" w:lineRule="auto"/>
        <w:tabs>
          <w:tab w:leader="none" w:pos="892"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59" w:lineRule="exact"/>
        <w:rPr>
          <w:rFonts w:ascii="Arial" w:cs="Arial" w:eastAsia="Arial" w:hAnsi="Arial"/>
          <w:sz w:val="18"/>
          <w:szCs w:val="18"/>
          <w:color w:val="auto"/>
        </w:rPr>
      </w:pPr>
    </w:p>
    <w:p>
      <w:pPr>
        <w:ind w:left="892" w:hanging="446"/>
        <w:spacing w:after="0" w:line="286" w:lineRule="auto"/>
        <w:tabs>
          <w:tab w:leader="none" w:pos="892"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shareholder approval.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45" w:lineRule="exact"/>
        <w:rPr>
          <w:rFonts w:ascii="Arial" w:cs="Arial" w:eastAsia="Arial" w:hAnsi="Arial"/>
          <w:sz w:val="16"/>
          <w:szCs w:val="16"/>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92" w:lineRule="exact"/>
        <w:rPr>
          <w:rFonts w:ascii="Arial" w:cs="Arial" w:eastAsia="Arial" w:hAnsi="Arial"/>
          <w:sz w:val="18"/>
          <w:szCs w:val="18"/>
          <w:color w:val="auto"/>
        </w:rPr>
      </w:pPr>
    </w:p>
    <w:p>
      <w:pPr>
        <w:ind w:left="452" w:hanging="452"/>
        <w:spacing w:after="0"/>
        <w:tabs>
          <w:tab w:leader="none" w:pos="45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the Plan</w:t>
      </w:r>
    </w:p>
    <w:p>
      <w:pPr>
        <w:spacing w:after="0" w:line="90" w:lineRule="exact"/>
        <w:rPr>
          <w:rFonts w:ascii="Arial" w:cs="Arial" w:eastAsia="Arial" w:hAnsi="Arial"/>
          <w:sz w:val="18"/>
          <w:szCs w:val="18"/>
          <w:color w:val="auto"/>
        </w:rPr>
      </w:pPr>
    </w:p>
    <w:p>
      <w:pPr>
        <w:ind w:left="452" w:right="160"/>
        <w:spacing w:after="0" w:line="268" w:lineRule="auto"/>
        <w:rPr>
          <w:rFonts w:ascii="Arial" w:cs="Arial" w:eastAsia="Arial" w:hAnsi="Arial"/>
          <w:sz w:val="18"/>
          <w:szCs w:val="18"/>
          <w:color w:val="auto"/>
        </w:rPr>
      </w:pPr>
      <w:r>
        <w:rPr>
          <w:rFonts w:ascii="Arial" w:cs="Arial" w:eastAsia="Arial" w:hAnsi="Arial"/>
          <w:sz w:val="18"/>
          <w:szCs w:val="18"/>
          <w:color w:val="auto"/>
        </w:rPr>
        <w:t>Awards may be granted pursuant to the Plan from time to time by no later than January 28, 2025, but awards previously granted may extend beyond such date.</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72"/>
          </w:cols>
          <w:pgMar w:left="248" w:top="280" w:right="279" w:bottom="1440" w:gutter="0" w:footer="0" w:header="0"/>
        </w:sectPr>
      </w:pPr>
    </w:p>
    <w:bookmarkStart w:id="35" w:name="page36"/>
    <w:bookmarkEnd w:id="35"/>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Nontransferability of Awards</w:t>
      </w:r>
    </w:p>
    <w:p>
      <w:pPr>
        <w:spacing w:after="0" w:line="90"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Approval of Shareholders</w:t>
      </w:r>
    </w:p>
    <w:p>
      <w:pPr>
        <w:spacing w:after="0" w:line="90"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Agreement by Grantee Regarding Withholding Taxes</w:t>
      </w:r>
    </w:p>
    <w:p>
      <w:pPr>
        <w:spacing w:after="0" w:line="90" w:lineRule="exact"/>
        <w:rPr>
          <w:rFonts w:ascii="Arial" w:cs="Arial" w:eastAsia="Arial" w:hAnsi="Arial"/>
          <w:sz w:val="18"/>
          <w:szCs w:val="18"/>
          <w:color w:val="auto"/>
        </w:rPr>
      </w:pPr>
    </w:p>
    <w:p>
      <w:pPr>
        <w:ind w:left="452" w:right="140"/>
        <w:spacing w:after="0" w:line="254" w:lineRule="auto"/>
        <w:rPr>
          <w:rFonts w:ascii="Arial" w:cs="Arial" w:eastAsia="Arial" w:hAnsi="Arial"/>
          <w:sz w:val="18"/>
          <w:szCs w:val="18"/>
          <w:color w:val="auto"/>
        </w:rPr>
      </w:pPr>
      <w:r>
        <w:rPr>
          <w:rFonts w:ascii="Arial" w:cs="Arial" w:eastAsia="Arial" w:hAnsi="Arial"/>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265"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90" w:lineRule="exact"/>
        <w:rPr>
          <w:rFonts w:ascii="Arial" w:cs="Arial" w:eastAsia="Arial" w:hAnsi="Arial"/>
          <w:sz w:val="18"/>
          <w:szCs w:val="18"/>
          <w:color w:val="auto"/>
        </w:rPr>
      </w:pPr>
    </w:p>
    <w:p>
      <w:pPr>
        <w:ind w:left="452" w:right="20"/>
        <w:spacing w:after="0" w:line="285" w:lineRule="auto"/>
        <w:rPr>
          <w:rFonts w:ascii="Arial" w:cs="Arial" w:eastAsia="Arial" w:hAnsi="Arial"/>
          <w:sz w:val="18"/>
          <w:szCs w:val="18"/>
          <w:color w:val="auto"/>
        </w:rPr>
      </w:pPr>
      <w:r>
        <w:rPr>
          <w:rFonts w:ascii="Arial" w:cs="Arial" w:eastAsia="Arial" w:hAnsi="Arial"/>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or SAR granted under the Plan may be amended to provide an exercise price per share that is lower than the then-current exercise price per share of such outstanding Option or SAR (other than adjustments pursuant to Section 10) and (2) the Board may not cancel any outstanding Option or SAR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or SAR. No Option or SAR granted under the Plan shall contain any provision entitling the Grantee to the automatic grant of additional Options or SARs in connection with any exercise of the original Option or SAR.</w:t>
      </w:r>
    </w:p>
    <w:p>
      <w:pPr>
        <w:spacing w:after="0" w:line="250"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90" w:lineRule="exact"/>
        <w:rPr>
          <w:rFonts w:ascii="Arial" w:cs="Arial" w:eastAsia="Arial" w:hAnsi="Arial"/>
          <w:sz w:val="18"/>
          <w:szCs w:val="18"/>
          <w:color w:val="auto"/>
        </w:rPr>
      </w:pPr>
    </w:p>
    <w:p>
      <w:pPr>
        <w:ind w:left="452"/>
        <w:spacing w:after="0" w:line="256" w:lineRule="auto"/>
        <w:rPr>
          <w:rFonts w:ascii="Arial" w:cs="Arial" w:eastAsia="Arial" w:hAnsi="Arial"/>
          <w:sz w:val="18"/>
          <w:szCs w:val="18"/>
          <w:color w:val="auto"/>
        </w:rPr>
      </w:pPr>
      <w:r>
        <w:rPr>
          <w:rFonts w:ascii="Arial" w:cs="Arial" w:eastAsia="Arial" w:hAnsi="Arial"/>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372"/>
          </w:cols>
          <w:pgMar w:left="248" w:top="280" w:right="279" w:bottom="1440" w:gutter="0" w:footer="0" w:header="0"/>
        </w:sectPr>
      </w:pPr>
    </w:p>
    <w:bookmarkStart w:id="36" w:name="page37"/>
    <w:bookmarkEnd w:id="36"/>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Rights to Employment</w:t>
      </w:r>
    </w:p>
    <w:p>
      <w:pPr>
        <w:spacing w:after="0" w:line="90" w:lineRule="exact"/>
        <w:rPr>
          <w:rFonts w:ascii="Arial" w:cs="Arial" w:eastAsia="Arial" w:hAnsi="Arial"/>
          <w:sz w:val="18"/>
          <w:szCs w:val="18"/>
          <w:color w:val="auto"/>
        </w:rPr>
      </w:pPr>
    </w:p>
    <w:p>
      <w:pPr>
        <w:ind w:left="452"/>
        <w:spacing w:after="0" w:line="298" w:lineRule="auto"/>
        <w:rPr>
          <w:rFonts w:ascii="Arial" w:cs="Arial" w:eastAsia="Arial" w:hAnsi="Arial"/>
          <w:sz w:val="18"/>
          <w:szCs w:val="18"/>
          <w:color w:val="auto"/>
        </w:rPr>
      </w:pPr>
      <w:r>
        <w:rPr>
          <w:rFonts w:ascii="Arial" w:cs="Arial" w:eastAsia="Arial" w:hAnsi="Arial"/>
          <w:sz w:val="16"/>
          <w:szCs w:val="16"/>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34" w:lineRule="exact"/>
        <w:rPr>
          <w:rFonts w:ascii="Arial" w:cs="Arial" w:eastAsia="Arial" w:hAnsi="Arial"/>
          <w:sz w:val="18"/>
          <w:szCs w:val="18"/>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90" w:lineRule="exact"/>
        <w:rPr>
          <w:rFonts w:ascii="Arial" w:cs="Arial" w:eastAsia="Arial" w:hAnsi="Arial"/>
          <w:sz w:val="18"/>
          <w:szCs w:val="18"/>
          <w:color w:val="auto"/>
        </w:rPr>
      </w:pPr>
    </w:p>
    <w:p>
      <w:pPr>
        <w:ind w:left="452" w:right="100"/>
        <w:spacing w:after="0" w:line="259" w:lineRule="auto"/>
        <w:rPr>
          <w:rFonts w:ascii="Arial" w:cs="Arial" w:eastAsia="Arial" w:hAnsi="Arial"/>
          <w:sz w:val="18"/>
          <w:szCs w:val="18"/>
          <w:color w:val="auto"/>
        </w:rPr>
      </w:pPr>
      <w:r>
        <w:rPr>
          <w:rFonts w:ascii="Arial" w:cs="Arial" w:eastAsia="Arial" w:hAnsi="Arial"/>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261" w:lineRule="exact"/>
        <w:rPr>
          <w:rFonts w:ascii="Arial" w:cs="Arial" w:eastAsia="Arial" w:hAnsi="Arial"/>
          <w:sz w:val="18"/>
          <w:szCs w:val="18"/>
          <w:color w:val="auto"/>
        </w:rPr>
      </w:pPr>
    </w:p>
    <w:p>
      <w:pPr>
        <w:ind w:left="452" w:hanging="452"/>
        <w:spacing w:after="0"/>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Plan and all determinations made and actions taken pursuant hereto shall be governed by the laws of the State of New York.</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92"/>
          </w:cols>
          <w:pgMar w:left="248" w:top="280" w:right="25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January 27, 2017</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are available at www.amdocs.com/proxy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possible.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172"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jc w:val="center"/>
        <w:ind w:right="20"/>
        <w:spacing w:after="0" w:line="216" w:lineRule="auto"/>
        <w:rPr>
          <w:sz w:val="20"/>
          <w:szCs w:val="20"/>
          <w:color w:val="auto"/>
        </w:rPr>
      </w:pPr>
      <w:r>
        <w:rPr>
          <w:rFonts w:ascii="Arial" w:cs="Arial" w:eastAsia="Arial" w:hAnsi="Arial"/>
          <w:sz w:val="14"/>
          <w:szCs w:val="14"/>
          <w:b w:val="1"/>
          <w:bCs w:val="1"/>
          <w:color w:val="auto"/>
        </w:rPr>
        <w:t>AND A VOTE “FOR” PROPOSALS 2, 3, 4 AND 5.</w:t>
      </w:r>
    </w:p>
    <w:p>
      <w:pPr>
        <w:jc w:val="center"/>
        <w:ind w:right="2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31388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138805"/>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p>
      <w:pPr>
        <w:spacing w:after="0" w:line="139"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560" w:type="dxa"/>
            <w:vAlign w:val="bottom"/>
          </w:tcPr>
          <w:p>
            <w:pPr>
              <w:jc w:val="center"/>
              <w:ind w:left="72"/>
              <w:spacing w:after="0"/>
              <w:rPr>
                <w:sz w:val="20"/>
                <w:szCs w:val="20"/>
                <w:color w:val="auto"/>
              </w:rPr>
            </w:pPr>
            <w:r>
              <w:rPr>
                <w:rFonts w:ascii="Arial" w:cs="Arial" w:eastAsia="Arial" w:hAnsi="Arial"/>
                <w:sz w:val="14"/>
                <w:szCs w:val="14"/>
                <w:color w:val="auto"/>
                <w:w w:val="87"/>
              </w:rPr>
              <w:t>FOR</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ind w:left="12"/>
              <w:spacing w:after="0"/>
              <w:rPr>
                <w:sz w:val="20"/>
                <w:szCs w:val="20"/>
                <w:color w:val="auto"/>
              </w:rPr>
            </w:pPr>
            <w:r>
              <w:rPr>
                <w:rFonts w:ascii="Arial" w:cs="Arial" w:eastAsia="Arial" w:hAnsi="Arial"/>
                <w:sz w:val="14"/>
                <w:szCs w:val="14"/>
                <w:color w:val="auto"/>
                <w:w w:val="96"/>
              </w:rPr>
              <w:t>ABSTAIN</w:t>
            </w:r>
          </w:p>
        </w:tc>
      </w:tr>
      <w:tr>
        <w:trPr>
          <w:trHeight w:val="271"/>
        </w:trPr>
        <w:tc>
          <w:tcPr>
            <w:tcW w:w="2180" w:type="dxa"/>
            <w:vAlign w:val="bottom"/>
          </w:tcPr>
          <w:p>
            <w:pPr>
              <w:ind w:left="400"/>
              <w:spacing w:after="0"/>
              <w:rPr>
                <w:sz w:val="20"/>
                <w:szCs w:val="20"/>
                <w:color w:val="auto"/>
              </w:rPr>
            </w:pPr>
            <w:r>
              <w:rPr>
                <w:rFonts w:ascii="Arial" w:cs="Arial" w:eastAsia="Arial" w:hAnsi="Arial"/>
                <w:sz w:val="14"/>
                <w:szCs w:val="14"/>
                <w:color w:val="auto"/>
              </w:rPr>
              <w:t>Robert A. Minicucci</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Adrian Gardner</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John T. McLennan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Simon Olswang</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Zohar Zisapel</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Julian A. Brodsky</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Clayton Christensen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Eli Gelman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James S. Kahan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Richard T.C. LeFave</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Giora Yaron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860"/>
        <w:spacing w:after="0" w:line="281" w:lineRule="auto"/>
        <w:rPr>
          <w:sz w:val="20"/>
          <w:szCs w:val="20"/>
          <w:color w:val="auto"/>
        </w:rPr>
      </w:pPr>
      <w:r>
        <w:rPr>
          <w:rFonts w:ascii="Arial" w:cs="Arial" w:eastAsia="Arial" w:hAnsi="Arial"/>
          <w:sz w:val="11"/>
          <w:szCs w:val="11"/>
          <w:color w:val="auto"/>
        </w:rPr>
        <w:t>To change the address on your account, please check the box at right and indicate your new address in the address space above.</w:t>
      </w:r>
    </w:p>
    <w:p>
      <w:pPr>
        <w:ind w:right="160"/>
        <w:spacing w:after="0" w:line="161" w:lineRule="exact"/>
        <w:rPr>
          <w:sz w:val="20"/>
          <w:szCs w:val="20"/>
          <w:color w:val="auto"/>
        </w:rPr>
      </w:pPr>
      <w:r>
        <w:rPr>
          <w:rFonts w:ascii="Arial" w:cs="Arial" w:eastAsia="Arial" w:hAnsi="Arial"/>
          <w:sz w:val="14"/>
          <w:szCs w:val="14"/>
          <w:color w:val="auto"/>
        </w:rPr>
        <w:t xml:space="preserve">Please note that changes to the registered name(s) on the account </w:t>
      </w:r>
      <w:r>
        <w:rPr>
          <w:rFonts w:ascii="MS PGothic" w:cs="MS PGothic" w:eastAsia="MS PGothic" w:hAnsi="MS PGothic"/>
          <w:sz w:val="21"/>
          <w:szCs w:val="21"/>
          <w:color w:val="auto"/>
        </w:rPr>
        <w:t>☐</w:t>
      </w:r>
      <w:r>
        <w:rPr>
          <w:rFonts w:ascii="Arial" w:cs="Arial" w:eastAsia="Arial" w:hAnsi="Arial"/>
          <w:sz w:val="14"/>
          <w:szCs w:val="14"/>
          <w:color w:val="auto"/>
        </w:rPr>
        <w:t xml:space="preserve"> may not be submitted via this method.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233"/>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2.</w:t>
            </w:r>
          </w:p>
        </w:tc>
        <w:tc>
          <w:tcPr>
            <w:tcW w:w="4740" w:type="dxa"/>
            <w:vAlign w:val="bottom"/>
          </w:tcPr>
          <w:p>
            <w:pPr>
              <w:ind w:left="80"/>
              <w:spacing w:after="0"/>
              <w:rPr>
                <w:sz w:val="20"/>
                <w:szCs w:val="20"/>
                <w:color w:val="auto"/>
              </w:rPr>
            </w:pPr>
            <w:r>
              <w:rPr>
                <w:rFonts w:ascii="Arial" w:cs="Arial" w:eastAsia="Arial" w:hAnsi="Arial"/>
                <w:sz w:val="14"/>
                <w:szCs w:val="14"/>
                <w:color w:val="auto"/>
                <w:w w:val="90"/>
              </w:rPr>
              <w:t>To approve an amendment of the 1998 Stock Option and Incentive Plan increasing</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9"/>
        </w:trPr>
        <w:tc>
          <w:tcPr>
            <w:tcW w:w="200" w:type="dxa"/>
            <w:vAlign w:val="bottom"/>
          </w:tcPr>
          <w:p>
            <w:pPr>
              <w:spacing w:after="0"/>
              <w:rPr>
                <w:sz w:val="12"/>
                <w:szCs w:val="12"/>
                <w:color w:val="auto"/>
              </w:rPr>
            </w:pPr>
          </w:p>
        </w:tc>
        <w:tc>
          <w:tcPr>
            <w:tcW w:w="4740" w:type="dxa"/>
            <w:vAlign w:val="bottom"/>
          </w:tcPr>
          <w:p>
            <w:pPr>
              <w:ind w:left="80"/>
              <w:spacing w:after="0" w:line="149" w:lineRule="exact"/>
              <w:rPr>
                <w:sz w:val="20"/>
                <w:szCs w:val="20"/>
                <w:color w:val="auto"/>
              </w:rPr>
            </w:pPr>
            <w:r>
              <w:rPr>
                <w:rFonts w:ascii="Arial" w:cs="Arial" w:eastAsia="Arial" w:hAnsi="Arial"/>
                <w:sz w:val="14"/>
                <w:szCs w:val="14"/>
                <w:color w:val="auto"/>
                <w:w w:val="88"/>
              </w:rPr>
              <w:t>the number of shares authorized for issuance under the plan and the sublimit on “full</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200" w:type="dxa"/>
            <w:vAlign w:val="bottom"/>
          </w:tcPr>
          <w:p>
            <w:pPr>
              <w:spacing w:after="0"/>
              <w:rPr>
                <w:sz w:val="14"/>
                <w:szCs w:val="14"/>
                <w:color w:val="auto"/>
              </w:rPr>
            </w:pPr>
          </w:p>
        </w:tc>
        <w:tc>
          <w:tcPr>
            <w:tcW w:w="4740" w:type="dxa"/>
            <w:vAlign w:val="bottom"/>
          </w:tcPr>
          <w:p>
            <w:pPr>
              <w:ind w:left="80"/>
              <w:spacing w:after="0"/>
              <w:rPr>
                <w:sz w:val="20"/>
                <w:szCs w:val="20"/>
                <w:color w:val="auto"/>
              </w:rPr>
            </w:pPr>
            <w:r>
              <w:rPr>
                <w:rFonts w:ascii="Arial" w:cs="Arial" w:eastAsia="Arial" w:hAnsi="Arial"/>
                <w:sz w:val="14"/>
                <w:szCs w:val="14"/>
                <w:color w:val="auto"/>
                <w:w w:val="96"/>
              </w:rPr>
              <w:t>value” awards under the plan, in each case by 5,250,000 shares (Proposal II).</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81"/>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3.</w:t>
            </w:r>
          </w:p>
        </w:tc>
        <w:tc>
          <w:tcPr>
            <w:tcW w:w="4740" w:type="dxa"/>
            <w:vAlign w:val="bottom"/>
          </w:tcPr>
          <w:p>
            <w:pPr>
              <w:ind w:left="80"/>
              <w:spacing w:after="0"/>
              <w:rPr>
                <w:sz w:val="20"/>
                <w:szCs w:val="20"/>
                <w:color w:val="auto"/>
              </w:rPr>
            </w:pPr>
            <w:r>
              <w:rPr>
                <w:rFonts w:ascii="Arial" w:cs="Arial" w:eastAsia="Arial" w:hAnsi="Arial"/>
                <w:sz w:val="14"/>
                <w:szCs w:val="14"/>
                <w:color w:val="auto"/>
                <w:w w:val="96"/>
              </w:rPr>
              <w:t>To approve an increase in the dividend rate under our quarterly cash dividend</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200" w:type="dxa"/>
            <w:vAlign w:val="bottom"/>
          </w:tcPr>
          <w:p>
            <w:pPr>
              <w:spacing w:after="0"/>
              <w:rPr>
                <w:sz w:val="14"/>
                <w:szCs w:val="14"/>
                <w:color w:val="auto"/>
              </w:rPr>
            </w:pPr>
          </w:p>
        </w:tc>
        <w:tc>
          <w:tcPr>
            <w:tcW w:w="4740" w:type="dxa"/>
            <w:vAlign w:val="bottom"/>
          </w:tcPr>
          <w:p>
            <w:pPr>
              <w:ind w:left="80"/>
              <w:spacing w:after="0"/>
              <w:rPr>
                <w:sz w:val="20"/>
                <w:szCs w:val="20"/>
                <w:color w:val="auto"/>
              </w:rPr>
            </w:pPr>
            <w:r>
              <w:rPr>
                <w:rFonts w:ascii="Arial" w:cs="Arial" w:eastAsia="Arial" w:hAnsi="Arial"/>
                <w:sz w:val="14"/>
                <w:szCs w:val="14"/>
                <w:color w:val="auto"/>
              </w:rPr>
              <w:t>program from $0.195 per share to $0.22 per share (Proposal III).</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14"/>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4.</w:t>
            </w:r>
          </w:p>
        </w:tc>
        <w:tc>
          <w:tcPr>
            <w:tcW w:w="4740" w:type="dxa"/>
            <w:vAlign w:val="bottom"/>
          </w:tcPr>
          <w:p>
            <w:pPr>
              <w:ind w:left="80"/>
              <w:spacing w:after="0"/>
              <w:rPr>
                <w:sz w:val="20"/>
                <w:szCs w:val="20"/>
                <w:color w:val="auto"/>
              </w:rPr>
            </w:pPr>
            <w:r>
              <w:rPr>
                <w:rFonts w:ascii="Arial" w:cs="Arial" w:eastAsia="Arial" w:hAnsi="Arial"/>
                <w:sz w:val="14"/>
                <w:szCs w:val="14"/>
                <w:color w:val="auto"/>
                <w:w w:val="99"/>
              </w:rPr>
              <w:t>To approve our Consolidated Financial Statements for the fiscal year ended</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200" w:type="dxa"/>
            <w:vAlign w:val="bottom"/>
          </w:tcPr>
          <w:p>
            <w:pPr>
              <w:spacing w:after="0"/>
              <w:rPr>
                <w:sz w:val="14"/>
                <w:szCs w:val="14"/>
                <w:color w:val="auto"/>
              </w:rPr>
            </w:pPr>
          </w:p>
        </w:tc>
        <w:tc>
          <w:tcPr>
            <w:tcW w:w="4740" w:type="dxa"/>
            <w:vAlign w:val="bottom"/>
          </w:tcPr>
          <w:p>
            <w:pPr>
              <w:ind w:left="80"/>
              <w:spacing w:after="0"/>
              <w:rPr>
                <w:sz w:val="20"/>
                <w:szCs w:val="20"/>
                <w:color w:val="auto"/>
              </w:rPr>
            </w:pPr>
            <w:r>
              <w:rPr>
                <w:rFonts w:ascii="Arial" w:cs="Arial" w:eastAsia="Arial" w:hAnsi="Arial"/>
                <w:sz w:val="14"/>
                <w:szCs w:val="14"/>
                <w:color w:val="auto"/>
              </w:rPr>
              <w:t>September 30, 2016 (Proposal IV).</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9"/>
        </w:trPr>
        <w:tc>
          <w:tcPr>
            <w:tcW w:w="200" w:type="dxa"/>
            <w:vAlign w:val="bottom"/>
          </w:tcPr>
          <w:p>
            <w:pPr>
              <w:jc w:val="right"/>
              <w:ind w:right="38"/>
              <w:spacing w:after="0"/>
              <w:rPr>
                <w:sz w:val="20"/>
                <w:szCs w:val="20"/>
                <w:color w:val="auto"/>
              </w:rPr>
            </w:pPr>
            <w:r>
              <w:rPr>
                <w:rFonts w:ascii="Arial" w:cs="Arial" w:eastAsia="Arial" w:hAnsi="Arial"/>
                <w:sz w:val="12"/>
                <w:szCs w:val="12"/>
                <w:color w:val="auto"/>
                <w:w w:val="79"/>
              </w:rPr>
              <w:t>5.</w:t>
            </w:r>
          </w:p>
        </w:tc>
        <w:tc>
          <w:tcPr>
            <w:tcW w:w="4740" w:type="dxa"/>
            <w:vAlign w:val="bottom"/>
          </w:tcPr>
          <w:p>
            <w:pPr>
              <w:ind w:left="80"/>
              <w:spacing w:after="0"/>
              <w:rPr>
                <w:sz w:val="20"/>
                <w:szCs w:val="20"/>
                <w:color w:val="auto"/>
              </w:rPr>
            </w:pPr>
            <w:r>
              <w:rPr>
                <w:rFonts w:ascii="Arial" w:cs="Arial" w:eastAsia="Arial" w:hAnsi="Arial"/>
                <w:sz w:val="14"/>
                <w:szCs w:val="14"/>
                <w:color w:val="auto"/>
                <w:w w:val="93"/>
              </w:rPr>
              <w:t>To ratify and approve the appointment of Ernst &amp; Young LLP as our independent</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1"/>
        </w:trPr>
        <w:tc>
          <w:tcPr>
            <w:tcW w:w="200" w:type="dxa"/>
            <w:vAlign w:val="bottom"/>
          </w:tcPr>
          <w:p>
            <w:pPr>
              <w:spacing w:after="0"/>
              <w:rPr>
                <w:sz w:val="13"/>
                <w:szCs w:val="13"/>
                <w:color w:val="auto"/>
              </w:rPr>
            </w:pPr>
          </w:p>
        </w:tc>
        <w:tc>
          <w:tcPr>
            <w:tcW w:w="4740" w:type="dxa"/>
            <w:vAlign w:val="bottom"/>
          </w:tcPr>
          <w:p>
            <w:pPr>
              <w:ind w:left="80"/>
              <w:spacing w:after="0"/>
              <w:rPr>
                <w:sz w:val="20"/>
                <w:szCs w:val="20"/>
                <w:color w:val="auto"/>
              </w:rPr>
            </w:pPr>
            <w:r>
              <w:rPr>
                <w:rFonts w:ascii="Arial" w:cs="Arial" w:eastAsia="Arial" w:hAnsi="Arial"/>
                <w:sz w:val="14"/>
                <w:szCs w:val="14"/>
                <w:color w:val="auto"/>
                <w:w w:val="89"/>
              </w:rPr>
              <w:t>registered public accounting firm for the fiscal year ending September 30, 2017, and</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jc w:val="both"/>
        <w:ind w:left="280" w:right="2160"/>
        <w:spacing w:after="0" w:line="225" w:lineRule="auto"/>
        <w:rPr>
          <w:sz w:val="20"/>
          <w:szCs w:val="20"/>
          <w:color w:val="auto"/>
        </w:rPr>
      </w:pPr>
      <w:r>
        <w:rPr>
          <w:rFonts w:ascii="Arial" w:cs="Arial" w:eastAsia="Arial" w:hAnsi="Arial"/>
          <w:sz w:val="14"/>
          <w:szCs w:val="14"/>
          <w:color w:val="auto"/>
        </w:rPr>
        <w:t>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180"/>
        <w:spacing w:after="0" w:line="239"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spacing w:after="0" w:line="58" w:lineRule="exact"/>
        <w:rPr>
          <w:sz w:val="20"/>
          <w:szCs w:val="20"/>
          <w:color w:val="auto"/>
        </w:rPr>
      </w:pPr>
    </w:p>
    <w:p>
      <w:pPr>
        <w:ind w:right="2080"/>
        <w:spacing w:after="0" w:line="288" w:lineRule="auto"/>
        <w:rPr>
          <w:sz w:val="20"/>
          <w:szCs w:val="20"/>
          <w:color w:val="auto"/>
        </w:rPr>
      </w:pPr>
      <w:r>
        <w:rPr>
          <w:rFonts w:ascii="Arial" w:cs="Arial" w:eastAsia="Arial" w:hAnsi="Arial"/>
          <w:sz w:val="12"/>
          <w:szCs w:val="12"/>
          <w:color w:val="auto"/>
        </w:rPr>
        <w:t>The Board of Directors has fixed the close of business on November 30, 2016 as the record date for the determination of our shareholders entitled to notice of, and to vote on the matters proposed at, the annual general meeting and any adjournments thereof.</w:t>
      </w:r>
    </w:p>
    <w:p>
      <w:pPr>
        <w:spacing w:after="0" w:line="1" w:lineRule="exact"/>
        <w:rPr>
          <w:sz w:val="20"/>
          <w:szCs w:val="20"/>
          <w:color w:val="auto"/>
        </w:rPr>
      </w:pPr>
    </w:p>
    <w:p>
      <w:pPr>
        <w:sectPr>
          <w:pgSz w:w="11900" w:h="16838" w:orient="portrait"/>
          <w:cols w:equalWidth="0" w:num="2">
            <w:col w:w="4300" w:space="280"/>
            <w:col w:w="6860"/>
          </w:cols>
          <w:pgMar w:left="240" w:top="274" w:right="2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86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4"/>
                <w:szCs w:val="14"/>
                <w:color w:val="auto"/>
              </w:rPr>
              <w:t>Signature of Shareholder</w:t>
            </w:r>
          </w:p>
        </w:tc>
        <w:tc>
          <w:tcPr>
            <w:tcW w:w="2640" w:type="dxa"/>
            <w:vAlign w:val="bottom"/>
            <w:tcBorders>
              <w:top w:val="single" w:sz="8" w:color="auto"/>
              <w:bottom w:val="single" w:sz="8" w:color="auto"/>
              <w:right w:val="single" w:sz="8" w:color="auto"/>
            </w:tcBorders>
          </w:tcPr>
          <w:p>
            <w:pPr>
              <w:spacing w:after="0"/>
              <w:rPr>
                <w:sz w:val="13"/>
                <w:szCs w:val="13"/>
                <w:color w:val="auto"/>
              </w:rPr>
            </w:pPr>
          </w:p>
        </w:tc>
        <w:tc>
          <w:tcPr>
            <w:tcW w:w="4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Date:</w:t>
            </w:r>
          </w:p>
        </w:tc>
        <w:tc>
          <w:tcPr>
            <w:tcW w:w="900" w:type="dxa"/>
            <w:vAlign w:val="bottom"/>
            <w:tcBorders>
              <w:top w:val="single" w:sz="8" w:color="auto"/>
              <w:bottom w:val="single" w:sz="8" w:color="auto"/>
              <w:right w:val="single" w:sz="8" w:color="auto"/>
            </w:tcBorders>
          </w:tcPr>
          <w:p>
            <w:pPr>
              <w:spacing w:after="0"/>
              <w:rPr>
                <w:sz w:val="13"/>
                <w:szCs w:val="13"/>
                <w:color w:val="auto"/>
              </w:rPr>
            </w:pPr>
          </w:p>
        </w:tc>
        <w:tc>
          <w:tcPr>
            <w:tcW w:w="17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Signature of Shareholder</w:t>
            </w:r>
          </w:p>
        </w:tc>
        <w:tc>
          <w:tcPr>
            <w:tcW w:w="2480" w:type="dxa"/>
            <w:vAlign w:val="bottom"/>
            <w:tcBorders>
              <w:top w:val="single" w:sz="8" w:color="auto"/>
              <w:bottom w:val="single" w:sz="8" w:color="auto"/>
              <w:right w:val="single" w:sz="8" w:color="auto"/>
            </w:tcBorders>
          </w:tcPr>
          <w:p>
            <w:pPr>
              <w:spacing w:after="0"/>
              <w:rPr>
                <w:sz w:val="13"/>
                <w:szCs w:val="13"/>
                <w:color w:val="auto"/>
              </w:rPr>
            </w:pPr>
          </w:p>
        </w:tc>
        <w:tc>
          <w:tcPr>
            <w:tcW w:w="4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4"/>
                <w:szCs w:val="14"/>
                <w:color w:val="auto"/>
                <w:w w:val="95"/>
              </w:rPr>
              <w:t>Date:</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Note:</w:t>
            </w:r>
          </w:p>
        </w:tc>
        <w:tc>
          <w:tcPr>
            <w:tcW w:w="10220" w:type="dxa"/>
            <w:vAlign w:val="bottom"/>
            <w:gridSpan w:val="8"/>
          </w:tcPr>
          <w:p>
            <w:pPr>
              <w:ind w:left="380"/>
              <w:spacing w:after="0" w:line="158" w:lineRule="exact"/>
              <w:rPr>
                <w:sz w:val="20"/>
                <w:szCs w:val="20"/>
                <w:color w:val="auto"/>
              </w:rPr>
            </w:pPr>
            <w:r>
              <w:rPr>
                <w:rFonts w:ascii="Arial" w:cs="Arial" w:eastAsia="Arial" w:hAnsi="Arial"/>
                <w:sz w:val="14"/>
                <w:szCs w:val="14"/>
                <w:color w:val="auto"/>
                <w:w w:val="87"/>
              </w:rPr>
              <w:t>Please sign exactly as your name or names appear on this Proxy. When shares are held jointly, each holder should sign. When signing as executor, administrator, attorney, trustee or</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0220" w:type="dxa"/>
            <w:vAlign w:val="bottom"/>
            <w:gridSpan w:val="8"/>
          </w:tcPr>
          <w:p>
            <w:pPr>
              <w:ind w:left="380"/>
              <w:spacing w:after="0" w:line="149" w:lineRule="exact"/>
              <w:rPr>
                <w:sz w:val="20"/>
                <w:szCs w:val="20"/>
                <w:color w:val="auto"/>
              </w:rPr>
            </w:pPr>
            <w:r>
              <w:rPr>
                <w:rFonts w:ascii="Arial" w:cs="Arial" w:eastAsia="Arial" w:hAnsi="Arial"/>
                <w:sz w:val="14"/>
                <w:szCs w:val="14"/>
                <w:color w:val="auto"/>
                <w:w w:val="90"/>
              </w:rPr>
              <w:t>guardian, please give full title as such. If the signer is a corporation, please sign full corporate name by duly authorized officer, giving full title as such. If signer is a partnership,</w:t>
            </w:r>
          </w:p>
        </w:tc>
        <w:tc>
          <w:tcPr>
            <w:tcW w:w="280" w:type="dxa"/>
            <w:vAlign w:val="bottom"/>
            <w:vMerge w:val="restart"/>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940" w:type="dxa"/>
            <w:vAlign w:val="bottom"/>
            <w:vMerge w:val="continue"/>
          </w:tcPr>
          <w:p>
            <w:pPr>
              <w:spacing w:after="0"/>
              <w:rPr>
                <w:sz w:val="16"/>
                <w:szCs w:val="16"/>
                <w:color w:val="auto"/>
              </w:rPr>
            </w:pPr>
          </w:p>
        </w:tc>
        <w:tc>
          <w:tcPr>
            <w:tcW w:w="3560" w:type="dxa"/>
            <w:vAlign w:val="bottom"/>
            <w:gridSpan w:val="2"/>
          </w:tcPr>
          <w:p>
            <w:pPr>
              <w:ind w:left="380"/>
              <w:spacing w:after="0"/>
              <w:rPr>
                <w:sz w:val="20"/>
                <w:szCs w:val="20"/>
                <w:color w:val="auto"/>
              </w:rPr>
            </w:pPr>
            <w:r>
              <w:rPr>
                <w:rFonts w:ascii="Arial" w:cs="Arial" w:eastAsia="Arial" w:hAnsi="Arial"/>
                <w:sz w:val="14"/>
                <w:szCs w:val="14"/>
                <w:color w:val="auto"/>
                <w:w w:val="93"/>
              </w:rPr>
              <w:t>please sign in partnership name by authorized person.</w:t>
            </w: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0100"/>
        <w:spacing w:after="0" w:line="228" w:lineRule="exact"/>
        <w:tabs>
          <w:tab w:leader="none" w:pos="11260" w:val="left"/>
        </w:tabs>
        <w:rPr>
          <w:sz w:val="20"/>
          <w:szCs w:val="20"/>
          <w:color w:val="auto"/>
        </w:rPr>
      </w:pPr>
      <w:r>
        <w:rPr>
          <w:rFonts w:ascii="Arial" w:cs="Arial" w:eastAsia="Arial" w:hAnsi="Arial"/>
          <w:sz w:val="18"/>
          <w:szCs w:val="18"/>
          <w:color w:val="auto"/>
        </w:rPr>
        <w:t>0</w:t>
      </w:r>
      <w:r>
        <w:rPr>
          <w:sz w:val="20"/>
          <w:szCs w:val="20"/>
          <w:color w:val="auto"/>
        </w:rPr>
        <w:tab/>
      </w:r>
      <w:r>
        <w:rPr>
          <w:rFonts w:ascii="MS PGothic" w:cs="MS PGothic" w:eastAsia="MS PGothic" w:hAnsi="MS PGothic"/>
          <w:sz w:val="22"/>
          <w:szCs w:val="22"/>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undersigned hereby appoints Robert A. Minicucci and Amir Kaiser as Proxies, each with the power to appoint his substitute, and hereby authorizes them to represent and vote, as designated on the reverse side, all Ordinary Shares of Amdocs Limited (the “Company”) held of record by the undersigned on November 30, 2016, at the annual General Meeting of shareholders to be held on January 27, 2017 or any adjournment thereof.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78" w:lineRule="exact"/>
        <w:rPr>
          <w:sz w:val="20"/>
          <w:szCs w:val="20"/>
          <w:color w:val="auto"/>
        </w:rPr>
      </w:pPr>
    </w:p>
    <w:p>
      <w:pPr>
        <w:spacing w:after="0" w:line="242" w:lineRule="exact"/>
        <w:tabs>
          <w:tab w:leader="none" w:pos="107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1.1</w:t>
      </w:r>
      <w:r>
        <w:rPr>
          <w:sz w:val="20"/>
          <w:szCs w:val="20"/>
          <w:color w:val="auto"/>
        </w:rPr>
        <w:tab/>
      </w:r>
      <w:r>
        <w:rPr>
          <w:rFonts w:ascii="Arial" w:cs="Arial" w:eastAsia="Arial" w:hAnsi="Arial"/>
          <w:sz w:val="17"/>
          <w:szCs w:val="17"/>
          <w:color w:val="auto"/>
        </w:rPr>
        <w:t xml:space="preserve">14475  </w:t>
      </w:r>
      <w:r>
        <w:rPr>
          <w:rFonts w:ascii="MS PGothic" w:cs="MS PGothic" w:eastAsia="MS PGothic" w:hAnsi="MS PGothic"/>
          <w:sz w:val="20"/>
          <w:szCs w:val="20"/>
          <w:color w:val="auto"/>
        </w:rPr>
        <w:t>∎</w:t>
      </w:r>
    </w:p>
    <w:p>
      <w:pPr>
        <w:sectPr>
          <w:pgSz w:w="11900" w:h="16838" w:orient="portrait"/>
          <w:cols w:equalWidth="0" w:num="1">
            <w:col w:w="11420"/>
          </w:cols>
          <w:pgMar w:left="240" w:top="1440"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GENERAL MEETING OF SHAREHOLDERS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143510</wp:posOffset>
            </wp:positionV>
            <wp:extent cx="2555875"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5875" cy="308610"/>
                    </a:xfrm>
                    <a:prstGeom prst="rect">
                      <a:avLst/>
                    </a:prstGeom>
                    <a:noFill/>
                  </pic:spPr>
                </pic:pic>
              </a:graphicData>
            </a:graphic>
          </wp:anchor>
        </w:drawing>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274" w:right="219" w:bottom="1440" w:gutter="0" w:footer="0" w:header="0"/>
        </w:sectPr>
      </w:pPr>
    </w:p>
    <w:p>
      <w:pPr>
        <w:spacing w:after="0" w:line="38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 </w:t>
      </w:r>
      <w:r>
        <w:rPr>
          <w:rFonts w:ascii="Arial" w:cs="Arial" w:eastAsia="Arial" w:hAnsi="Arial"/>
          <w:sz w:val="18"/>
          <w:szCs w:val="18"/>
          <w:color w:val="auto"/>
        </w:rPr>
        <w:t>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51" w:lineRule="exact"/>
        <w:rPr>
          <w:sz w:val="20"/>
          <w:szCs w:val="20"/>
          <w:color w:val="auto"/>
        </w:rPr>
      </w:pPr>
    </w:p>
    <w:p>
      <w:pPr>
        <w:jc w:val="both"/>
        <w:ind w:right="440"/>
        <w:spacing w:after="0" w:line="310" w:lineRule="auto"/>
        <w:rPr>
          <w:sz w:val="20"/>
          <w:szCs w:val="20"/>
          <w:color w:val="auto"/>
        </w:rPr>
      </w:pPr>
      <w:r>
        <w:rPr>
          <w:rFonts w:ascii="Arial" w:cs="Arial" w:eastAsia="Arial" w:hAnsi="Arial"/>
          <w:sz w:val="16"/>
          <w:szCs w:val="16"/>
          <w:b w:val="1"/>
          <w:bCs w:val="1"/>
          <w:u w:val="single" w:color="auto"/>
          <w:color w:val="auto"/>
        </w:rPr>
        <w:t>TELEPHONE</w:t>
      </w:r>
      <w:r>
        <w:rPr>
          <w:rFonts w:ascii="Arial" w:cs="Arial" w:eastAsia="Arial" w:hAnsi="Arial"/>
          <w:sz w:val="16"/>
          <w:szCs w:val="16"/>
          <w:b w:val="1"/>
          <w:bCs w:val="1"/>
          <w:color w:val="auto"/>
        </w:rPr>
        <w:t xml:space="preserve"> - </w:t>
      </w:r>
      <w:r>
        <w:rPr>
          <w:rFonts w:ascii="Arial" w:cs="Arial" w:eastAsia="Arial" w:hAnsi="Arial"/>
          <w:sz w:val="16"/>
          <w:szCs w:val="16"/>
          <w:color w:val="auto"/>
        </w:rPr>
        <w:t>Call toll-free</w:t>
      </w:r>
      <w:r>
        <w:rPr>
          <w:rFonts w:ascii="Arial" w:cs="Arial" w:eastAsia="Arial" w:hAnsi="Arial"/>
          <w:sz w:val="16"/>
          <w:szCs w:val="16"/>
          <w:b w:val="1"/>
          <w:bCs w:val="1"/>
          <w:color w:val="auto"/>
        </w:rPr>
        <w:t xml:space="preserve"> 1-800-PROXIES </w:t>
      </w:r>
      <w:r>
        <w:rPr>
          <w:rFonts w:ascii="Arial" w:cs="Arial" w:eastAsia="Arial" w:hAnsi="Arial"/>
          <w:sz w:val="16"/>
          <w:szCs w:val="16"/>
          <w:color w:val="auto"/>
        </w:rPr>
        <w:t>(1-800-776-9437)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States or </w:t>
      </w:r>
      <w:r>
        <w:rPr>
          <w:rFonts w:ascii="Arial" w:cs="Arial" w:eastAsia="Arial" w:hAnsi="Arial"/>
          <w:sz w:val="16"/>
          <w:szCs w:val="16"/>
          <w:b w:val="1"/>
          <w:bCs w:val="1"/>
          <w:color w:val="auto"/>
        </w:rPr>
        <w:t>1-718-921-8500</w:t>
      </w:r>
      <w:r>
        <w:rPr>
          <w:rFonts w:ascii="Arial" w:cs="Arial" w:eastAsia="Arial" w:hAnsi="Arial"/>
          <w:sz w:val="16"/>
          <w:szCs w:val="16"/>
          <w:color w:val="auto"/>
        </w:rPr>
        <w:t xml:space="preserve"> from foreign countries from any touch-tone telephone and follow the instructions. Have your proxy card available when you call.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84" w:lineRule="exact"/>
        <w:rPr>
          <w:sz w:val="20"/>
          <w:szCs w:val="20"/>
          <w:color w:val="auto"/>
        </w:rPr>
      </w:pPr>
    </w:p>
    <w:p>
      <w:pPr>
        <w:jc w:val="both"/>
        <w:ind w:right="440"/>
        <w:spacing w:after="0" w:line="275"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w:t>
      </w:r>
    </w:p>
    <w:p>
      <w:pPr>
        <w:spacing w:after="0" w:line="39"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-175895</wp:posOffset>
            </wp:positionV>
            <wp:extent cx="3181350" cy="917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1350" cy="91757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-647065</wp:posOffset>
            </wp:positionV>
            <wp:extent cx="334645" cy="3346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645" cy="334645"/>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ACCOUNT NUMBER</w:t>
      </w:r>
    </w:p>
    <w:p>
      <w:pPr>
        <w:spacing w:after="0" w:line="1193" w:lineRule="exact"/>
        <w:rPr>
          <w:sz w:val="20"/>
          <w:szCs w:val="20"/>
          <w:color w:val="auto"/>
        </w:rPr>
      </w:pPr>
    </w:p>
    <w:p>
      <w:pPr>
        <w:sectPr>
          <w:pgSz w:w="11900" w:h="16838" w:orient="portrait"/>
          <w:cols w:equalWidth="0" w:num="2">
            <w:col w:w="6140" w:space="720"/>
            <w:col w:w="4580"/>
          </w:cols>
          <w:pgMar w:left="240" w:top="274" w:right="2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u w:val="single" w:color="auto"/>
          <w:color w:val="auto"/>
        </w:rPr>
        <w:t>NOTICE OF INTERNET AVAILABILITY OF PROXY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The Notice of Meeting, Proxy Statement,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54875"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30035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available at www.amdocs.com/proxy</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i Please detach along perforated line and mail in the envelope provided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you are not voting via telephone or the Internet. i</w:t>
      </w:r>
    </w:p>
    <w:p>
      <w:pPr>
        <w:spacing w:after="0" w:line="357"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ELECTION OF EACH OF THE DIRECTOR NOMINEES</w:t>
      </w:r>
    </w:p>
    <w:p>
      <w:pPr>
        <w:jc w:val="center"/>
        <w:ind w:right="20"/>
        <w:spacing w:after="0" w:line="223" w:lineRule="auto"/>
        <w:rPr>
          <w:sz w:val="20"/>
          <w:szCs w:val="20"/>
          <w:color w:val="auto"/>
        </w:rPr>
      </w:pPr>
      <w:r>
        <w:rPr>
          <w:rFonts w:ascii="Arial" w:cs="Arial" w:eastAsia="Arial" w:hAnsi="Arial"/>
          <w:sz w:val="14"/>
          <w:szCs w:val="14"/>
          <w:b w:val="1"/>
          <w:bCs w:val="1"/>
          <w:color w:val="auto"/>
        </w:rPr>
        <w:t>AND A VOTE “FOR” PROPOSALS 2, 3, 4 AND 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PLEASE SIGN, DATE AND RETURN PROMPTLY IN THE ENCLOSED ENVELOPE. PLEASE MARK YOUR VOTE IN BLUE OR BLACK INK AS</w:t>
      </w:r>
    </w:p>
    <w:p>
      <w:pPr>
        <w:spacing w:after="0" w:line="6" w:lineRule="exact"/>
        <w:rPr>
          <w:sz w:val="20"/>
          <w:szCs w:val="20"/>
          <w:color w:val="auto"/>
        </w:rPr>
      </w:pPr>
    </w:p>
    <w:p>
      <w:pPr>
        <w:jc w:val="center"/>
        <w:ind w:left="3200"/>
        <w:spacing w:after="0" w:line="161" w:lineRule="exact"/>
        <w:rPr>
          <w:sz w:val="20"/>
          <w:szCs w:val="20"/>
          <w:color w:val="auto"/>
        </w:rPr>
      </w:pPr>
      <w:r>
        <w:rPr>
          <w:rFonts w:ascii="Arial" w:cs="Arial" w:eastAsia="Arial" w:hAnsi="Arial"/>
          <w:sz w:val="14"/>
          <w:szCs w:val="14"/>
          <w:b w:val="1"/>
          <w:bCs w:val="1"/>
          <w:color w:val="auto"/>
        </w:rPr>
        <w:t xml:space="preserve">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3001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001645"/>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type w:val="continuous"/>
        </w:sectPr>
      </w:pPr>
    </w:p>
    <w:p>
      <w:pPr>
        <w:spacing w:after="0" w:line="18"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560" w:type="dxa"/>
            <w:vAlign w:val="bottom"/>
          </w:tcPr>
          <w:p>
            <w:pPr>
              <w:jc w:val="center"/>
              <w:ind w:left="72"/>
              <w:spacing w:after="0"/>
              <w:rPr>
                <w:sz w:val="20"/>
                <w:szCs w:val="20"/>
                <w:color w:val="auto"/>
              </w:rPr>
            </w:pPr>
            <w:r>
              <w:rPr>
                <w:rFonts w:ascii="Arial" w:cs="Arial" w:eastAsia="Arial" w:hAnsi="Arial"/>
                <w:sz w:val="14"/>
                <w:szCs w:val="14"/>
                <w:color w:val="auto"/>
                <w:w w:val="87"/>
              </w:rPr>
              <w:t>FOR</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ind w:left="12"/>
              <w:spacing w:after="0"/>
              <w:rPr>
                <w:sz w:val="20"/>
                <w:szCs w:val="20"/>
                <w:color w:val="auto"/>
              </w:rPr>
            </w:pPr>
            <w:r>
              <w:rPr>
                <w:rFonts w:ascii="Arial" w:cs="Arial" w:eastAsia="Arial" w:hAnsi="Arial"/>
                <w:sz w:val="14"/>
                <w:szCs w:val="14"/>
                <w:color w:val="auto"/>
                <w:w w:val="96"/>
              </w:rPr>
              <w:t>ABSTAIN</w:t>
            </w:r>
          </w:p>
        </w:tc>
      </w:tr>
      <w:tr>
        <w:trPr>
          <w:trHeight w:val="260"/>
        </w:trPr>
        <w:tc>
          <w:tcPr>
            <w:tcW w:w="2180" w:type="dxa"/>
            <w:vAlign w:val="bottom"/>
          </w:tcPr>
          <w:p>
            <w:pPr>
              <w:ind w:left="400"/>
              <w:spacing w:after="0"/>
              <w:rPr>
                <w:sz w:val="20"/>
                <w:szCs w:val="20"/>
                <w:color w:val="auto"/>
              </w:rPr>
            </w:pPr>
            <w:r>
              <w:rPr>
                <w:rFonts w:ascii="Arial" w:cs="Arial" w:eastAsia="Arial" w:hAnsi="Arial"/>
                <w:sz w:val="14"/>
                <w:szCs w:val="14"/>
                <w:color w:val="auto"/>
              </w:rPr>
              <w:t>Robert A. Minicucci</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Adrian Gardner</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John T. McLennan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Simon Olswang</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Zohar Zisapel</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Julian A. Brodsky</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Clayton Christensen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80" w:type="dxa"/>
            <w:vAlign w:val="bottom"/>
          </w:tcPr>
          <w:p>
            <w:pPr>
              <w:ind w:left="400"/>
              <w:spacing w:after="0"/>
              <w:rPr>
                <w:sz w:val="20"/>
                <w:szCs w:val="20"/>
                <w:color w:val="auto"/>
              </w:rPr>
            </w:pPr>
            <w:r>
              <w:rPr>
                <w:rFonts w:ascii="Arial" w:cs="Arial" w:eastAsia="Arial" w:hAnsi="Arial"/>
                <w:sz w:val="14"/>
                <w:szCs w:val="14"/>
                <w:color w:val="auto"/>
              </w:rPr>
              <w:t>Eli Gelman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James S. Kahan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Richard T.C. LeFave</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80" w:type="dxa"/>
            <w:vAlign w:val="bottom"/>
          </w:tcPr>
          <w:p>
            <w:pPr>
              <w:ind w:left="400"/>
              <w:spacing w:after="0"/>
              <w:rPr>
                <w:sz w:val="20"/>
                <w:szCs w:val="20"/>
                <w:color w:val="auto"/>
              </w:rPr>
            </w:pPr>
            <w:r>
              <w:rPr>
                <w:rFonts w:ascii="Arial" w:cs="Arial" w:eastAsia="Arial" w:hAnsi="Arial"/>
                <w:sz w:val="14"/>
                <w:szCs w:val="14"/>
                <w:color w:val="auto"/>
              </w:rPr>
              <w:t>Giora Yaron</w:t>
            </w:r>
          </w:p>
        </w:tc>
        <w:tc>
          <w:tcPr>
            <w:tcW w:w="56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7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860"/>
        <w:spacing w:after="0" w:line="281" w:lineRule="auto"/>
        <w:rPr>
          <w:sz w:val="20"/>
          <w:szCs w:val="20"/>
          <w:color w:val="auto"/>
        </w:rPr>
      </w:pPr>
      <w:r>
        <w:rPr>
          <w:rFonts w:ascii="Arial" w:cs="Arial" w:eastAsia="Arial" w:hAnsi="Arial"/>
          <w:sz w:val="11"/>
          <w:szCs w:val="11"/>
          <w:color w:val="auto"/>
        </w:rPr>
        <w:t>To change the address on your account, please check the box at right and indicate your new address in the address space above.</w:t>
      </w:r>
    </w:p>
    <w:p>
      <w:pPr>
        <w:ind w:right="160"/>
        <w:spacing w:after="0" w:line="161" w:lineRule="exact"/>
        <w:rPr>
          <w:sz w:val="20"/>
          <w:szCs w:val="20"/>
          <w:color w:val="auto"/>
        </w:rPr>
      </w:pPr>
      <w:r>
        <w:rPr>
          <w:rFonts w:ascii="Arial" w:cs="Arial" w:eastAsia="Arial" w:hAnsi="Arial"/>
          <w:sz w:val="14"/>
          <w:szCs w:val="14"/>
          <w:color w:val="auto"/>
        </w:rPr>
        <w:t xml:space="preserve">Please note that changes to the registered name(s) on the account </w:t>
      </w:r>
      <w:r>
        <w:rPr>
          <w:rFonts w:ascii="MS PGothic" w:cs="MS PGothic" w:eastAsia="MS PGothic" w:hAnsi="MS PGothic"/>
          <w:sz w:val="21"/>
          <w:szCs w:val="21"/>
          <w:color w:val="auto"/>
        </w:rPr>
        <w:t>☐</w:t>
      </w:r>
      <w:r>
        <w:rPr>
          <w:rFonts w:ascii="Arial" w:cs="Arial" w:eastAsia="Arial" w:hAnsi="Arial"/>
          <w:sz w:val="14"/>
          <w:szCs w:val="14"/>
          <w:color w:val="auto"/>
        </w:rPr>
        <w:t xml:space="preserve"> may not be submitted via this method.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ind w:left="32"/>
              <w:spacing w:after="0"/>
              <w:rPr>
                <w:sz w:val="20"/>
                <w:szCs w:val="20"/>
                <w:color w:val="auto"/>
              </w:rPr>
            </w:pPr>
            <w:r>
              <w:rPr>
                <w:rFonts w:ascii="Arial" w:cs="Arial" w:eastAsia="Arial" w:hAnsi="Arial"/>
                <w:sz w:val="14"/>
                <w:szCs w:val="14"/>
                <w:color w:val="auto"/>
                <w:w w:val="93"/>
              </w:rPr>
              <w:t>ABSTAIN</w:t>
            </w:r>
          </w:p>
        </w:tc>
      </w:tr>
      <w:tr>
        <w:trPr>
          <w:trHeight w:val="222"/>
        </w:trPr>
        <w:tc>
          <w:tcPr>
            <w:tcW w:w="16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4780" w:type="dxa"/>
            <w:vAlign w:val="bottom"/>
          </w:tcPr>
          <w:p>
            <w:pPr>
              <w:ind w:left="40"/>
              <w:spacing w:after="0"/>
              <w:rPr>
                <w:sz w:val="20"/>
                <w:szCs w:val="20"/>
                <w:color w:val="auto"/>
              </w:rPr>
            </w:pPr>
            <w:r>
              <w:rPr>
                <w:rFonts w:ascii="Arial" w:cs="Arial" w:eastAsia="Arial" w:hAnsi="Arial"/>
                <w:sz w:val="14"/>
                <w:szCs w:val="14"/>
                <w:color w:val="auto"/>
                <w:w w:val="88"/>
              </w:rPr>
              <w:t>To approve an amendment of the 1998 Stock Option and Incentive Plan increasing the</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9"/>
        </w:trPr>
        <w:tc>
          <w:tcPr>
            <w:tcW w:w="160" w:type="dxa"/>
            <w:vAlign w:val="bottom"/>
          </w:tcPr>
          <w:p>
            <w:pPr>
              <w:spacing w:after="0"/>
              <w:rPr>
                <w:sz w:val="12"/>
                <w:szCs w:val="12"/>
                <w:color w:val="auto"/>
              </w:rPr>
            </w:pPr>
          </w:p>
        </w:tc>
        <w:tc>
          <w:tcPr>
            <w:tcW w:w="4780" w:type="dxa"/>
            <w:vAlign w:val="bottom"/>
          </w:tcPr>
          <w:p>
            <w:pPr>
              <w:ind w:left="60"/>
              <w:spacing w:after="0" w:line="149" w:lineRule="exact"/>
              <w:rPr>
                <w:sz w:val="20"/>
                <w:szCs w:val="20"/>
                <w:color w:val="auto"/>
              </w:rPr>
            </w:pPr>
            <w:r>
              <w:rPr>
                <w:rFonts w:ascii="Arial" w:cs="Arial" w:eastAsia="Arial" w:hAnsi="Arial"/>
                <w:sz w:val="14"/>
                <w:szCs w:val="14"/>
                <w:color w:val="auto"/>
                <w:w w:val="94"/>
              </w:rPr>
              <w:t>number of shares authorized for issuance under the plan and the sublimit on “full</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2"/>
        </w:trPr>
        <w:tc>
          <w:tcPr>
            <w:tcW w:w="160" w:type="dxa"/>
            <w:vAlign w:val="bottom"/>
          </w:tcPr>
          <w:p>
            <w:pPr>
              <w:spacing w:after="0"/>
              <w:rPr>
                <w:sz w:val="14"/>
                <w:szCs w:val="14"/>
                <w:color w:val="auto"/>
              </w:rPr>
            </w:pPr>
          </w:p>
        </w:tc>
        <w:tc>
          <w:tcPr>
            <w:tcW w:w="4780" w:type="dxa"/>
            <w:vAlign w:val="bottom"/>
          </w:tcPr>
          <w:p>
            <w:pPr>
              <w:ind w:left="60"/>
              <w:spacing w:after="0"/>
              <w:rPr>
                <w:sz w:val="20"/>
                <w:szCs w:val="20"/>
                <w:color w:val="auto"/>
              </w:rPr>
            </w:pPr>
            <w:r>
              <w:rPr>
                <w:rFonts w:ascii="Arial" w:cs="Arial" w:eastAsia="Arial" w:hAnsi="Arial"/>
                <w:sz w:val="14"/>
                <w:szCs w:val="14"/>
                <w:color w:val="auto"/>
                <w:w w:val="97"/>
              </w:rPr>
              <w:t>value” awards under the plan, in each case by 5,250,000 shares (Proposal II).</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81"/>
        </w:trPr>
        <w:tc>
          <w:tcPr>
            <w:tcW w:w="16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4780" w:type="dxa"/>
            <w:vAlign w:val="bottom"/>
          </w:tcPr>
          <w:p>
            <w:pPr>
              <w:ind w:left="40"/>
              <w:spacing w:after="0"/>
              <w:rPr>
                <w:sz w:val="20"/>
                <w:szCs w:val="20"/>
                <w:color w:val="auto"/>
              </w:rPr>
            </w:pPr>
            <w:r>
              <w:rPr>
                <w:rFonts w:ascii="Arial" w:cs="Arial" w:eastAsia="Arial" w:hAnsi="Arial"/>
                <w:sz w:val="14"/>
                <w:szCs w:val="14"/>
                <w:color w:val="auto"/>
                <w:w w:val="87"/>
              </w:rPr>
              <w:t>To approve an increase in the dividend rate under our quarterly cash dividend program</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4780" w:type="dxa"/>
            <w:vAlign w:val="bottom"/>
          </w:tcPr>
          <w:p>
            <w:pPr>
              <w:ind w:left="60"/>
              <w:spacing w:after="0"/>
              <w:rPr>
                <w:sz w:val="20"/>
                <w:szCs w:val="20"/>
                <w:color w:val="auto"/>
              </w:rPr>
            </w:pPr>
            <w:r>
              <w:rPr>
                <w:rFonts w:ascii="Arial" w:cs="Arial" w:eastAsia="Arial" w:hAnsi="Arial"/>
                <w:sz w:val="14"/>
                <w:szCs w:val="14"/>
                <w:color w:val="auto"/>
              </w:rPr>
              <w:t>from $0.195 per share to $0.22 per share (Proposal III).</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9"/>
        </w:trPr>
        <w:tc>
          <w:tcPr>
            <w:tcW w:w="16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4780" w:type="dxa"/>
            <w:vAlign w:val="bottom"/>
          </w:tcPr>
          <w:p>
            <w:pPr>
              <w:ind w:left="40"/>
              <w:spacing w:after="0"/>
              <w:rPr>
                <w:sz w:val="20"/>
                <w:szCs w:val="20"/>
                <w:color w:val="auto"/>
              </w:rPr>
            </w:pPr>
            <w:r>
              <w:rPr>
                <w:rFonts w:ascii="Arial" w:cs="Arial" w:eastAsia="Arial" w:hAnsi="Arial"/>
                <w:sz w:val="14"/>
                <w:szCs w:val="14"/>
                <w:color w:val="auto"/>
                <w:w w:val="87"/>
              </w:rPr>
              <w:t>To approve our Consolidated Financial Statements for the fiscal year ended September</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2"/>
        </w:trPr>
        <w:tc>
          <w:tcPr>
            <w:tcW w:w="160" w:type="dxa"/>
            <w:vAlign w:val="bottom"/>
          </w:tcPr>
          <w:p>
            <w:pPr>
              <w:spacing w:after="0"/>
              <w:rPr>
                <w:sz w:val="14"/>
                <w:szCs w:val="14"/>
                <w:color w:val="auto"/>
              </w:rPr>
            </w:pPr>
          </w:p>
        </w:tc>
        <w:tc>
          <w:tcPr>
            <w:tcW w:w="4780" w:type="dxa"/>
            <w:vAlign w:val="bottom"/>
          </w:tcPr>
          <w:p>
            <w:pPr>
              <w:ind w:left="60"/>
              <w:spacing w:after="0"/>
              <w:rPr>
                <w:sz w:val="20"/>
                <w:szCs w:val="20"/>
                <w:color w:val="auto"/>
              </w:rPr>
            </w:pPr>
            <w:r>
              <w:rPr>
                <w:rFonts w:ascii="Arial" w:cs="Arial" w:eastAsia="Arial" w:hAnsi="Arial"/>
                <w:sz w:val="14"/>
                <w:szCs w:val="14"/>
                <w:color w:val="auto"/>
              </w:rPr>
              <w:t>30, 2016 (Proposal IV).</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00"/>
        </w:trPr>
        <w:tc>
          <w:tcPr>
            <w:tcW w:w="160" w:type="dxa"/>
            <w:vAlign w:val="bottom"/>
          </w:tcPr>
          <w:p>
            <w:pPr>
              <w:jc w:val="right"/>
              <w:spacing w:after="0"/>
              <w:rPr>
                <w:sz w:val="20"/>
                <w:szCs w:val="20"/>
                <w:color w:val="auto"/>
              </w:rPr>
            </w:pPr>
            <w:r>
              <w:rPr>
                <w:rFonts w:ascii="Arial" w:cs="Arial" w:eastAsia="Arial" w:hAnsi="Arial"/>
                <w:sz w:val="12"/>
                <w:szCs w:val="12"/>
                <w:color w:val="auto"/>
                <w:w w:val="79"/>
              </w:rPr>
              <w:t>5.</w:t>
            </w:r>
          </w:p>
        </w:tc>
        <w:tc>
          <w:tcPr>
            <w:tcW w:w="4780" w:type="dxa"/>
            <w:vAlign w:val="bottom"/>
          </w:tcPr>
          <w:p>
            <w:pPr>
              <w:ind w:left="40"/>
              <w:spacing w:after="0"/>
              <w:rPr>
                <w:sz w:val="20"/>
                <w:szCs w:val="20"/>
                <w:color w:val="auto"/>
              </w:rPr>
            </w:pPr>
            <w:r>
              <w:rPr>
                <w:rFonts w:ascii="Arial" w:cs="Arial" w:eastAsia="Arial" w:hAnsi="Arial"/>
                <w:sz w:val="14"/>
                <w:szCs w:val="14"/>
                <w:color w:val="auto"/>
                <w:w w:val="94"/>
              </w:rPr>
              <w:t>To ratify and approve the appointment of Ernst &amp; Young LLP as our independent</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7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32"/>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61"/>
        </w:trPr>
        <w:tc>
          <w:tcPr>
            <w:tcW w:w="160" w:type="dxa"/>
            <w:vAlign w:val="bottom"/>
          </w:tcPr>
          <w:p>
            <w:pPr>
              <w:spacing w:after="0"/>
              <w:rPr>
                <w:sz w:val="13"/>
                <w:szCs w:val="13"/>
                <w:color w:val="auto"/>
              </w:rPr>
            </w:pPr>
          </w:p>
        </w:tc>
        <w:tc>
          <w:tcPr>
            <w:tcW w:w="4780" w:type="dxa"/>
            <w:vAlign w:val="bottom"/>
          </w:tcPr>
          <w:p>
            <w:pPr>
              <w:ind w:left="60"/>
              <w:spacing w:after="0"/>
              <w:rPr>
                <w:sz w:val="20"/>
                <w:szCs w:val="20"/>
                <w:color w:val="auto"/>
              </w:rPr>
            </w:pPr>
            <w:r>
              <w:rPr>
                <w:rFonts w:ascii="Arial" w:cs="Arial" w:eastAsia="Arial" w:hAnsi="Arial"/>
                <w:sz w:val="14"/>
                <w:szCs w:val="14"/>
                <w:color w:val="auto"/>
                <w:w w:val="90"/>
              </w:rPr>
              <w:t>registered public accounting firm for the fiscal year ending September 30, 2017, and</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ind w:left="220" w:right="2020"/>
        <w:spacing w:after="0" w:line="277" w:lineRule="auto"/>
        <w:rPr>
          <w:sz w:val="20"/>
          <w:szCs w:val="20"/>
          <w:color w:val="auto"/>
        </w:rPr>
      </w:pPr>
      <w:r>
        <w:rPr>
          <w:rFonts w:ascii="Arial" w:cs="Arial" w:eastAsia="Arial" w:hAnsi="Arial"/>
          <w:sz w:val="12"/>
          <w:szCs w:val="12"/>
          <w:color w:val="auto"/>
        </w:rPr>
        <w:t>until the next annual general meeting, and authorize the Audit Committee of the Board of Directors to fix the remuneration of such independent registered public accounting firm in accordance with the nature and extent of its services (Proposal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180"/>
        <w:spacing w:after="0" w:line="239" w:lineRule="auto"/>
        <w:rPr>
          <w:sz w:val="20"/>
          <w:szCs w:val="20"/>
          <w:color w:val="auto"/>
        </w:rPr>
      </w:pPr>
      <w:r>
        <w:rPr>
          <w:rFonts w:ascii="Arial" w:cs="Arial" w:eastAsia="Arial" w:hAnsi="Arial"/>
          <w:sz w:val="14"/>
          <w:szCs w:val="14"/>
          <w:color w:val="auto"/>
        </w:rPr>
        <w:t>Our shareholders will also act on such other business as may properly come before the annual general meeting.</w:t>
      </w:r>
    </w:p>
    <w:p>
      <w:pPr>
        <w:spacing w:after="0" w:line="58" w:lineRule="exact"/>
        <w:rPr>
          <w:sz w:val="20"/>
          <w:szCs w:val="20"/>
          <w:color w:val="auto"/>
        </w:rPr>
      </w:pPr>
    </w:p>
    <w:p>
      <w:pPr>
        <w:ind w:right="2080"/>
        <w:spacing w:after="0" w:line="288" w:lineRule="auto"/>
        <w:rPr>
          <w:sz w:val="20"/>
          <w:szCs w:val="20"/>
          <w:color w:val="auto"/>
        </w:rPr>
      </w:pPr>
      <w:r>
        <w:rPr>
          <w:rFonts w:ascii="Arial" w:cs="Arial" w:eastAsia="Arial" w:hAnsi="Arial"/>
          <w:sz w:val="12"/>
          <w:szCs w:val="12"/>
          <w:color w:val="auto"/>
        </w:rPr>
        <w:t>The Board of Directors has fixed the close of business on November 30, 2016 as the record date for the determination of our shareholders entitled to notice of, and to vote on the matters proposed at, the annual general meeting and any adjournments thereof.</w:t>
      </w:r>
    </w:p>
    <w:p>
      <w:pPr>
        <w:spacing w:after="0" w:line="1" w:lineRule="exact"/>
        <w:rPr>
          <w:sz w:val="20"/>
          <w:szCs w:val="20"/>
          <w:color w:val="auto"/>
        </w:rPr>
      </w:pPr>
    </w:p>
    <w:p>
      <w:pPr>
        <w:sectPr>
          <w:pgSz w:w="11900" w:h="16838" w:orient="portrait"/>
          <w:cols w:equalWidth="0" w:num="2">
            <w:col w:w="4300" w:space="280"/>
            <w:col w:w="6860"/>
          </w:cols>
          <w:pgMar w:left="240" w:top="274" w:right="21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1980" w:type="dxa"/>
            <w:vAlign w:val="bottom"/>
            <w:tcBorders>
              <w:right w:val="single" w:sz="8" w:color="auto"/>
            </w:tcBorders>
            <w:gridSpan w:val="2"/>
          </w:tcPr>
          <w:p>
            <w:pPr>
              <w:spacing w:after="0" w:line="156" w:lineRule="exact"/>
              <w:rPr>
                <w:sz w:val="20"/>
                <w:szCs w:val="20"/>
                <w:color w:val="auto"/>
              </w:rPr>
            </w:pPr>
            <w:r>
              <w:rPr>
                <w:rFonts w:ascii="Arial" w:cs="Arial" w:eastAsia="Arial" w:hAnsi="Arial"/>
                <w:sz w:val="14"/>
                <w:szCs w:val="14"/>
                <w:color w:val="auto"/>
              </w:rPr>
              <w:t>Signature of Shareholder</w:t>
            </w:r>
          </w:p>
        </w:tc>
        <w:tc>
          <w:tcPr>
            <w:tcW w:w="2620" w:type="dxa"/>
            <w:vAlign w:val="bottom"/>
            <w:tcBorders>
              <w:top w:val="single" w:sz="8" w:color="auto"/>
              <w:bottom w:val="single" w:sz="8" w:color="auto"/>
              <w:right w:val="single" w:sz="8" w:color="auto"/>
            </w:tcBorders>
          </w:tcPr>
          <w:p>
            <w:pPr>
              <w:spacing w:after="0"/>
              <w:rPr>
                <w:sz w:val="13"/>
                <w:szCs w:val="13"/>
                <w:color w:val="auto"/>
              </w:rPr>
            </w:pPr>
          </w:p>
        </w:tc>
        <w:tc>
          <w:tcPr>
            <w:tcW w:w="48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4"/>
                <w:szCs w:val="14"/>
                <w:color w:val="auto"/>
              </w:rPr>
              <w:t>Date:</w:t>
            </w:r>
          </w:p>
        </w:tc>
        <w:tc>
          <w:tcPr>
            <w:tcW w:w="920" w:type="dxa"/>
            <w:vAlign w:val="bottom"/>
            <w:tcBorders>
              <w:top w:val="single" w:sz="8" w:color="auto"/>
              <w:bottom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4"/>
                <w:szCs w:val="14"/>
                <w:color w:val="auto"/>
              </w:rPr>
              <w:t>Signature of Shareholder</w:t>
            </w:r>
          </w:p>
        </w:tc>
        <w:tc>
          <w:tcPr>
            <w:tcW w:w="2380" w:type="dxa"/>
            <w:vAlign w:val="bottom"/>
            <w:tcBorders>
              <w:top w:val="single" w:sz="8" w:color="auto"/>
              <w:bottom w:val="single" w:sz="8" w:color="auto"/>
              <w:right w:val="single" w:sz="8" w:color="auto"/>
            </w:tcBorders>
          </w:tcPr>
          <w:p>
            <w:pPr>
              <w:spacing w:after="0"/>
              <w:rPr>
                <w:sz w:val="13"/>
                <w:szCs w:val="13"/>
                <w:color w:val="auto"/>
              </w:rPr>
            </w:pPr>
          </w:p>
        </w:tc>
        <w:tc>
          <w:tcPr>
            <w:tcW w:w="46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4"/>
                <w:szCs w:val="14"/>
                <w:color w:val="auto"/>
                <w:w w:val="95"/>
              </w:rPr>
              <w:t>Date:</w:t>
            </w:r>
          </w:p>
        </w:tc>
        <w:tc>
          <w:tcPr>
            <w:tcW w:w="6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Note:</w:t>
            </w:r>
          </w:p>
        </w:tc>
        <w:tc>
          <w:tcPr>
            <w:tcW w:w="10500" w:type="dxa"/>
            <w:vAlign w:val="bottom"/>
            <w:gridSpan w:val="8"/>
          </w:tcPr>
          <w:p>
            <w:pPr>
              <w:ind w:left="140"/>
              <w:spacing w:after="0" w:line="158" w:lineRule="exact"/>
              <w:rPr>
                <w:sz w:val="20"/>
                <w:szCs w:val="20"/>
                <w:color w:val="auto"/>
              </w:rPr>
            </w:pPr>
            <w:r>
              <w:rPr>
                <w:rFonts w:ascii="Arial" w:cs="Arial" w:eastAsia="Arial" w:hAnsi="Arial"/>
                <w:sz w:val="14"/>
                <w:szCs w:val="14"/>
                <w:color w:val="auto"/>
                <w:w w:val="87"/>
              </w:rPr>
              <w:t>Please sign exactly as your name or names appear on this Proxy. When shares are held jointly, each holder should sign. When signing as executor, administrator, attorney, trustee or guardian,</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0500" w:type="dxa"/>
            <w:vAlign w:val="bottom"/>
            <w:gridSpan w:val="8"/>
          </w:tcPr>
          <w:p>
            <w:pPr>
              <w:ind w:left="140"/>
              <w:spacing w:after="0" w:line="149" w:lineRule="exact"/>
              <w:rPr>
                <w:sz w:val="20"/>
                <w:szCs w:val="20"/>
                <w:color w:val="auto"/>
              </w:rPr>
            </w:pPr>
            <w:r>
              <w:rPr>
                <w:rFonts w:ascii="Arial" w:cs="Arial" w:eastAsia="Arial" w:hAnsi="Arial"/>
                <w:sz w:val="14"/>
                <w:szCs w:val="14"/>
                <w:color w:val="auto"/>
                <w:w w:val="93"/>
              </w:rPr>
              <w:t>please give full title as such. If the signer is a corporation, please sign full corporate name by duly authorized officer, giving full title as such. If signer is a partnership, please sign in</w:t>
            </w:r>
          </w:p>
        </w:tc>
        <w:tc>
          <w:tcPr>
            <w:tcW w:w="26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3"/>
        </w:trPr>
        <w:tc>
          <w:tcPr>
            <w:tcW w:w="680" w:type="dxa"/>
            <w:vAlign w:val="bottom"/>
            <w:vMerge w:val="continue"/>
          </w:tcPr>
          <w:p>
            <w:pPr>
              <w:spacing w:after="0"/>
              <w:rPr>
                <w:sz w:val="16"/>
                <w:szCs w:val="16"/>
                <w:color w:val="auto"/>
              </w:rPr>
            </w:pPr>
          </w:p>
        </w:tc>
        <w:tc>
          <w:tcPr>
            <w:tcW w:w="3920" w:type="dxa"/>
            <w:vAlign w:val="bottom"/>
            <w:gridSpan w:val="2"/>
          </w:tcPr>
          <w:p>
            <w:pPr>
              <w:ind w:left="140"/>
              <w:spacing w:after="0"/>
              <w:rPr>
                <w:sz w:val="20"/>
                <w:szCs w:val="20"/>
                <w:color w:val="auto"/>
              </w:rPr>
            </w:pPr>
            <w:r>
              <w:rPr>
                <w:rFonts w:ascii="Arial" w:cs="Arial" w:eastAsia="Arial" w:hAnsi="Arial"/>
                <w:sz w:val="14"/>
                <w:szCs w:val="14"/>
                <w:color w:val="auto"/>
              </w:rPr>
              <w:t>partnership name by authorized person.</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17" w:lineRule="exact"/>
        <w:rPr>
          <w:sz w:val="20"/>
          <w:szCs w:val="20"/>
          <w:color w:val="auto"/>
        </w:rPr>
      </w:pPr>
    </w:p>
    <w:tbl>
      <w:tblPr>
        <w:tblLayout w:type="fixed"/>
        <w:tblInd w:w="7200" w:type="dxa"/>
        <w:tblCellMar>
          <w:top w:w="0" w:type="dxa"/>
          <w:left w:w="0" w:type="dxa"/>
          <w:bottom w:w="0" w:type="dxa"/>
          <w:right w:w="0" w:type="dxa"/>
        </w:tblCellMar>
      </w:tblPr>
      <w:tr>
        <w:trPr>
          <w:trHeight w:val="215"/>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Matthew E. Smith</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100"/>
              <w:spacing w:after="0"/>
              <w:rPr>
                <w:sz w:val="20"/>
                <w:szCs w:val="20"/>
                <w:color w:val="auto"/>
              </w:rPr>
            </w:pPr>
            <w:r>
              <w:rPr>
                <w:rFonts w:ascii="Arial" w:cs="Arial" w:eastAsia="Arial" w:hAnsi="Arial"/>
                <w:sz w:val="18"/>
                <w:szCs w:val="18"/>
                <w:color w:val="auto"/>
              </w:rPr>
              <w:t>Secretary and Authorized Signatory</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2016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64"/>
    </w:lvl>
  </w:abstractNum>
  <w:abstractNum w:abstractNumId="6">
    <w:nsid w:val="257130A3"/>
    <w:multiLevelType w:val="hybridMultilevel"/>
    <w:lvl w:ilvl="0">
      <w:lvlJc w:val="left"/>
      <w:lvlText w:val="%1"/>
      <w:numFmt w:val="decimal"/>
      <w:start w:val="54"/>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5">
    <w:nsid w:val="75A2A8D4"/>
    <w:multiLevelType w:val="hybridMultilevel"/>
    <w:lvl w:ilvl="0">
      <w:lvlJc w:val="left"/>
      <w:lvlText w:val="%1"/>
      <w:numFmt w:val="decimal"/>
      <w:start w:val="1"/>
    </w:lvl>
    <w:lvl w:ilvl="1">
      <w:lvlJc w:val="left"/>
      <w:lvlText w:val="(%2)"/>
      <w:numFmt w:val="lowerLetter"/>
      <w:start w:val="7"/>
    </w:lvl>
  </w:abstractNum>
  <w:abstractNum w:abstractNumId="16">
    <w:nsid w:val="8EDBDAB"/>
    <w:multiLevelType w:val="hybridMultilevel"/>
    <w:lvl w:ilvl="0">
      <w:lvlJc w:val="left"/>
      <w:lvlText w:val="%1."/>
      <w:numFmt w:val="decimal"/>
      <w:start w:val="3"/>
    </w:lvl>
    <w:lvl w:ilvl="1">
      <w:lvlJc w:val="left"/>
      <w:lvlText w:val="%2"/>
      <w:numFmt w:val="lowerLetter"/>
      <w:start w:val="1"/>
    </w:lvl>
  </w:abstractNum>
  <w:abstractNum w:abstractNumId="17">
    <w:nsid w:val="79838CB2"/>
    <w:multiLevelType w:val="hybridMultilevel"/>
    <w:lvl w:ilvl="0">
      <w:lvlJc w:val="left"/>
      <w:lvlText w:val="%1."/>
      <w:numFmt w:val="decimal"/>
      <w:start w:val="6"/>
    </w:lvl>
    <w:lvl w:ilvl="1">
      <w:lvlJc w:val="left"/>
      <w:lvlText w:val="(%2)"/>
      <w:numFmt w:val="lowerLetter"/>
      <w:start w:val="1"/>
    </w:lvl>
  </w:abstractNum>
  <w:abstractNum w:abstractNumId="18">
    <w:nsid w:val="4353D0CD"/>
    <w:multiLevelType w:val="hybridMultilevel"/>
    <w:lvl w:ilvl="0">
      <w:lvlJc w:val="left"/>
      <w:lvlText w:val="(%1)"/>
      <w:numFmt w:val="lowerLetter"/>
      <w:start w:val="6"/>
    </w:lvl>
  </w:abstractNum>
  <w:abstractNum w:abstractNumId="19">
    <w:nsid w:val="B03E0C6"/>
    <w:multiLevelType w:val="hybridMultilevel"/>
    <w:lvl w:ilvl="0">
      <w:lvlJc w:val="left"/>
      <w:lvlText w:val="(%1)"/>
      <w:numFmt w:val="lowerLetter"/>
      <w:start w:val="7"/>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1."/>
      <w:numFmt w:val="decimal"/>
      <w:start w:val="8"/>
    </w:lvl>
    <w:lvl w:ilvl="1">
      <w:lvlJc w:val="left"/>
      <w:lvlText w:val="(%2)"/>
      <w:numFmt w:val="lowerLetter"/>
      <w:start w:val="1"/>
    </w:lvl>
  </w:abstractNum>
  <w:abstractNum w:abstractNumId="22">
    <w:nsid w:val="71F32454"/>
    <w:multiLevelType w:val="hybridMultilevel"/>
    <w:lvl w:ilvl="0">
      <w:lvlJc w:val="left"/>
      <w:lvlText w:val="(%1)"/>
      <w:numFmt w:val="lowerRoman"/>
      <w:start w:val="2"/>
    </w:lvl>
  </w:abstractNum>
  <w:abstractNum w:abstractNumId="23">
    <w:nsid w:val="2CA88611"/>
    <w:multiLevelType w:val="hybridMultilevel"/>
    <w:lvl w:ilvl="0">
      <w:lvlJc w:val="left"/>
      <w:lvlText w:val="(%1)"/>
      <w:numFmt w:val="lowerLetter"/>
      <w:start w:val="3"/>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Roman"/>
      <w:start w:val="1"/>
    </w:lvl>
  </w:abstractNum>
  <w:abstractNum w:abstractNumId="26">
    <w:nsid w:val="3A95F874"/>
    <w:multiLevelType w:val="hybridMultilevel"/>
    <w:lvl w:ilvl="0">
      <w:lvlJc w:val="left"/>
      <w:lvlText w:val="%1."/>
      <w:numFmt w:val="decimal"/>
      <w:start w:val="10"/>
    </w:lvl>
    <w:lvl w:ilvl="1">
      <w:lvlJc w:val="left"/>
      <w:lvlText w:val="(%2)"/>
      <w:numFmt w:val="lowerLetter"/>
      <w:start w:val="1"/>
    </w:lvl>
  </w:abstractNum>
  <w:abstractNum w:abstractNumId="27">
    <w:nsid w:val="8138641"/>
    <w:multiLevelType w:val="hybridMultilevel"/>
    <w:lvl w:ilvl="0">
      <w:lvlJc w:val="left"/>
      <w:lvlText w:val="(%1)"/>
      <w:numFmt w:val="lowerLetter"/>
      <w:start w:val="2"/>
    </w:lvl>
    <w:lvl w:ilvl="1">
      <w:lvlJc w:val="left"/>
      <w:lvlText w:val="(%2)"/>
      <w:numFmt w:val="lowerRoman"/>
      <w:start w:val="1"/>
    </w:lvl>
  </w:abstractNum>
  <w:abstractNum w:abstractNumId="28">
    <w:nsid w:val="1E7FF521"/>
    <w:multiLevelType w:val="hybridMultilevel"/>
    <w:lvl w:ilvl="0">
      <w:lvlJc w:val="left"/>
      <w:lvlText w:val="%1"/>
      <w:numFmt w:val="decimal"/>
      <w:start w:val="1"/>
    </w:lvl>
    <w:lvl w:ilvl="1">
      <w:lvlJc w:val="left"/>
      <w:lvlText w:val="(%2)"/>
      <w:numFmt w:val="lowerLetter"/>
      <w:start w:val="3"/>
    </w:lvl>
  </w:abstractNum>
  <w:abstractNum w:abstractNumId="29">
    <w:nsid w:val="7C3DBD3D"/>
    <w:multiLevelType w:val="hybridMultilevel"/>
    <w:lvl w:ilvl="0">
      <w:lvlJc w:val="left"/>
      <w:lvlText w:val="%1."/>
      <w:numFmt w:val="decimal"/>
      <w:start w:val="11"/>
    </w:lvl>
    <w:lvl w:ilvl="1">
      <w:lvlJc w:val="left"/>
      <w:lvlText w:val="%2"/>
      <w:numFmt w:val="lowerLetter"/>
      <w:start w:val="1"/>
    </w:lvl>
  </w:abstractNum>
  <w:abstractNum w:abstractNumId="30">
    <w:nsid w:val="737B8DDC"/>
    <w:multiLevelType w:val="hybridMultilevel"/>
    <w:lvl w:ilvl="0">
      <w:lvlJc w:val="left"/>
      <w:lvlText w:val="%1."/>
      <w:numFmt w:val="decimal"/>
      <w:start w:val="13"/>
    </w:lvl>
  </w:abstractNum>
  <w:abstractNum w:abstractNumId="31">
    <w:nsid w:val="6CEAF087"/>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2019-12-06T22:27:45Z</dcterms:created>
  <dcterms:modified xsi:type="dcterms:W3CDTF">2019-12-06T22:27:45Z</dcterms:modified>
</cp:coreProperties>
</file>