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July, 2010</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103"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80"/>
        <w:spacing w:after="0" w:line="207" w:lineRule="exact"/>
        <w:tabs>
          <w:tab w:leader="none" w:pos="6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00"/>
        <w:spacing w:after="0" w:line="207" w:lineRule="exact"/>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659765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220" w:firstLine="225"/>
        <w:spacing w:after="0" w:line="277" w:lineRule="auto"/>
        <w:rPr>
          <w:sz w:val="20"/>
          <w:szCs w:val="20"/>
          <w:color w:val="auto"/>
        </w:rPr>
      </w:pPr>
      <w:r>
        <w:rPr>
          <w:rFonts w:ascii="Arial" w:cs="Arial" w:eastAsia="Arial" w:hAnsi="Arial"/>
          <w:sz w:val="18"/>
          <w:szCs w:val="18"/>
          <w:color w:val="auto"/>
        </w:rPr>
        <w:t>On July 21, 2010, Amdocs Limited (“Amdocs”) issued a press release announcing financial results for the quarter ended June 30, 2010.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044"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76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Authorized U.S. Representative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July 21, 2010.</w:t>
      </w:r>
    </w:p>
    <w:p>
      <w:pPr>
        <w:sectPr>
          <w:pgSz w:w="11900" w:h="16838" w:orient="portrait"/>
          <w:cols w:equalWidth="0" w:num="1">
            <w:col w:w="10219"/>
          </w:cols>
          <w:pgMar w:left="240" w:top="96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-130175</wp:posOffset>
            </wp:positionV>
            <wp:extent cx="123507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2489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$753 Million, up 9.1% YoY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Repurchases $209 Million of Ordinary Shares in Third Fiscal Quarter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660" w:right="76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fiscal quarter revenue of $753 million, compared to the $750-$765 million guidance range. Foreign currency movements negatively impacted revenue by approximately $5 million subsequent to the issuance of guidance in April 2010</w:t>
      </w:r>
    </w:p>
    <w:p>
      <w:pPr>
        <w:spacing w:after="0" w:line="102" w:lineRule="exact"/>
        <w:rPr>
          <w:rFonts w:ascii="Arial" w:cs="Arial" w:eastAsia="Arial" w:hAnsi="Arial"/>
          <w:sz w:val="18"/>
          <w:szCs w:val="18"/>
          <w:b w:val="1"/>
          <w:bCs w:val="1"/>
          <w:color w:val="auto"/>
        </w:rPr>
      </w:pPr>
    </w:p>
    <w:p>
      <w:pPr>
        <w:ind w:left="660" w:right="82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non-GAAP operating income of $138 million; non-GAAP operating margin of 18.3%; GAAP operating income of $105 million</w:t>
      </w:r>
    </w:p>
    <w:p>
      <w:pPr>
        <w:spacing w:after="0" w:line="102" w:lineRule="exact"/>
        <w:rPr>
          <w:rFonts w:ascii="Arial" w:cs="Arial" w:eastAsia="Arial" w:hAnsi="Arial"/>
          <w:sz w:val="18"/>
          <w:szCs w:val="18"/>
          <w:b w:val="1"/>
          <w:bCs w:val="1"/>
          <w:color w:val="auto"/>
        </w:rPr>
      </w:pPr>
    </w:p>
    <w:p>
      <w:pPr>
        <w:ind w:left="660" w:right="44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diluted non-GAAP EPS of $0.58, excluding amortization of purchased intangible assets and other acquisition related costs, loss from divestiture of a subsidiary, and equity-based compensation expense, net of related tax effects, compared to the $0.55-$0.58 guidance range</w:t>
      </w:r>
    </w:p>
    <w:p>
      <w:pPr>
        <w:spacing w:after="0" w:line="108"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$0.45 for the third quarter, compared to the $0.41-$0.46 guidance range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$160 million for the third quarter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Twelve-month backlog of $2.47 billion at the end of the third quarter, up $10 million from the end of the second quarter of 2010</w:t>
      </w:r>
    </w:p>
    <w:p>
      <w:pPr>
        <w:spacing w:after="0" w:line="11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fiscal quarter of 2010 guidance: Expected revenue of approximately $755-$770 million and diluted non-GAAP EPS of</w:t>
      </w: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$0.57-$0.60, excluding acquisition-related costs and approximately $0.04-$0.05 per share of equity-based compensation expense, net of related tax effects. Diluted GAAP EPS is expected to be approximately $0.44-$0.49</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Repurchased $209 million of ordinary shares during third quarter</w:t>
      </w:r>
    </w:p>
    <w:p>
      <w:pPr>
        <w:spacing w:after="0" w:line="8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 xml:space="preserve">St. Louis, MO – July 21, 2010 </w:t>
      </w:r>
      <w:r>
        <w:rPr>
          <w:rFonts w:ascii="Arial" w:cs="Arial" w:eastAsia="Arial" w:hAnsi="Arial"/>
          <w:sz w:val="18"/>
          <w:szCs w:val="18"/>
          <w:color w:val="auto"/>
        </w:rPr>
        <w:t>– Amdocs Limited (NYSE: DOX) today reported that for its third fiscal quarter of 2010 ended June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was $753.2 million, up 1.2% sequentially from the second fiscal quarter of 2010 and up 9.1% as compared to last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third fiscal quarter. Net income on a non-GAAP basis was $119.4 million, or $0.58 per diluted share, compared to non-GAAP net income of</w:t>
      </w:r>
    </w:p>
    <w:p>
      <w:pPr>
        <w:spacing w:after="0" w:line="234" w:lineRule="auto"/>
        <w:rPr>
          <w:sz w:val="20"/>
          <w:szCs w:val="20"/>
          <w:color w:val="auto"/>
        </w:rPr>
      </w:pPr>
      <w:r>
        <w:rPr>
          <w:rFonts w:ascii="Arial" w:cs="Arial" w:eastAsia="Arial" w:hAnsi="Arial"/>
          <w:sz w:val="18"/>
          <w:szCs w:val="18"/>
          <w:color w:val="auto"/>
        </w:rPr>
        <w:t>$108.6 million, or $0.53 per diluted share, in the third quarter of fiscal 2009. Non-GAAP net income excludes amortization of purchased</w:t>
      </w:r>
    </w:p>
    <w:p>
      <w:pPr>
        <w:spacing w:after="0" w:line="235" w:lineRule="auto"/>
        <w:rPr>
          <w:sz w:val="20"/>
          <w:szCs w:val="20"/>
          <w:color w:val="auto"/>
        </w:rPr>
      </w:pPr>
      <w:r>
        <w:rPr>
          <w:rFonts w:ascii="Arial" w:cs="Arial" w:eastAsia="Arial" w:hAnsi="Arial"/>
          <w:sz w:val="18"/>
          <w:szCs w:val="18"/>
          <w:color w:val="auto"/>
        </w:rPr>
        <w:t>intangible assets and other acquisition related costs, loss from divestiture of a subsidiary and equity-based compensation expense of</w:t>
      </w:r>
    </w:p>
    <w:p>
      <w:pPr>
        <w:spacing w:after="0" w:line="235" w:lineRule="auto"/>
        <w:rPr>
          <w:sz w:val="20"/>
          <w:szCs w:val="20"/>
          <w:color w:val="auto"/>
        </w:rPr>
      </w:pPr>
      <w:r>
        <w:rPr>
          <w:rFonts w:ascii="Arial" w:cs="Arial" w:eastAsia="Arial" w:hAnsi="Arial"/>
          <w:sz w:val="18"/>
          <w:szCs w:val="18"/>
          <w:color w:val="auto"/>
        </w:rPr>
        <w:t>$27.1 million, net of related tax effects, in the third quarter of fiscal 2010 and excludes such amortization, and equity-based compensation</w:t>
      </w:r>
    </w:p>
    <w:p>
      <w:pPr>
        <w:spacing w:after="0" w:line="235" w:lineRule="auto"/>
        <w:rPr>
          <w:sz w:val="20"/>
          <w:szCs w:val="20"/>
          <w:color w:val="auto"/>
        </w:rPr>
      </w:pPr>
      <w:r>
        <w:rPr>
          <w:rFonts w:ascii="Arial" w:cs="Arial" w:eastAsia="Arial" w:hAnsi="Arial"/>
          <w:sz w:val="18"/>
          <w:szCs w:val="18"/>
          <w:color w:val="auto"/>
        </w:rPr>
        <w:t>expense of $23.0 million, net of related tax effects, in the third quarter of fiscal 2009. The Company’s GAAP net income for the third quarter of</w:t>
      </w:r>
    </w:p>
    <w:p>
      <w:pPr>
        <w:spacing w:after="0" w:line="235" w:lineRule="auto"/>
        <w:rPr>
          <w:sz w:val="20"/>
          <w:szCs w:val="20"/>
          <w:color w:val="auto"/>
        </w:rPr>
      </w:pPr>
      <w:r>
        <w:rPr>
          <w:rFonts w:ascii="Arial" w:cs="Arial" w:eastAsia="Arial" w:hAnsi="Arial"/>
          <w:sz w:val="18"/>
          <w:szCs w:val="18"/>
          <w:color w:val="auto"/>
        </w:rPr>
        <w:t>fiscal 2010 was $92.3 million, or $0.45 per diluted share, compared to GAAP net income of $85.5 million, or $0.42 per diluted share, in the prior</w:t>
      </w:r>
    </w:p>
    <w:p>
      <w:pPr>
        <w:spacing w:after="0"/>
        <w:rPr>
          <w:sz w:val="20"/>
          <w:szCs w:val="20"/>
          <w:color w:val="auto"/>
        </w:rPr>
      </w:pPr>
      <w:r>
        <w:rPr>
          <w:rFonts w:ascii="Arial" w:cs="Arial" w:eastAsia="Arial" w:hAnsi="Arial"/>
          <w:sz w:val="18"/>
          <w:szCs w:val="18"/>
          <w:color w:val="auto"/>
        </w:rPr>
        <w:t>year’s third quarter.</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pleased with our third quarter results as they reflected solid market demand and a strong competitive win rate. We have gained traction in the marketplace with our CES 8 product portfolio and, in particular, our TurboCharging offering, driving customer preference for Amdocs solutions. We are also increasingly confident in Amdocs’ position in the emerging markets where service provider requirements for customer experience systems are becoming more sophisticated. In addition to new project activity, our managed services business continues to produce a very solid foundation of visibility and growth for the company, demonstrated again today by the extension of our relationships with our two largest directory customers, AT&amp;T and Sensis,” said Dov Baharav, chief executive officer of Amdocs Management Limited.</w:t>
      </w:r>
    </w:p>
    <w:p>
      <w:pPr>
        <w:spacing w:after="0" w:line="97" w:lineRule="exact"/>
        <w:rPr>
          <w:sz w:val="20"/>
          <w:szCs w:val="20"/>
          <w:color w:val="auto"/>
        </w:rPr>
      </w:pPr>
    </w:p>
    <w:p>
      <w:pPr>
        <w:jc w:val="both"/>
        <w:ind w:right="220"/>
        <w:spacing w:after="0" w:line="255" w:lineRule="auto"/>
        <w:rPr>
          <w:sz w:val="20"/>
          <w:szCs w:val="20"/>
          <w:color w:val="auto"/>
        </w:rPr>
      </w:pPr>
      <w:r>
        <w:rPr>
          <w:rFonts w:ascii="Arial" w:cs="Arial" w:eastAsia="Arial" w:hAnsi="Arial"/>
          <w:sz w:val="17"/>
          <w:szCs w:val="17"/>
          <w:color w:val="auto"/>
        </w:rPr>
        <w:t>Baharav concluded, “While we are encouraged with the level of activity in North America and the emerging markets, we are marginally more cautious on our European business given our third fiscal quarter results in Europe and relatively weaker spending trends in the region. As a result, our fourth quarter revenue outlook is for $755-$770 million which, at the lower end, is slightly below our previous expectation of 1-2% sequential growth. However, reflecting high confidence in our future performance, we repurchased $ 209 million of our ordinary shares during the third quarter and continue to maintain a very strong financial and strategic position to pursue the market opportunities ahead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Discussion of Third Fiscal Quarter Results</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Free cash flow was $160 million for the quarter, comprised of cash flow from operations of $179 million less approximately $19 million in net capital expenditures and other.</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$2.47 billion at the end of the third quarter of fiscal 2010.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Amdocs expects that revenue for the fourth quarter of fiscal 2010 will be approximately $755-$770 million. Amdocs expects diluted earnings per share on a non-GAAP basis for the fourth quarter to be $ 0.57-$0.60, excluding acquisition-related costs and approximately $ 0.04-$0.05 per share of equity-based compensation expense, net of related tax effects. Amdocs estimates GAAP diluted earnings per share for the fourth quarter will be $0.44-$0.49.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Amdocs will host a conference call on July 21, 2010 at 5 p.m. Eastern Time to discuss the Company’s third quarter results. The call will be carried live on the Internet via the Amdocs website, www.amdocs.com.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income (expense), net, non-GAAP income taxes and non-GAAP net income. These non-GAAP measures exclude the following items:</w:t>
      </w:r>
    </w:p>
    <w:p>
      <w:pPr>
        <w:spacing w:after="0" w:line="94"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from divestiture of a subsidiary;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7" w:name="page8"/>
    <w:bookmarkEnd w:id="7"/>
    <w:p>
      <w:pPr>
        <w:ind w:right="10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income (expense), net,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loss from divestiture of a subsidiary,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57" w:right="299" w:bottom="1440" w:gutter="0" w:footer="0" w:header="0"/>
        </w:sectPr>
      </w:pPr>
    </w:p>
    <w:bookmarkStart w:id="8" w:name="page9"/>
    <w:bookmarkEnd w:id="8"/>
    <w:p>
      <w:pPr>
        <w:ind w:right="40"/>
        <w:spacing w:after="0"/>
        <w:rPr>
          <w:sz w:val="20"/>
          <w:szCs w:val="20"/>
          <w:color w:val="auto"/>
        </w:rPr>
      </w:pPr>
      <w:r>
        <w:rPr>
          <w:rFonts w:ascii="Arial" w:cs="Arial" w:eastAsia="Arial" w:hAnsi="Arial"/>
          <w:sz w:val="18"/>
          <w:szCs w:val="18"/>
          <w:color w:val="auto"/>
        </w:rPr>
        <w:t>the Consolidated Statements of Income (including cost of service, research and development, selling, general and administrative, operating income, interest and other income (expense), net, income taxes and net income), it is useful to investors to understand how these specific line items in the Consolidated Statements of Income are affected by these adjustments.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$2.86 billion in fiscal 2009, Amdocs has over 18,000 employees and serves customers in more than 60 countries worldwide. 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9" w:name="page10"/>
    <w:bookmarkEnd w:id="9"/>
    <w:p>
      <w:pPr>
        <w:spacing w:after="0" w:line="246" w:lineRule="auto"/>
        <w:rPr>
          <w:sz w:val="20"/>
          <w:szCs w:val="20"/>
          <w:color w:val="auto"/>
        </w:rPr>
      </w:pPr>
      <w:r>
        <w:rPr>
          <w:rFonts w:ascii="Arial" w:cs="Arial" w:eastAsia="Arial" w:hAnsi="Arial"/>
          <w:sz w:val="18"/>
          <w:szCs w:val="18"/>
          <w:color w:val="auto"/>
        </w:rPr>
        <w:t>Securities and Exchange Commission, including in our Annual Report on Form 20-F for the fiscal year ended September 30, 2009 filed on December 7, 2009 and in our quarterly 6-Ks filed February 8, 2010 and May 13, 2010.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234" w:lineRule="auto"/>
        <w:rPr>
          <w:sz w:val="20"/>
          <w:szCs w:val="20"/>
          <w:color w:val="auto"/>
        </w:rPr>
      </w:pPr>
      <w:r>
        <w:rPr>
          <w:rFonts w:ascii="Arial" w:cs="Arial" w:eastAsia="Arial" w:hAnsi="Arial"/>
          <w:sz w:val="18"/>
          <w:szCs w:val="18"/>
          <w:color w:val="auto"/>
        </w:rPr>
        <w:t>Vice President of Investor Relations</w:t>
      </w:r>
    </w:p>
    <w:p>
      <w:pPr>
        <w:spacing w:after="0" w:line="235" w:lineRule="auto"/>
        <w:rPr>
          <w:sz w:val="20"/>
          <w:szCs w:val="20"/>
          <w:color w:val="auto"/>
        </w:rPr>
      </w:pPr>
      <w:r>
        <w:rPr>
          <w:rFonts w:ascii="Arial" w:cs="Arial" w:eastAsia="Arial" w:hAnsi="Arial"/>
          <w:sz w:val="18"/>
          <w:szCs w:val="18"/>
          <w:color w:val="auto"/>
        </w:rPr>
        <w:t>Amdocs</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49" w:right="6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25,592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26,075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75,691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8"/>
              </w:rPr>
              <w:t>727,657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664,190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9"/>
              </w:rPr>
              <w:t>2,146,338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2,047,309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8"/>
              <w:spacing w:after="0"/>
              <w:rPr>
                <w:sz w:val="20"/>
                <w:szCs w:val="20"/>
                <w:color w:val="auto"/>
              </w:rPr>
            </w:pPr>
            <w:r>
              <w:rPr>
                <w:rFonts w:ascii="Arial" w:cs="Arial" w:eastAsia="Arial" w:hAnsi="Arial"/>
                <w:sz w:val="18"/>
                <w:szCs w:val="18"/>
                <w:color w:val="auto"/>
                <w:w w:val="98"/>
              </w:rPr>
              <w:t>753,249</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690,265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w w:val="99"/>
              </w:rPr>
              <w:t>2,222,029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2,155,188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7"/>
                <w:szCs w:val="17"/>
                <w:color w:val="auto"/>
              </w:rPr>
            </w:pPr>
          </w:p>
        </w:tc>
        <w:tc>
          <w:tcPr>
            <w:tcW w:w="130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459</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1,646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8"/>
              </w:rPr>
              <w:t>480,074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441,777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9"/>
              </w:rPr>
              <w:t>1,417,729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1,381,825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30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52,253</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51,134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153,549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160,113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93,446</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81,732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277,054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7"/>
                <w:szCs w:val="17"/>
                <w:color w:val="auto"/>
              </w:rPr>
            </w:pPr>
          </w:p>
        </w:tc>
        <w:tc>
          <w:tcPr>
            <w:tcW w:w="130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21,748</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21,839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64,506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8"/>
              <w:spacing w:after="0"/>
              <w:rPr>
                <w:sz w:val="20"/>
                <w:szCs w:val="20"/>
                <w:color w:val="auto"/>
              </w:rPr>
            </w:pPr>
            <w:r>
              <w:rPr>
                <w:rFonts w:ascii="Arial" w:cs="Arial" w:eastAsia="Arial" w:hAnsi="Arial"/>
                <w:sz w:val="18"/>
                <w:szCs w:val="18"/>
                <w:color w:val="auto"/>
                <w:w w:val="98"/>
              </w:rPr>
              <w:t>647,980</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597,019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w w:val="99"/>
              </w:rPr>
              <w:t>1,914,484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1,884,714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8"/>
              </w:rPr>
              <w:t>105,269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93,246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307,545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270,474</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24"/>
                <w:szCs w:val="24"/>
                <w:color w:val="auto"/>
              </w:rPr>
            </w:pPr>
          </w:p>
        </w:tc>
        <w:tc>
          <w:tcPr>
            <w:tcW w:w="1300" w:type="dxa"/>
            <w:vAlign w:val="bottom"/>
            <w:gridSpan w:val="2"/>
          </w:tcPr>
          <w:p>
            <w:pPr>
              <w:jc w:val="right"/>
              <w:ind w:right="508"/>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(27,244)</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w w:val="98"/>
              </w:rPr>
              <w:t>101,501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95,760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280,301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269,460</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300" w:type="dxa"/>
            <w:vAlign w:val="bottom"/>
            <w:gridSpan w:val="2"/>
          </w:tcPr>
          <w:p>
            <w:pPr>
              <w:jc w:val="right"/>
              <w:ind w:right="568"/>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10,212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92,265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85,548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249,168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240,425</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8"/>
              <w:spacing w:after="0" w:line="196" w:lineRule="exact"/>
              <w:rPr>
                <w:sz w:val="20"/>
                <w:szCs w:val="20"/>
                <w:color w:val="auto"/>
              </w:rPr>
            </w:pPr>
            <w:r>
              <w:rPr>
                <w:rFonts w:ascii="Arial" w:cs="Arial" w:eastAsia="Arial" w:hAnsi="Arial"/>
                <w:sz w:val="18"/>
                <w:szCs w:val="18"/>
                <w:color w:val="auto"/>
              </w:rPr>
              <w:t>0.45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0.42*</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6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8"/>
              <w:spacing w:after="0" w:line="196" w:lineRule="exact"/>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rPr>
                <w:sz w:val="17"/>
                <w:szCs w:val="17"/>
                <w:color w:val="auto"/>
              </w:rPr>
            </w:pPr>
          </w:p>
        </w:tc>
        <w:tc>
          <w:tcPr>
            <w:tcW w:w="1300" w:type="dxa"/>
            <w:vAlign w:val="bottom"/>
            <w:gridSpan w:val="2"/>
          </w:tcPr>
          <w:p>
            <w:pPr>
              <w:jc w:val="right"/>
              <w:ind w:right="568"/>
              <w:spacing w:after="0" w:line="196" w:lineRule="exact"/>
              <w:rPr>
                <w:sz w:val="20"/>
                <w:szCs w:val="20"/>
                <w:color w:val="auto"/>
              </w:rPr>
            </w:pPr>
            <w:r>
              <w:rPr>
                <w:rFonts w:ascii="Arial" w:cs="Arial" w:eastAsia="Arial" w:hAnsi="Arial"/>
                <w:sz w:val="18"/>
                <w:szCs w:val="18"/>
                <w:color w:val="auto"/>
                <w:w w:val="98"/>
              </w:rPr>
              <w:t>203,786</w:t>
            </w:r>
          </w:p>
        </w:tc>
        <w:tc>
          <w:tcPr>
            <w:tcW w:w="100" w:type="dxa"/>
            <w:vAlign w:val="bottom"/>
          </w:tcPr>
          <w:p>
            <w:pPr>
              <w:spacing w:after="0"/>
              <w:rPr>
                <w:sz w:val="17"/>
                <w:szCs w:val="17"/>
                <w:color w:val="auto"/>
              </w:rPr>
            </w:pPr>
          </w:p>
        </w:tc>
        <w:tc>
          <w:tcPr>
            <w:tcW w:w="10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w w:val="99"/>
              </w:rPr>
              <w:t>203,951*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205,078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203,784*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8"/>
              <w:spacing w:after="0" w:line="196" w:lineRule="exact"/>
              <w:rPr>
                <w:sz w:val="20"/>
                <w:szCs w:val="20"/>
                <w:color w:val="auto"/>
              </w:rPr>
            </w:pPr>
            <w:r>
              <w:rPr>
                <w:rFonts w:ascii="Arial" w:cs="Arial" w:eastAsia="Arial" w:hAnsi="Arial"/>
                <w:sz w:val="18"/>
                <w:szCs w:val="18"/>
                <w:color w:val="auto"/>
                <w:w w:val="98"/>
              </w:rPr>
              <w:t>205,471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9"/>
              </w:rPr>
              <w:t>204,252*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206,606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209,322*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20" w:hanging="452"/>
        <w:spacing w:after="0" w:line="23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basic and diluted weighted average number of shares outstanding for the three and nine months ended June 30, 2009 have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basic earnings per share by $0.01 for the nine months ended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jc w:val="right"/>
              <w:ind w:right="8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5"/>
              </w:rPr>
              <w:t>753,249</w:t>
            </w:r>
          </w:p>
        </w:tc>
        <w:tc>
          <w:tcPr>
            <w:tcW w:w="9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8"/>
              </w:rPr>
              <w:t>690,265</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9"/>
              </w:rPr>
              <w:t>2,222,029</w:t>
            </w:r>
          </w:p>
        </w:tc>
        <w:tc>
          <w:tcPr>
            <w:tcW w:w="8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9"/>
              </w:rPr>
              <w:t>2,155,188</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137,774</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124,482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404,379</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388,179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95"/>
              </w:rPr>
              <w:t>119,360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108,555</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349,357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329,680</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0.58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95"/>
              </w:rPr>
              <w:t>205,471</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w w:val="97"/>
              </w:rPr>
              <w:t>204,252*</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206,606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209,322*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3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basic and diluted weighted average number of shares outstanding for the three and nine months ended June 30, 2009 have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non-GAAP diluted earnings per share by $0.01 for the nine months ended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rPr>
              <w:t>June 30, 2010</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Reconciliation items</w:t>
            </w:r>
          </w:p>
        </w:tc>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gridSpan w:val="2"/>
          </w:tcPr>
          <w:p>
            <w:pPr>
              <w:jc w:val="center"/>
              <w:ind w:right="52"/>
              <w:spacing w:after="0" w:line="143" w:lineRule="exact"/>
              <w:rPr>
                <w:sz w:val="20"/>
                <w:szCs w:val="20"/>
                <w:color w:val="auto"/>
              </w:rPr>
            </w:pPr>
            <w:r>
              <w:rPr>
                <w:rFonts w:ascii="Arial" w:cs="Arial" w:eastAsia="Arial" w:hAnsi="Arial"/>
                <w:sz w:val="14"/>
                <w:szCs w:val="14"/>
                <w:b w:val="1"/>
                <w:bCs w:val="1"/>
                <w:color w:val="auto"/>
              </w:rPr>
              <w:t>Amortization</w:t>
            </w: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of purchased</w:t>
            </w: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intangible</w:t>
            </w:r>
          </w:p>
        </w:tc>
        <w:tc>
          <w:tcPr>
            <w:tcW w:w="194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rPr>
              <w:t>Equity based</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 from</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assets and</w:t>
            </w:r>
          </w:p>
        </w:tc>
        <w:tc>
          <w:tcPr>
            <w:tcW w:w="194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divestiture of a</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GAAP</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52"/>
              <w:spacing w:after="0"/>
              <w:rPr>
                <w:sz w:val="20"/>
                <w:szCs w:val="20"/>
                <w:color w:val="auto"/>
              </w:rPr>
            </w:pPr>
            <w:r>
              <w:rPr>
                <w:rFonts w:ascii="Arial" w:cs="Arial" w:eastAsia="Arial" w:hAnsi="Arial"/>
                <w:sz w:val="14"/>
                <w:szCs w:val="14"/>
                <w:b w:val="1"/>
                <w:bCs w:val="1"/>
                <w:color w:val="auto"/>
              </w:rPr>
              <w:t>other</w:t>
            </w: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675"/>
              <w:spacing w:after="0"/>
              <w:rPr>
                <w:sz w:val="20"/>
                <w:szCs w:val="20"/>
                <w:color w:val="auto"/>
              </w:rPr>
            </w:pPr>
            <w:r>
              <w:rPr>
                <w:rFonts w:ascii="Arial" w:cs="Arial" w:eastAsia="Arial" w:hAnsi="Arial"/>
                <w:sz w:val="14"/>
                <w:szCs w:val="14"/>
                <w:b w:val="1"/>
                <w:bCs w:val="1"/>
                <w:color w:val="auto"/>
              </w:rPr>
              <w:t>expense</w:t>
            </w: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subsidiary</w:t>
            </w:r>
          </w:p>
        </w:tc>
        <w:tc>
          <w:tcPr>
            <w:tcW w:w="10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Tax effect</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459</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655"/>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8"/>
              </w:rPr>
              <w:t>480,074</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95"/>
              <w:spacing w:after="0" w:line="202" w:lineRule="exact"/>
              <w:rPr>
                <w:sz w:val="20"/>
                <w:szCs w:val="20"/>
                <w:color w:val="auto"/>
              </w:rPr>
            </w:pPr>
            <w:r>
              <w:rPr>
                <w:rFonts w:ascii="Arial" w:cs="Arial" w:eastAsia="Arial" w:hAnsi="Arial"/>
                <w:sz w:val="18"/>
                <w:szCs w:val="18"/>
                <w:color w:val="auto"/>
              </w:rPr>
              <w:t>(4,871)</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w w:val="98"/>
              </w:rPr>
              <w:t>475,203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17"/>
                <w:szCs w:val="17"/>
                <w:color w:val="auto"/>
              </w:rPr>
            </w:pPr>
          </w:p>
        </w:tc>
        <w:tc>
          <w:tcPr>
            <w:tcW w:w="1180" w:type="dxa"/>
            <w:vAlign w:val="bottom"/>
          </w:tcPr>
          <w:p>
            <w:pPr>
              <w:jc w:val="right"/>
              <w:ind w:right="432"/>
              <w:spacing w:after="0" w:line="203" w:lineRule="exact"/>
              <w:rPr>
                <w:sz w:val="20"/>
                <w:szCs w:val="20"/>
                <w:color w:val="auto"/>
              </w:rPr>
            </w:pPr>
            <w:r>
              <w:rPr>
                <w:rFonts w:ascii="Arial" w:cs="Arial" w:eastAsia="Arial" w:hAnsi="Arial"/>
                <w:sz w:val="18"/>
                <w:szCs w:val="18"/>
                <w:color w:val="auto"/>
              </w:rPr>
              <w:t>52,253</w:t>
            </w:r>
          </w:p>
        </w:tc>
        <w:tc>
          <w:tcPr>
            <w:tcW w:w="400" w:type="dxa"/>
            <w:vAlign w:val="bottom"/>
          </w:tcPr>
          <w:p>
            <w:pPr>
              <w:spacing w:after="0"/>
              <w:rPr>
                <w:sz w:val="17"/>
                <w:szCs w:val="17"/>
                <w:color w:val="auto"/>
              </w:rPr>
            </w:pPr>
          </w:p>
        </w:tc>
        <w:tc>
          <w:tcPr>
            <w:tcW w:w="1140" w:type="dxa"/>
            <w:vAlign w:val="bottom"/>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340" w:type="dxa"/>
            <w:vAlign w:val="bottom"/>
          </w:tcPr>
          <w:p>
            <w:pPr>
              <w:jc w:val="right"/>
              <w:ind w:right="595"/>
              <w:spacing w:after="0" w:line="203" w:lineRule="exact"/>
              <w:rPr>
                <w:sz w:val="20"/>
                <w:szCs w:val="20"/>
                <w:color w:val="auto"/>
              </w:rPr>
            </w:pPr>
            <w:r>
              <w:rPr>
                <w:rFonts w:ascii="Arial" w:cs="Arial" w:eastAsia="Arial" w:hAnsi="Arial"/>
                <w:sz w:val="18"/>
                <w:szCs w:val="18"/>
                <w:color w:val="auto"/>
              </w:rPr>
              <w:t>(1,017)</w:t>
            </w:r>
          </w:p>
        </w:tc>
        <w:tc>
          <w:tcPr>
            <w:tcW w:w="360" w:type="dxa"/>
            <w:vAlign w:val="bottom"/>
          </w:tcPr>
          <w:p>
            <w:pPr>
              <w:spacing w:after="0"/>
              <w:rPr>
                <w:sz w:val="17"/>
                <w:szCs w:val="17"/>
                <w:color w:val="auto"/>
              </w:rPr>
            </w:pPr>
          </w:p>
        </w:tc>
        <w:tc>
          <w:tcPr>
            <w:tcW w:w="98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88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51,236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rPr>
              <w:t>93,446</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95"/>
              <w:spacing w:after="0" w:line="203" w:lineRule="exact"/>
              <w:rPr>
                <w:sz w:val="20"/>
                <w:szCs w:val="20"/>
                <w:color w:val="auto"/>
              </w:rPr>
            </w:pPr>
            <w:r>
              <w:rPr>
                <w:rFonts w:ascii="Arial" w:cs="Arial" w:eastAsia="Arial" w:hAnsi="Arial"/>
                <w:sz w:val="18"/>
                <w:szCs w:val="18"/>
                <w:color w:val="auto"/>
              </w:rPr>
              <w:t>(4,869)</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5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88,577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400"/>
              <w:spacing w:after="0" w:line="202" w:lineRule="exact"/>
              <w:rPr>
                <w:sz w:val="20"/>
                <w:szCs w:val="20"/>
                <w:color w:val="auto"/>
              </w:rPr>
            </w:pPr>
            <w:r>
              <w:rPr>
                <w:rFonts w:ascii="Arial" w:cs="Arial" w:eastAsia="Arial" w:hAnsi="Arial"/>
                <w:sz w:val="18"/>
                <w:szCs w:val="18"/>
                <w:color w:val="auto"/>
              </w:rPr>
              <w:t>intangible assets and</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ind w:left="400"/>
              <w:spacing w:after="0" w:line="203"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2"/>
              <w:spacing w:after="0" w:line="203" w:lineRule="exact"/>
              <w:rPr>
                <w:sz w:val="20"/>
                <w:szCs w:val="20"/>
                <w:color w:val="auto"/>
              </w:rPr>
            </w:pPr>
            <w:r>
              <w:rPr>
                <w:rFonts w:ascii="Arial" w:cs="Arial" w:eastAsia="Arial" w:hAnsi="Arial"/>
                <w:sz w:val="18"/>
                <w:szCs w:val="18"/>
                <w:color w:val="auto"/>
              </w:rPr>
              <w:t>21,748</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line="203" w:lineRule="exact"/>
              <w:rPr>
                <w:sz w:val="20"/>
                <w:szCs w:val="20"/>
                <w:color w:val="auto"/>
              </w:rPr>
            </w:pPr>
            <w:r>
              <w:rPr>
                <w:rFonts w:ascii="Arial" w:cs="Arial" w:eastAsia="Arial" w:hAnsi="Arial"/>
                <w:sz w:val="18"/>
                <w:szCs w:val="18"/>
                <w:color w:val="auto"/>
                <w:w w:val="95"/>
              </w:rPr>
              <w:t>(21,748)</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5"/>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8"/>
              </w:rPr>
              <w:t>647,980</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w w:val="95"/>
              </w:rPr>
              <w:t>(21,748)</w:t>
            </w:r>
          </w:p>
        </w:tc>
        <w:tc>
          <w:tcPr>
            <w:tcW w:w="6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595"/>
              <w:spacing w:after="0" w:line="202" w:lineRule="exact"/>
              <w:rPr>
                <w:sz w:val="20"/>
                <w:szCs w:val="20"/>
                <w:color w:val="auto"/>
              </w:rPr>
            </w:pPr>
            <w:r>
              <w:rPr>
                <w:rFonts w:ascii="Arial" w:cs="Arial" w:eastAsia="Arial" w:hAnsi="Arial"/>
                <w:sz w:val="18"/>
                <w:szCs w:val="18"/>
                <w:color w:val="auto"/>
                <w:w w:val="95"/>
              </w:rPr>
              <w:t>(10,757)</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w w:val="98"/>
              </w:rPr>
              <w:t>615,475</w:t>
            </w:r>
          </w:p>
        </w:tc>
        <w:tc>
          <w:tcPr>
            <w:tcW w:w="0" w:type="dxa"/>
            <w:vAlign w:val="bottom"/>
          </w:tcPr>
          <w:p>
            <w:pPr>
              <w:spacing w:after="0"/>
              <w:rPr>
                <w:sz w:val="1"/>
                <w:szCs w:val="1"/>
                <w:color w:val="auto"/>
              </w:rPr>
            </w:pPr>
          </w:p>
        </w:tc>
      </w:tr>
      <w:tr>
        <w:trPr>
          <w:trHeight w:val="412"/>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8"/>
              </w:rPr>
              <w:t>105,269</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21,748</w:t>
            </w: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rPr>
              <w:t>10,757</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137,774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other income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(expense), net</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(3,768)</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55"/>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50"/>
              <w:spacing w:after="0" w:line="203" w:lineRule="exact"/>
              <w:rPr>
                <w:sz w:val="20"/>
                <w:szCs w:val="20"/>
                <w:color w:val="auto"/>
              </w:rPr>
            </w:pPr>
            <w:r>
              <w:rPr>
                <w:rFonts w:ascii="Arial" w:cs="Arial" w:eastAsia="Arial" w:hAnsi="Arial"/>
                <w:sz w:val="18"/>
                <w:szCs w:val="18"/>
                <w:color w:val="auto"/>
                <w:w w:val="93"/>
              </w:rPr>
              <w:t>1,599</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412"/>
        </w:trPr>
        <w:tc>
          <w:tcPr>
            <w:tcW w:w="26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9,236</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7,009</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92,265</w:t>
            </w: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21,748</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655"/>
              <w:spacing w:after="0" w:line="202" w:lineRule="exact"/>
              <w:rPr>
                <w:sz w:val="20"/>
                <w:szCs w:val="20"/>
                <w:color w:val="auto"/>
              </w:rPr>
            </w:pPr>
            <w:r>
              <w:rPr>
                <w:rFonts w:ascii="Arial" w:cs="Arial" w:eastAsia="Arial" w:hAnsi="Arial"/>
                <w:sz w:val="18"/>
                <w:szCs w:val="18"/>
                <w:color w:val="auto"/>
              </w:rPr>
              <w:t>10,757</w:t>
            </w:r>
          </w:p>
        </w:tc>
        <w:tc>
          <w:tcPr>
            <w:tcW w:w="360" w:type="dxa"/>
            <w:vAlign w:val="bottom"/>
            <w:tcBorders>
              <w:bottom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w w:val="93"/>
              </w:rPr>
              <w:t>1,599</w:t>
            </w:r>
          </w:p>
        </w:tc>
        <w:tc>
          <w:tcPr>
            <w:tcW w:w="36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8"/>
              </w:rPr>
              <w:t>(7,009)</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w w:val="98"/>
              </w:rPr>
              <w:t>119,360</w:t>
            </w: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June 30, 2009</w:t>
            </w: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Reconciliation items</w:t>
            </w: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00" w:type="dxa"/>
            <w:vAlign w:val="bottom"/>
            <w:gridSpan w:val="2"/>
          </w:tcPr>
          <w:p>
            <w:pPr>
              <w:jc w:val="center"/>
              <w:ind w:left="79"/>
              <w:spacing w:after="0" w:line="143" w:lineRule="exact"/>
              <w:rPr>
                <w:sz w:val="20"/>
                <w:szCs w:val="20"/>
                <w:color w:val="auto"/>
              </w:rPr>
            </w:pPr>
            <w:r>
              <w:rPr>
                <w:rFonts w:ascii="Arial" w:cs="Arial" w:eastAsia="Arial" w:hAnsi="Arial"/>
                <w:sz w:val="14"/>
                <w:szCs w:val="14"/>
                <w:b w:val="1"/>
                <w:bCs w:val="1"/>
                <w:color w:val="auto"/>
              </w:rPr>
              <w:t>Amortization of</w:t>
            </w:r>
          </w:p>
        </w:tc>
        <w:tc>
          <w:tcPr>
            <w:tcW w:w="2000" w:type="dxa"/>
            <w:vAlign w:val="bottom"/>
            <w:gridSpan w:val="2"/>
          </w:tcPr>
          <w:p>
            <w:pPr>
              <w:jc w:val="center"/>
              <w:ind w:left="264"/>
              <w:spacing w:after="0" w:line="143" w:lineRule="exact"/>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purchased intangible</w:t>
            </w:r>
          </w:p>
        </w:tc>
        <w:tc>
          <w:tcPr>
            <w:tcW w:w="2000" w:type="dxa"/>
            <w:vAlign w:val="bottom"/>
            <w:gridSpan w:val="2"/>
          </w:tcPr>
          <w:p>
            <w:pPr>
              <w:jc w:val="center"/>
              <w:ind w:left="264"/>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GAAP</w:t>
            </w: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rPr>
              <w:t>assets</w:t>
            </w:r>
          </w:p>
        </w:tc>
        <w:tc>
          <w:tcPr>
            <w:tcW w:w="200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rPr>
              <w:t>expense</w:t>
            </w:r>
          </w:p>
        </w:tc>
        <w:tc>
          <w:tcPr>
            <w:tcW w:w="11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Tax effect</w:t>
            </w:r>
          </w:p>
        </w:tc>
        <w:tc>
          <w:tcPr>
            <w:tcW w:w="15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537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w w:val="98"/>
              </w:rPr>
              <w:t>441,777</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(6,115)</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5"/>
              </w:rPr>
              <w:t>435,662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22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51,134</w:t>
            </w:r>
          </w:p>
        </w:tc>
        <w:tc>
          <w:tcPr>
            <w:tcW w:w="620" w:type="dxa"/>
            <w:vAlign w:val="bottom"/>
          </w:tcPr>
          <w:p>
            <w:pPr>
              <w:spacing w:after="0"/>
              <w:rPr>
                <w:sz w:val="17"/>
                <w:szCs w:val="17"/>
                <w:color w:val="auto"/>
              </w:rPr>
            </w:pPr>
          </w:p>
        </w:tc>
        <w:tc>
          <w:tcPr>
            <w:tcW w:w="10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08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98"/>
              </w:rPr>
              <w:t>(1,238)</w:t>
            </w:r>
          </w:p>
        </w:tc>
        <w:tc>
          <w:tcPr>
            <w:tcW w:w="440" w:type="dxa"/>
            <w:vAlign w:val="bottom"/>
          </w:tcPr>
          <w:p>
            <w:pPr>
              <w:spacing w:after="0"/>
              <w:rPr>
                <w:sz w:val="17"/>
                <w:szCs w:val="17"/>
                <w:color w:val="auto"/>
              </w:rPr>
            </w:pPr>
          </w:p>
        </w:tc>
        <w:tc>
          <w:tcPr>
            <w:tcW w:w="7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8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81,732</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(2,044)</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79,688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400"/>
              <w:spacing w:after="0" w:line="203" w:lineRule="exact"/>
              <w:rPr>
                <w:sz w:val="20"/>
                <w:szCs w:val="20"/>
                <w:color w:val="auto"/>
              </w:rPr>
            </w:pPr>
            <w:r>
              <w:rPr>
                <w:rFonts w:ascii="Arial" w:cs="Arial" w:eastAsia="Arial" w:hAnsi="Arial"/>
                <w:sz w:val="18"/>
                <w:szCs w:val="18"/>
                <w:color w:val="auto"/>
              </w:rPr>
              <w:t>assets and other</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line="203" w:lineRule="exact"/>
              <w:rPr>
                <w:sz w:val="20"/>
                <w:szCs w:val="20"/>
                <w:color w:val="auto"/>
              </w:rPr>
            </w:pPr>
            <w:r>
              <w:rPr>
                <w:rFonts w:ascii="Arial" w:cs="Arial" w:eastAsia="Arial" w:hAnsi="Arial"/>
                <w:sz w:val="18"/>
                <w:szCs w:val="18"/>
                <w:color w:val="auto"/>
              </w:rPr>
              <w:t>21,839</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2"/>
              <w:spacing w:after="0" w:line="203" w:lineRule="exact"/>
              <w:rPr>
                <w:sz w:val="20"/>
                <w:szCs w:val="20"/>
                <w:color w:val="auto"/>
              </w:rPr>
            </w:pPr>
            <w:r>
              <w:rPr>
                <w:rFonts w:ascii="Arial" w:cs="Arial" w:eastAsia="Arial" w:hAnsi="Arial"/>
                <w:sz w:val="18"/>
                <w:szCs w:val="18"/>
                <w:color w:val="auto"/>
                <w:w w:val="98"/>
              </w:rPr>
              <w:t>(21,839)</w:t>
            </w: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w w:val="98"/>
              </w:rPr>
              <w:t>597,019</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w w:val="98"/>
              </w:rPr>
              <w:t>(21,839)</w:t>
            </w:r>
          </w:p>
        </w:tc>
        <w:tc>
          <w:tcPr>
            <w:tcW w:w="9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w w:val="98"/>
              </w:rPr>
              <w:t>(9,397)</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5"/>
              </w:rPr>
              <w:t>565,783</w:t>
            </w:r>
          </w:p>
        </w:tc>
        <w:tc>
          <w:tcPr>
            <w:tcW w:w="0" w:type="dxa"/>
            <w:vAlign w:val="bottom"/>
          </w:tcPr>
          <w:p>
            <w:pPr>
              <w:spacing w:after="0"/>
              <w:rPr>
                <w:sz w:val="1"/>
                <w:szCs w:val="1"/>
                <w:color w:val="auto"/>
              </w:rPr>
            </w:pPr>
          </w:p>
        </w:tc>
      </w:tr>
      <w:tr>
        <w:trPr>
          <w:trHeight w:val="412"/>
        </w:trPr>
        <w:tc>
          <w:tcPr>
            <w:tcW w:w="3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93,246</w:t>
            </w: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21,839</w:t>
            </w: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9,397</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124,482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10,212</w:t>
            </w:r>
          </w:p>
        </w:tc>
        <w:tc>
          <w:tcPr>
            <w:tcW w:w="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8,229</w:t>
            </w:r>
          </w:p>
        </w:tc>
        <w:tc>
          <w:tcPr>
            <w:tcW w:w="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412"/>
        </w:trPr>
        <w:tc>
          <w:tcPr>
            <w:tcW w:w="3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85,548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21,839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9,397</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(8,229)</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108,555</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rPr>
              <w:t>June 30, 2010</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61"/>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gridSpan w:val="2"/>
          </w:tcPr>
          <w:p>
            <w:pPr>
              <w:jc w:val="center"/>
              <w:ind w:right="50"/>
              <w:spacing w:after="0" w:line="143" w:lineRule="exact"/>
              <w:rPr>
                <w:sz w:val="20"/>
                <w:szCs w:val="20"/>
                <w:color w:val="auto"/>
              </w:rPr>
            </w:pPr>
            <w:r>
              <w:rPr>
                <w:rFonts w:ascii="Arial" w:cs="Arial" w:eastAsia="Arial" w:hAnsi="Arial"/>
                <w:sz w:val="14"/>
                <w:szCs w:val="14"/>
                <w:b w:val="1"/>
                <w:bCs w:val="1"/>
                <w:color w:val="auto"/>
              </w:rPr>
              <w:t>Amortization of</w:t>
            </w: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purchased</w:t>
            </w:r>
          </w:p>
        </w:tc>
        <w:tc>
          <w:tcPr>
            <w:tcW w:w="1840" w:type="dxa"/>
            <w:vAlign w:val="bottom"/>
            <w:gridSpan w:val="2"/>
          </w:tcPr>
          <w:p>
            <w:pPr>
              <w:jc w:val="center"/>
              <w:ind w:right="55"/>
              <w:spacing w:after="0"/>
              <w:rPr>
                <w:sz w:val="20"/>
                <w:szCs w:val="20"/>
                <w:color w:val="auto"/>
              </w:rPr>
            </w:pPr>
            <w:r>
              <w:rPr>
                <w:rFonts w:ascii="Arial" w:cs="Arial" w:eastAsia="Arial" w:hAnsi="Arial"/>
                <w:sz w:val="14"/>
                <w:szCs w:val="14"/>
                <w:b w:val="1"/>
                <w:bCs w:val="1"/>
                <w:color w:val="auto"/>
              </w:rPr>
              <w:t>Equity based</w:t>
            </w:r>
          </w:p>
        </w:tc>
        <w:tc>
          <w:tcPr>
            <w:tcW w:w="13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Loss from</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intangible assets</w:t>
            </w:r>
          </w:p>
        </w:tc>
        <w:tc>
          <w:tcPr>
            <w:tcW w:w="1840" w:type="dxa"/>
            <w:vAlign w:val="bottom"/>
            <w:gridSpan w:val="2"/>
          </w:tcPr>
          <w:p>
            <w:pPr>
              <w:jc w:val="center"/>
              <w:ind w:right="55"/>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divestiture of a</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GAAP</w:t>
            </w:r>
          </w:p>
        </w:tc>
        <w:tc>
          <w:tcPr>
            <w:tcW w:w="17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rPr>
              <w:t>and other</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95"/>
              <w:spacing w:after="0"/>
              <w:rPr>
                <w:sz w:val="20"/>
                <w:szCs w:val="20"/>
                <w:color w:val="auto"/>
              </w:rPr>
            </w:pPr>
            <w:r>
              <w:rPr>
                <w:rFonts w:ascii="Arial" w:cs="Arial" w:eastAsia="Arial" w:hAnsi="Arial"/>
                <w:sz w:val="14"/>
                <w:szCs w:val="14"/>
                <w:b w:val="1"/>
                <w:bCs w:val="1"/>
                <w:color w:val="auto"/>
              </w:rPr>
              <w:t>expense</w:t>
            </w: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subsidiary</w:t>
            </w: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Tax effect</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1,646</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2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w w:val="99"/>
              </w:rPr>
              <w:t>1,417,729</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w w:val="98"/>
              </w:rPr>
              <w:t>(14,623)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1,403,106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7"/>
                <w:szCs w:val="17"/>
                <w:color w:val="auto"/>
              </w:rPr>
            </w:pPr>
          </w:p>
        </w:tc>
        <w:tc>
          <w:tcPr>
            <w:tcW w:w="1240" w:type="dxa"/>
            <w:vAlign w:val="bottom"/>
          </w:tcPr>
          <w:p>
            <w:pPr>
              <w:jc w:val="right"/>
              <w:ind w:right="332"/>
              <w:spacing w:after="0" w:line="203" w:lineRule="exact"/>
              <w:rPr>
                <w:sz w:val="20"/>
                <w:szCs w:val="20"/>
                <w:color w:val="auto"/>
              </w:rPr>
            </w:pPr>
            <w:r>
              <w:rPr>
                <w:rFonts w:ascii="Arial" w:cs="Arial" w:eastAsia="Arial" w:hAnsi="Arial"/>
                <w:sz w:val="18"/>
                <w:szCs w:val="18"/>
                <w:color w:val="auto"/>
              </w:rPr>
              <w:t>153,549</w:t>
            </w:r>
          </w:p>
        </w:tc>
        <w:tc>
          <w:tcPr>
            <w:tcW w:w="500" w:type="dxa"/>
            <w:vAlign w:val="bottom"/>
          </w:tcPr>
          <w:p>
            <w:pPr>
              <w:spacing w:after="0"/>
              <w:rPr>
                <w:sz w:val="17"/>
                <w:szCs w:val="17"/>
                <w:color w:val="auto"/>
              </w:rPr>
            </w:pPr>
          </w:p>
        </w:tc>
        <w:tc>
          <w:tcPr>
            <w:tcW w:w="1260" w:type="dxa"/>
            <w:vAlign w:val="bottom"/>
          </w:tcPr>
          <w:p>
            <w:pPr>
              <w:jc w:val="right"/>
              <w:ind w:right="55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00" w:type="dxa"/>
            <w:vAlign w:val="bottom"/>
          </w:tcPr>
          <w:p>
            <w:pPr>
              <w:jc w:val="right"/>
              <w:ind w:right="535"/>
              <w:spacing w:after="0" w:line="203" w:lineRule="exact"/>
              <w:rPr>
                <w:sz w:val="20"/>
                <w:szCs w:val="20"/>
                <w:color w:val="auto"/>
              </w:rPr>
            </w:pPr>
            <w:r>
              <w:rPr>
                <w:rFonts w:ascii="Arial" w:cs="Arial" w:eastAsia="Arial" w:hAnsi="Arial"/>
                <w:sz w:val="18"/>
                <w:szCs w:val="18"/>
                <w:color w:val="auto"/>
              </w:rPr>
              <w:t>(3,154)</w:t>
            </w:r>
          </w:p>
        </w:tc>
        <w:tc>
          <w:tcPr>
            <w:tcW w:w="320" w:type="dxa"/>
            <w:vAlign w:val="bottom"/>
          </w:tcPr>
          <w:p>
            <w:pPr>
              <w:spacing w:after="0"/>
              <w:rPr>
                <w:sz w:val="17"/>
                <w:szCs w:val="17"/>
                <w:color w:val="auto"/>
              </w:rPr>
            </w:pPr>
          </w:p>
        </w:tc>
        <w:tc>
          <w:tcPr>
            <w:tcW w:w="102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0" w:type="dxa"/>
            <w:vAlign w:val="bottom"/>
          </w:tcPr>
          <w:p>
            <w:pPr>
              <w:jc w:val="right"/>
              <w:ind w:right="92"/>
              <w:spacing w:after="0" w:line="203" w:lineRule="exact"/>
              <w:rPr>
                <w:sz w:val="20"/>
                <w:szCs w:val="20"/>
                <w:color w:val="auto"/>
              </w:rPr>
            </w:pPr>
            <w:r>
              <w:rPr>
                <w:rFonts w:ascii="Arial" w:cs="Arial" w:eastAsia="Arial" w:hAnsi="Arial"/>
                <w:sz w:val="18"/>
                <w:szCs w:val="18"/>
                <w:color w:val="auto"/>
              </w:rPr>
              <w:t>150,395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32"/>
              <w:spacing w:after="0" w:line="203" w:lineRule="exact"/>
              <w:rPr>
                <w:sz w:val="20"/>
                <w:szCs w:val="20"/>
                <w:color w:val="auto"/>
              </w:rPr>
            </w:pPr>
            <w:r>
              <w:rPr>
                <w:rFonts w:ascii="Arial" w:cs="Arial" w:eastAsia="Arial" w:hAnsi="Arial"/>
                <w:sz w:val="18"/>
                <w:szCs w:val="18"/>
                <w:color w:val="auto"/>
              </w:rPr>
              <w:t>277,054</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5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35"/>
              <w:spacing w:after="0" w:line="203" w:lineRule="exact"/>
              <w:rPr>
                <w:sz w:val="20"/>
                <w:szCs w:val="20"/>
                <w:color w:val="auto"/>
              </w:rPr>
            </w:pPr>
            <w:r>
              <w:rPr>
                <w:rFonts w:ascii="Arial" w:cs="Arial" w:eastAsia="Arial" w:hAnsi="Arial"/>
                <w:sz w:val="18"/>
                <w:szCs w:val="18"/>
                <w:color w:val="auto"/>
                <w:w w:val="98"/>
              </w:rPr>
              <w:t>(14,551)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262,503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Pr>
          <w:p>
            <w:pPr>
              <w:ind w:left="400"/>
              <w:spacing w:after="0" w:line="203" w:lineRule="exact"/>
              <w:rPr>
                <w:sz w:val="20"/>
                <w:szCs w:val="20"/>
                <w:color w:val="auto"/>
              </w:rPr>
            </w:pPr>
            <w:r>
              <w:rPr>
                <w:rFonts w:ascii="Arial" w:cs="Arial" w:eastAsia="Arial" w:hAnsi="Arial"/>
                <w:sz w:val="18"/>
                <w:szCs w:val="18"/>
                <w:color w:val="auto"/>
              </w:rPr>
              <w:t>assets and other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2"/>
              <w:spacing w:after="0" w:line="203" w:lineRule="exact"/>
              <w:rPr>
                <w:sz w:val="20"/>
                <w:szCs w:val="20"/>
                <w:color w:val="auto"/>
              </w:rPr>
            </w:pPr>
            <w:r>
              <w:rPr>
                <w:rFonts w:ascii="Arial" w:cs="Arial" w:eastAsia="Arial" w:hAnsi="Arial"/>
                <w:sz w:val="18"/>
                <w:szCs w:val="18"/>
                <w:color w:val="auto"/>
              </w:rPr>
              <w:t>64,506</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w w:val="98"/>
              </w:rPr>
              <w:t>(64,506)</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w w:val="99"/>
              </w:rPr>
              <w:t>1,914,484</w:t>
            </w:r>
          </w:p>
        </w:tc>
        <w:tc>
          <w:tcPr>
            <w:tcW w:w="5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w w:val="98"/>
              </w:rPr>
              <w:t>(64,506)</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w w:val="98"/>
              </w:rPr>
              <w:t>(32,328)</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1,817,650</w:t>
            </w:r>
          </w:p>
        </w:tc>
        <w:tc>
          <w:tcPr>
            <w:tcW w:w="0" w:type="dxa"/>
            <w:vAlign w:val="bottom"/>
          </w:tcPr>
          <w:p>
            <w:pPr>
              <w:spacing w:after="0"/>
              <w:rPr>
                <w:sz w:val="1"/>
                <w:szCs w:val="1"/>
                <w:color w:val="auto"/>
              </w:rPr>
            </w:pPr>
          </w:p>
        </w:tc>
      </w:tr>
      <w:tr>
        <w:trPr>
          <w:trHeight w:val="412"/>
        </w:trPr>
        <w:tc>
          <w:tcPr>
            <w:tcW w:w="2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307,545</w:t>
            </w: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64,506</w:t>
            </w:r>
          </w:p>
        </w:tc>
        <w:tc>
          <w:tcPr>
            <w:tcW w:w="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32,328</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404,379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other income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(expense), net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72"/>
              <w:spacing w:after="0" w:line="203" w:lineRule="exact"/>
              <w:rPr>
                <w:sz w:val="20"/>
                <w:szCs w:val="20"/>
                <w:color w:val="auto"/>
              </w:rPr>
            </w:pPr>
            <w:r>
              <w:rPr>
                <w:rFonts w:ascii="Arial" w:cs="Arial" w:eastAsia="Arial" w:hAnsi="Arial"/>
                <w:sz w:val="18"/>
                <w:szCs w:val="18"/>
                <w:color w:val="auto"/>
              </w:rPr>
              <w:t>(27,244)</w:t>
            </w:r>
          </w:p>
        </w:tc>
        <w:tc>
          <w:tcPr>
            <w:tcW w:w="5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5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59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w w:val="98"/>
              </w:rPr>
              <w:t>23,399</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412"/>
        </w:trPr>
        <w:tc>
          <w:tcPr>
            <w:tcW w:w="24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31,133</w:t>
            </w: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20,044</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249,168</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64,506</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95"/>
              <w:spacing w:after="0" w:line="202" w:lineRule="exact"/>
              <w:rPr>
                <w:sz w:val="20"/>
                <w:szCs w:val="20"/>
                <w:color w:val="auto"/>
              </w:rPr>
            </w:pPr>
            <w:r>
              <w:rPr>
                <w:rFonts w:ascii="Arial" w:cs="Arial" w:eastAsia="Arial" w:hAnsi="Arial"/>
                <w:sz w:val="18"/>
                <w:szCs w:val="18"/>
                <w:color w:val="auto"/>
              </w:rPr>
              <w:t>32,328</w:t>
            </w:r>
          </w:p>
        </w:tc>
        <w:tc>
          <w:tcPr>
            <w:tcW w:w="3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98"/>
              </w:rPr>
              <w:t>23,399</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8"/>
              </w:rPr>
              <w:t>(20,044)</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349,357</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2009</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Reconciliation items</w:t>
            </w: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gridSpan w:val="2"/>
          </w:tcPr>
          <w:p>
            <w:pPr>
              <w:jc w:val="center"/>
              <w:ind w:right="254"/>
              <w:spacing w:after="0" w:line="143" w:lineRule="exact"/>
              <w:rPr>
                <w:sz w:val="20"/>
                <w:szCs w:val="20"/>
                <w:color w:val="auto"/>
              </w:rPr>
            </w:pPr>
            <w:r>
              <w:rPr>
                <w:rFonts w:ascii="Arial" w:cs="Arial" w:eastAsia="Arial" w:hAnsi="Arial"/>
                <w:sz w:val="14"/>
                <w:szCs w:val="14"/>
                <w:b w:val="1"/>
                <w:bCs w:val="1"/>
                <w:color w:val="auto"/>
              </w:rPr>
              <w:t>Restructuring</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Amortization</w:t>
            </w:r>
          </w:p>
        </w:tc>
        <w:tc>
          <w:tcPr>
            <w:tcW w:w="2000" w:type="dxa"/>
            <w:vAlign w:val="bottom"/>
            <w:gridSpan w:val="2"/>
          </w:tcPr>
          <w:p>
            <w:pPr>
              <w:jc w:val="center"/>
              <w:ind w:right="254"/>
              <w:spacing w:after="0"/>
              <w:rPr>
                <w:sz w:val="20"/>
                <w:szCs w:val="20"/>
                <w:color w:val="auto"/>
              </w:rPr>
            </w:pPr>
            <w:r>
              <w:rPr>
                <w:rFonts w:ascii="Arial" w:cs="Arial" w:eastAsia="Arial" w:hAnsi="Arial"/>
                <w:sz w:val="14"/>
                <w:szCs w:val="14"/>
                <w:b w:val="1"/>
                <w:bCs w:val="1"/>
                <w:color w:val="auto"/>
              </w:rPr>
              <w:t>charges and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of purchased</w:t>
            </w:r>
          </w:p>
        </w:tc>
        <w:tc>
          <w:tcPr>
            <w:tcW w:w="2000" w:type="dxa"/>
            <w:vAlign w:val="bottom"/>
            <w:gridSpan w:val="2"/>
          </w:tcPr>
          <w:p>
            <w:pPr>
              <w:jc w:val="center"/>
              <w:ind w:right="254"/>
              <w:spacing w:after="0"/>
              <w:rPr>
                <w:sz w:val="20"/>
                <w:szCs w:val="20"/>
                <w:color w:val="auto"/>
              </w:rPr>
            </w:pPr>
            <w:r>
              <w:rPr>
                <w:rFonts w:ascii="Arial" w:cs="Arial" w:eastAsia="Arial" w:hAnsi="Arial"/>
                <w:sz w:val="14"/>
                <w:szCs w:val="14"/>
                <w:b w:val="1"/>
                <w:bCs w:val="1"/>
                <w:color w:val="auto"/>
              </w:rPr>
              <w:t>in-process</w:t>
            </w:r>
          </w:p>
        </w:tc>
        <w:tc>
          <w:tcPr>
            <w:tcW w:w="132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rPr>
              <w:t>Equity based</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intangible</w:t>
            </w:r>
          </w:p>
        </w:tc>
        <w:tc>
          <w:tcPr>
            <w:tcW w:w="2000" w:type="dxa"/>
            <w:vAlign w:val="bottom"/>
            <w:gridSpan w:val="2"/>
          </w:tcPr>
          <w:p>
            <w:pPr>
              <w:jc w:val="center"/>
              <w:ind w:right="254"/>
              <w:spacing w:after="0"/>
              <w:rPr>
                <w:sz w:val="20"/>
                <w:szCs w:val="20"/>
                <w:color w:val="auto"/>
              </w:rPr>
            </w:pPr>
            <w:r>
              <w:rPr>
                <w:rFonts w:ascii="Arial" w:cs="Arial" w:eastAsia="Arial" w:hAnsi="Arial"/>
                <w:sz w:val="14"/>
                <w:szCs w:val="14"/>
                <w:b w:val="1"/>
                <w:bCs w:val="1"/>
                <w:color w:val="auto"/>
              </w:rPr>
              <w:t>research and</w:t>
            </w:r>
          </w:p>
        </w:tc>
        <w:tc>
          <w:tcPr>
            <w:tcW w:w="132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rPr>
              <w:t>assets</w:t>
            </w:r>
          </w:p>
        </w:tc>
        <w:tc>
          <w:tcPr>
            <w:tcW w:w="2000" w:type="dxa"/>
            <w:vAlign w:val="bottom"/>
            <w:tcBorders>
              <w:bottom w:val="single" w:sz="8" w:color="auto"/>
            </w:tcBorders>
            <w:gridSpan w:val="2"/>
          </w:tcPr>
          <w:p>
            <w:pPr>
              <w:jc w:val="center"/>
              <w:ind w:right="254"/>
              <w:spacing w:after="0"/>
              <w:rPr>
                <w:sz w:val="20"/>
                <w:szCs w:val="20"/>
                <w:color w:val="auto"/>
              </w:rPr>
            </w:pPr>
            <w:r>
              <w:rPr>
                <w:rFonts w:ascii="Arial" w:cs="Arial" w:eastAsia="Arial" w:hAnsi="Arial"/>
                <w:sz w:val="14"/>
                <w:szCs w:val="14"/>
                <w:b w:val="1"/>
                <w:bCs w:val="1"/>
                <w:color w:val="auto"/>
              </w:rPr>
              <w:t>development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rPr>
              <w:t>expense</w:t>
            </w:r>
          </w:p>
        </w:tc>
        <w:tc>
          <w:tcPr>
            <w:tcW w:w="1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Tax effect</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2,097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7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w w:val="97"/>
              </w:rPr>
              <w:t>1,381,825</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7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w w:val="95"/>
              </w:rPr>
              <w:t>(16,776)</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1,365,049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160,113</w:t>
            </w:r>
          </w:p>
        </w:tc>
        <w:tc>
          <w:tcPr>
            <w:tcW w:w="380" w:type="dxa"/>
            <w:vAlign w:val="bottom"/>
          </w:tcPr>
          <w:p>
            <w:pPr>
              <w:spacing w:after="0"/>
              <w:rPr>
                <w:sz w:val="17"/>
                <w:szCs w:val="17"/>
                <w:color w:val="auto"/>
              </w:rPr>
            </w:pPr>
          </w:p>
        </w:tc>
        <w:tc>
          <w:tcPr>
            <w:tcW w:w="112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480" w:type="dxa"/>
            <w:vAlign w:val="bottom"/>
          </w:tcPr>
          <w:p>
            <w:pPr>
              <w:jc w:val="right"/>
              <w:ind w:right="774"/>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(3,277)</w:t>
            </w:r>
          </w:p>
        </w:tc>
        <w:tc>
          <w:tcPr>
            <w:tcW w:w="40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156,836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256,305</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74"/>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w w:val="95"/>
              </w:rPr>
              <w:t>(13,278)</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243,027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assets and other</w:t>
            </w:r>
          </w:p>
        </w:tc>
        <w:tc>
          <w:tcPr>
            <w:tcW w:w="20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63,594</w:t>
            </w:r>
          </w:p>
        </w:tc>
        <w:tc>
          <w:tcPr>
            <w:tcW w:w="3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Arial" w:cs="Arial" w:eastAsia="Arial" w:hAnsi="Arial"/>
                <w:sz w:val="18"/>
                <w:szCs w:val="18"/>
                <w:color w:val="auto"/>
                <w:w w:val="98"/>
              </w:rPr>
              <w:t>(63,594)</w:t>
            </w:r>
          </w:p>
        </w:tc>
        <w:tc>
          <w:tcPr>
            <w:tcW w:w="520" w:type="dxa"/>
            <w:vAlign w:val="bottom"/>
          </w:tcPr>
          <w:p>
            <w:pPr>
              <w:spacing w:after="0"/>
              <w:rPr>
                <w:sz w:val="17"/>
                <w:szCs w:val="17"/>
                <w:color w:val="auto"/>
              </w:rPr>
            </w:pPr>
          </w:p>
        </w:tc>
        <w:tc>
          <w:tcPr>
            <w:tcW w:w="1480" w:type="dxa"/>
            <w:vAlign w:val="bottom"/>
          </w:tcPr>
          <w:p>
            <w:pPr>
              <w:jc w:val="right"/>
              <w:ind w:right="774"/>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in-process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20,780</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714"/>
              <w:spacing w:after="0" w:line="203" w:lineRule="exact"/>
              <w:rPr>
                <w:sz w:val="20"/>
                <w:szCs w:val="20"/>
                <w:color w:val="auto"/>
              </w:rPr>
            </w:pPr>
            <w:r>
              <w:rPr>
                <w:rFonts w:ascii="Arial" w:cs="Arial" w:eastAsia="Arial" w:hAnsi="Arial"/>
                <w:sz w:val="18"/>
                <w:szCs w:val="18"/>
                <w:color w:val="auto"/>
                <w:w w:val="98"/>
              </w:rPr>
              <w:t>(20,780)</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7"/>
              </w:rPr>
              <w:t>1,884,714</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8"/>
              </w:rPr>
              <w:t>(63,594)</w:t>
            </w: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98"/>
              </w:rPr>
              <w:t>(20,780)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5"/>
              </w:rPr>
              <w:t>(33,331)</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7"/>
              </w:rPr>
              <w:t>1,767,009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270,474</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63,594</w:t>
            </w:r>
          </w:p>
        </w:tc>
        <w:tc>
          <w:tcPr>
            <w:tcW w:w="5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774"/>
              <w:spacing w:after="0" w:line="202" w:lineRule="exact"/>
              <w:rPr>
                <w:sz w:val="20"/>
                <w:szCs w:val="20"/>
                <w:color w:val="auto"/>
              </w:rPr>
            </w:pPr>
            <w:r>
              <w:rPr>
                <w:rFonts w:ascii="Arial" w:cs="Arial" w:eastAsia="Arial" w:hAnsi="Arial"/>
                <w:sz w:val="18"/>
                <w:szCs w:val="18"/>
                <w:color w:val="auto"/>
              </w:rPr>
              <w:t>20,780</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33,331</w:t>
            </w: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388,179</w:t>
            </w:r>
          </w:p>
        </w:tc>
        <w:tc>
          <w:tcPr>
            <w:tcW w:w="0" w:type="dxa"/>
            <w:vAlign w:val="bottom"/>
          </w:tcPr>
          <w:p>
            <w:pPr>
              <w:spacing w:after="0"/>
              <w:rPr>
                <w:sz w:val="1"/>
                <w:szCs w:val="1"/>
                <w:color w:val="auto"/>
              </w:rPr>
            </w:pPr>
          </w:p>
        </w:tc>
      </w:tr>
      <w:tr>
        <w:trPr>
          <w:trHeight w:val="426"/>
        </w:trPr>
        <w:tc>
          <w:tcPr>
            <w:tcW w:w="24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29,035</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28,450</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57,485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240,425</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63,594</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774"/>
              <w:spacing w:after="0" w:line="202" w:lineRule="exact"/>
              <w:rPr>
                <w:sz w:val="20"/>
                <w:szCs w:val="20"/>
                <w:color w:val="auto"/>
              </w:rPr>
            </w:pPr>
            <w:r>
              <w:rPr>
                <w:rFonts w:ascii="Arial" w:cs="Arial" w:eastAsia="Arial" w:hAnsi="Arial"/>
                <w:sz w:val="18"/>
                <w:szCs w:val="18"/>
                <w:color w:val="auto"/>
              </w:rPr>
              <w:t>20,780</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33,331</w:t>
            </w: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8"/>
              </w:rPr>
              <w:t>(28,450)</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329,680</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June 30, 2010</w:t>
            </w:r>
          </w:p>
        </w:tc>
        <w:tc>
          <w:tcPr>
            <w:tcW w:w="1960" w:type="dxa"/>
            <w:vAlign w:val="bottom"/>
            <w:gridSpan w:val="3"/>
          </w:tcPr>
          <w:p>
            <w:pPr>
              <w:ind w:left="620"/>
              <w:spacing w:after="0" w:line="155"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1,289,939</w:t>
            </w:r>
          </w:p>
        </w:tc>
        <w:tc>
          <w:tcPr>
            <w:tcW w:w="9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1,173,041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$65,543 and $21,749, respectively</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506,778</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454,965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111,560</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84,449</w:t>
            </w: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1,992,726</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1,872,558</w:t>
            </w:r>
          </w:p>
        </w:tc>
        <w:tc>
          <w:tcPr>
            <w:tcW w:w="0" w:type="dxa"/>
            <w:vAlign w:val="bottom"/>
          </w:tcPr>
          <w:p>
            <w:pPr>
              <w:spacing w:after="0"/>
              <w:rPr>
                <w:sz w:val="1"/>
                <w:szCs w:val="1"/>
                <w:color w:val="auto"/>
              </w:rPr>
            </w:pPr>
          </w:p>
        </w:tc>
      </w:tr>
      <w:tr>
        <w:trPr>
          <w:trHeight w:val="405"/>
        </w:trPr>
        <w:tc>
          <w:tcPr>
            <w:tcW w:w="84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246,728</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1,877,210</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1,766,761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454,101</w:t>
            </w: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4,570,765</w:t>
            </w:r>
          </w:p>
        </w:tc>
        <w:tc>
          <w:tcPr>
            <w:tcW w:w="9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4,328,417</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Accounts payable, accruals and other</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538,138</w:t>
            </w:r>
          </w:p>
        </w:tc>
        <w:tc>
          <w:tcPr>
            <w:tcW w:w="9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415,371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167,209</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186,158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19,378</w:t>
            </w: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724,725</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610,867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Noncurrent liabilities and other</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550,259</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504,497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3,295,781</w:t>
            </w:r>
          </w:p>
        </w:tc>
        <w:tc>
          <w:tcPr>
            <w:tcW w:w="6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3,213,053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4,570,765</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4,328,417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249,168</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$ 240,425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146,046</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147,869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divestiture of a subsidiary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23,399</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sale of equipment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32,328</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33,331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(14,431)</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Gain on repurchase of convertible notes</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(103)</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(Gain) loss from short-term interest-bearing investments</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(581)</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(60,923)</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33,181</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(23,960)</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112,705</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(139,466)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22,532</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16,463</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Noncurrent liabilities and other</w:t>
            </w:r>
          </w:p>
        </w:tc>
        <w:tc>
          <w:tcPr>
            <w:tcW w:w="10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537,560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335,479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(59,504)</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(65,045)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1,070,065</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601,844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9"/>
              </w:rPr>
              <w:t>(1,239,792)</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(676,472)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Net cash paid for acquisitions</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(199,496)</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(61,890)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received from divestiture of a subsidiary</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20,336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(408,391)</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(201,563)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Borrowing under long-term financing arrangements</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under long-term financing arrangements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Redemption and repurchase of convertible notes</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(446,795)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shares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(208,643)</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Payments under capital lease and short-term financing arrangements</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(262)</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22,025</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(186,777)</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(167,865)</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(57,608)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(33,949)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728,762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671,154</w:t>
            </w:r>
          </w:p>
        </w:tc>
        <w:tc>
          <w:tcPr>
            <w:tcW w:w="3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$ 684,901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w w:val="99"/>
              </w:rPr>
              <w:t>June 30,</w:t>
            </w:r>
          </w:p>
        </w:tc>
        <w:tc>
          <w:tcPr>
            <w:tcW w:w="320" w:type="dxa"/>
            <w:vAlign w:val="bottom"/>
          </w:tcPr>
          <w:p>
            <w:pPr>
              <w:spacing w:after="0"/>
              <w:rPr>
                <w:sz w:val="12"/>
                <w:szCs w:val="12"/>
                <w:color w:val="auto"/>
              </w:rPr>
            </w:pPr>
          </w:p>
        </w:tc>
        <w:tc>
          <w:tcPr>
            <w:tcW w:w="96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2"/>
                <w:szCs w:val="12"/>
                <w:color w:val="auto"/>
              </w:rPr>
            </w:pPr>
          </w:p>
        </w:tc>
        <w:tc>
          <w:tcPr>
            <w:tcW w:w="14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North America</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572.3</w:t>
            </w:r>
          </w:p>
        </w:tc>
        <w:tc>
          <w:tcPr>
            <w:tcW w:w="32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572.4</w:t>
            </w:r>
          </w:p>
        </w:tc>
        <w:tc>
          <w:tcPr>
            <w:tcW w:w="300" w:type="dxa"/>
            <w:vAlign w:val="bottom"/>
            <w:tcBorders>
              <w:lef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547.6</w:t>
            </w:r>
          </w:p>
        </w:tc>
        <w:tc>
          <w:tcPr>
            <w:tcW w:w="3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528.0</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Europe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420"/>
              <w:spacing w:after="0" w:line="202" w:lineRule="exact"/>
              <w:rPr>
                <w:sz w:val="20"/>
                <w:szCs w:val="20"/>
                <w:color w:val="auto"/>
              </w:rPr>
            </w:pPr>
            <w:r>
              <w:rPr>
                <w:rFonts w:ascii="Arial" w:cs="Arial" w:eastAsia="Arial" w:hAnsi="Arial"/>
                <w:sz w:val="18"/>
                <w:szCs w:val="18"/>
                <w:color w:val="auto"/>
                <w:w w:val="91"/>
              </w:rPr>
              <w:t>93.0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 of World</w:t>
            </w: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32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30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1"/>
              </w:rPr>
              <w:t>86.4</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753.2</w:t>
            </w: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744.0</w:t>
            </w:r>
          </w:p>
        </w:tc>
        <w:tc>
          <w:tcPr>
            <w:tcW w:w="30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724.8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707.4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left="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960" w:type="dxa"/>
            <w:vAlign w:val="bottom"/>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2"/>
                <w:szCs w:val="12"/>
                <w:color w:val="auto"/>
              </w:rPr>
            </w:pPr>
          </w:p>
        </w:tc>
        <w:tc>
          <w:tcPr>
            <w:tcW w:w="14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Customer Experience Systems</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693.0</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689.0</w:t>
            </w:r>
          </w:p>
        </w:tc>
        <w:tc>
          <w:tcPr>
            <w:tcW w:w="5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678.4</w:t>
            </w:r>
          </w:p>
        </w:tc>
        <w:tc>
          <w:tcPr>
            <w:tcW w:w="3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668.6</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Directory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420"/>
              <w:spacing w:after="0" w:line="202" w:lineRule="exact"/>
              <w:rPr>
                <w:sz w:val="20"/>
                <w:szCs w:val="20"/>
                <w:color w:val="auto"/>
              </w:rPr>
            </w:pPr>
            <w:r>
              <w:rPr>
                <w:rFonts w:ascii="Arial" w:cs="Arial" w:eastAsia="Arial" w:hAnsi="Arial"/>
                <w:sz w:val="18"/>
                <w:szCs w:val="18"/>
                <w:color w:val="auto"/>
                <w:w w:val="91"/>
              </w:rPr>
              <w:t>38.8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753.2</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744.0</w:t>
            </w:r>
          </w:p>
        </w:tc>
        <w:tc>
          <w:tcPr>
            <w:tcW w:w="5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724.8</w:t>
            </w:r>
          </w:p>
        </w:tc>
        <w:tc>
          <w:tcPr>
            <w:tcW w:w="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707.4</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96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2"/>
                <w:szCs w:val="12"/>
                <w:color w:val="auto"/>
              </w:rPr>
            </w:pPr>
          </w:p>
        </w:tc>
        <w:tc>
          <w:tcPr>
            <w:tcW w:w="14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color w:val="auto"/>
                <w:w w:val="93"/>
              </w:rPr>
              <w:t>2,385</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2019-12-10T16:55:23Z</dcterms:created>
  <dcterms:modified xsi:type="dcterms:W3CDTF">2019-12-10T16:55:23Z</dcterms:modified>
</cp:coreProperties>
</file>