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July, 2016</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July 26, 2016, Amdocs Limited (“Amdocs”) issued a press release announcing financial results for the quarter ended June 30, 2016. A copy of the press release is furnished as Exhibit 99.1 to this Report of Foreign Private Issuer on Form 6-K.</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260"/>
          </w:cols>
          <w:pgMar w:left="240" w:top="274" w:right="3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2016</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0" w:type="dxa"/>
            <w:vAlign w:val="bottom"/>
          </w:tcPr>
          <w:p>
            <w:pPr>
              <w:ind w:left="2280"/>
              <w:spacing w:after="0"/>
              <w:rPr>
                <w:sz w:val="20"/>
                <w:szCs w:val="20"/>
                <w:color w:val="auto"/>
              </w:rPr>
            </w:pPr>
            <w:r>
              <w:rPr>
                <w:rFonts w:ascii="Arial" w:cs="Arial" w:eastAsia="Arial" w:hAnsi="Arial"/>
                <w:sz w:val="18"/>
                <w:szCs w:val="18"/>
                <w:color w:val="auto"/>
                <w:w w:val="99"/>
              </w:rPr>
              <w:t>EXHIBIT INDEX</w:t>
            </w:r>
          </w:p>
        </w:tc>
      </w:tr>
      <w:tr>
        <w:trPr>
          <w:trHeight w:val="392"/>
        </w:trPr>
        <w:tc>
          <w:tcPr>
            <w:tcW w:w="88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Amdocs Limited Press Release dated July 26, 2016.</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172085</wp:posOffset>
            </wp:positionV>
            <wp:extent cx="597725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772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140" w:firstLine="30"/>
        <w:spacing w:after="0" w:line="381" w:lineRule="auto"/>
        <w:rPr>
          <w:sz w:val="20"/>
          <w:szCs w:val="20"/>
          <w:color w:val="auto"/>
        </w:rPr>
      </w:pPr>
      <w:r>
        <w:rPr>
          <w:rFonts w:ascii="Arial" w:cs="Arial" w:eastAsia="Arial" w:hAnsi="Arial"/>
          <w:sz w:val="15"/>
          <w:szCs w:val="15"/>
          <w:b w:val="1"/>
          <w:bCs w:val="1"/>
          <w:i w:val="1"/>
          <w:iCs w:val="1"/>
          <w:color w:val="auto"/>
        </w:rPr>
        <w:t>Amdocs Limited Reports Record Quarterly Revenue of $930M, at the Midpoint of Guidance on a Constant Currency Basis Reiterates FY16 Non-GAAP Diluted EPS Growth Towards the Midpoint of the Previously Guided Range of 3.5%-7.5% YoY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900" w:right="520" w:hanging="325"/>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Third fiscal quarter revenue of $930 million, at the midpoint of the $910-$950 million guidance range. As we anticipated, foreign currency movements positively affected revenue by approximately $5 million relative to the second quarter of fiscal 2016</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$0.70 for the third fiscal quarter, in line with the high-end of the $0.63-$0.71 guidance range</w:t>
      </w:r>
    </w:p>
    <w:p>
      <w:pPr>
        <w:spacing w:after="0" w:line="130"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Third fiscal quarter diluted non-GAAP EPS of $0.90, at the high-end of the $0.84-$0.90 guidance range (non-GAAP EPS excludes amortization of purchased intangible assets and other acquisition-related costs, and equity-based compensation expense, net of related tax effects)</w:t>
      </w:r>
    </w:p>
    <w:p>
      <w:pPr>
        <w:spacing w:after="0" w:line="29" w:lineRule="exact"/>
        <w:rPr>
          <w:rFonts w:ascii="Arial" w:cs="Arial" w:eastAsia="Arial" w:hAnsi="Arial"/>
          <w:sz w:val="16"/>
          <w:szCs w:val="16"/>
          <w:color w:val="auto"/>
        </w:rPr>
      </w:pPr>
    </w:p>
    <w:p>
      <w:pPr>
        <w:ind w:left="900" w:right="3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fiscal quarter GAAP operating income of $125 million; non-GAAP operating income of $160 million; non-GAAP operating margin of 17.2%</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$117 million for the third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$123 million of ordinary shares during the third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Twelve-month backlog of $3.11 billion at the end of the third fiscal quarter, up $10 million from the end of the second quarter of fiscal 2016</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$0.195 per share quarterly cash dividend to be paid on October 21, 2016</w:t>
      </w:r>
    </w:p>
    <w:p>
      <w:pPr>
        <w:spacing w:after="0" w:line="130" w:lineRule="exact"/>
        <w:rPr>
          <w:rFonts w:ascii="Arial" w:cs="Arial" w:eastAsia="Arial" w:hAnsi="Arial"/>
          <w:sz w:val="18"/>
          <w:szCs w:val="18"/>
          <w:color w:val="auto"/>
        </w:rPr>
      </w:pPr>
    </w:p>
    <w:p>
      <w:pPr>
        <w:ind w:left="900" w:right="260" w:hanging="325"/>
        <w:spacing w:after="0" w:line="31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Fourth quarter fiscal 2016 guidance: Expected revenue of approximately $920-$960 million. Expected diluted GAAP EPS of approximately $0.66-$0.74. Expected diluted non-GAAP EPS of approximately $0.85-$0.91 (which excludes amortization of purchased intangible assets and other acquisition-related costs and approximately $0.05-$0.06 per share of equity-based compensation expense, net of related tax effects)</w:t>
      </w:r>
    </w:p>
    <w:p>
      <w:pPr>
        <w:sectPr>
          <w:pgSz w:w="11900" w:h="16838" w:orient="portrait"/>
          <w:cols w:equalWidth="0" w:num="1">
            <w:col w:w="11420"/>
          </w:cols>
          <w:pgMar w:left="240" w:top="121" w:right="239" w:bottom="1440" w:gutter="0" w:footer="0" w:header="0"/>
        </w:sectPr>
      </w:pPr>
    </w:p>
    <w:bookmarkStart w:id="5" w:name="page6"/>
    <w:bookmarkEnd w:id="5"/>
    <w:p>
      <w:pPr>
        <w:ind w:left="900" w:hanging="325"/>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 year fiscal 2016 guidance: Reiterates fiscal 2016 non-GAAP diluted earnings per share growth towards the midpoint of the guidance range of 3.5-7.5% year-over-year, including the impact of share repurchase activity anticipated over the course of the fiscal year. Reiterates fiscal 2016 revenue growth, on a constant currency basis, slightly below the midpoint of the guidance range of 2.0-6.0% year-over-year, and reported revenue growth slightly below the midpoint of the guidance range of 0.5-4.5% year-over-year, including a negative impact from foreign currency movements of approximately 1.5% year-over-year</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ST. LOUIS – July 26, 2016 </w:t>
      </w:r>
      <w:r>
        <w:rPr>
          <w:rFonts w:ascii="Arial" w:cs="Arial" w:eastAsia="Arial" w:hAnsi="Arial"/>
          <w:sz w:val="17"/>
          <w:szCs w:val="17"/>
          <w:color w:val="auto"/>
        </w:rPr>
        <w:t>– Amdocs Limited (NASDAQ: DOX) today reported that for its third fiscal quarter ended June 30, 2016, revenue was $930.1</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up 0.5% or $4.2 million sequentially from the second fiscal quarter of 2016 and up 2.4% as compared to last year’s third fiscal quarter. Revenue for the third fiscal quarter of 2016 includes a positive impact from foreign currency movements of approximately $5 million relative to the second quarter of fiscal 2016. The Company’s GAAP net income for the third quarter of fiscal 2016 was $105.1 million, or $0.70 per diluted share, compared to GAAP net income of $107.8 million, or $0.69 per diluted share, in the prior fiscal year’s third quarter. Net income on a non-GAAP basis was $135.6 million, or $0.90 per diluted share, compared to non-GAAP net income of $131.2 million, or $0.84 per diluted share, in the third quarter of fiscal 2015. Non-GAAP net income excludes amortization of purchased intangible assets and other acquisition-related costs and equity-based compensation expenses of $30.5 million, net of related tax effects, in the third quarter of fiscal 2016, and excludes such amortization and other acquisition-related costs and equity-based compensation expenses of $23.4 million, net of related tax effects, in the third quarter of fiscal 2015.</w:t>
      </w:r>
    </w:p>
    <w:p>
      <w:pPr>
        <w:spacing w:after="0" w:line="178"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“We are pleased with our third fiscal quarter performance, which included ongoing signs of stabilization in North America, robust profitability and diluted earnings per share consistent with the high end of our expectations. Additionally, we maintained our high win rate across business lines and geographies in Q3. Demonstrating our strengthening relationship with the Singtel group, we signed a four-year services framework agreement with Globe</w:t>
      </w:r>
    </w:p>
    <w:p>
      <w:pPr>
        <w:sectPr>
          <w:pgSz w:w="11900" w:h="16838" w:orient="portrait"/>
          <w:cols w:equalWidth="0" w:num="1">
            <w:col w:w="11420"/>
          </w:cols>
          <w:pgMar w:left="240" w:top="274" w:right="239" w:bottom="1440" w:gutter="0" w:footer="0" w:header="0"/>
        </w:sectPr>
      </w:pPr>
    </w:p>
    <w:bookmarkStart w:id="6" w:name="page7"/>
    <w:bookmarkEnd w:id="6"/>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Telecom, designed to accelerate innovation through strategic consulting and ongoing IT improvements. We also continued to strengthen our market position in Europe where Vodafone Germany selected Amdocs for digital transformation of its sales channels across mobile, fixed, cable TV and Internet lines of business,” said Eli Gelman, president and chief executive officer of Amdocs Management Limited.</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Gelman continued, “As we discussed last quarter, AT&amp;T has selected Amdocs as a leading partner to build key components of the Domain 2.0 software program, and we have followed this today by announcing more details regarding our involvement in this highly strategic initiative. Amdocs is uniquely positioned as the integration partner for AT&amp;T’s Enhanced Control, Orchestration, Management and Policy architecture program, more commonly referred to as ECOMP. ECOMP is designed to be the highly sophisticated engine that will operationalize and commercialize network function virtualization services, and is the cornerstone of AT&amp;T’s plan to virtualize 75% of their network by 2020. Additionally, Amdocs will have the right to market the entire solution globally, offering an end-to-end suite of functions and service capabilities to provide support in the industry for the ECOMP platform.”</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Gelman concluded, “We enter our fourth fiscal quarter encouraged by our sales momentum and record backlog although we remain cognizant of the many moving parts affecting our outlook. These include the ongoing challenges of the global macroeconomic and industry environment in which we operate. We are laser-focused on our execution and profitability and we are committed to returning roughly 100% of our free cash flow to shareholders over the second half of fiscal 2016. Taking all these factors into consideration, we are reiterating our expectation for diluted non-GAAP earnings per share growth towards the midpoint of our previously guided range of 3.5% to 7.5% for the full fiscal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Third Fiscal Quarter Results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Free cash flow was $117 million for the third quarter of fiscal 2016, comprised of cash flow from operations of $151 million, less $34 million in net capital expenditures and other.</w:t>
      </w:r>
    </w:p>
    <w:p>
      <w:pPr>
        <w:sectPr>
          <w:pgSz w:w="11900" w:h="16838" w:orient="portrait"/>
          <w:cols w:equalWidth="0" w:num="1">
            <w:col w:w="11420"/>
          </w:cols>
          <w:pgMar w:left="240" w:top="274" w:right="239" w:bottom="1440" w:gutter="0" w:footer="0" w:header="0"/>
        </w:sectPr>
      </w:pPr>
    </w:p>
    <w:bookmarkStart w:id="7" w:name="page8"/>
    <w:bookmarkEnd w:id="7"/>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Twelve-month backlog, which includes anticipated revenue related to contracts, estimated revenue from managed services contracts, letters of intent, maintenance and estimated on-going support activities, was $3.11 billion at the end of the third quarter of fiscal 2016, up $10 million from the end of the prior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Amdocs expects that revenue for the fourth quarter of fiscal 2016 will be approximately $920-$960 million. Embedded within this guidance is an immaterial sequential impact from foreign currency fluctuations as compared to the third quarter of fiscal 2016. This outlook takes into consideration the company’s expectations regarding macro and industry specific risks and various uncertainties resulting from current and potential customer consolidation activity in North America. However, Amdocs notes that it cannot predict all possible outcomes.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Amdocs estimates GAAP diluted earnings per share for the fourth fiscal quarter of 2016 will be $0.66-$0.74. Diluted earnings per share on a non-GAAP basis for the fourth quarter of fiscal 2016 is expected to be $0.85-$0.91, excluding amortization of purchased intangible assets and other acquisition-related costs and approximately $0.05-$0.06 per share of equity-based compensation expense, net of related tax effects.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Dividend Program</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July 26, 2016, the Board approved the Company’s next quarterly cash dividend payment of $0.195 per share and set September 30, 2016 as the record date for determining the shareholders entitled to receive the dividend, which will be payable on October 21,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Amdocs will host a conference call on July 26, 2016 at 5:00 p.m. Eastern Time to discuss the Company’s third quarter of fiscal 2016. To participate, please dial +1 (844) 513-7152, or +1 (508) 637-5600 outside the United States, approximately 15 minutes before the call and enter passcode 36218070. The call will also be carried live on the Internet via the Amdocs website, www.amdocs.com.</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interest and other expense, net, non-GAAP income taxes, non-GAAP effective tax rate, non-GAAP net income and non-GAAP diluted earnings per share growth. These non-GAAP measures exclude the following items:</w:t>
      </w:r>
    </w:p>
    <w:p>
      <w:pPr>
        <w:spacing w:after="0" w:line="9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fair value of certain acquisition-related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interest and other expense,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ectPr>
          <w:pgSz w:w="11900" w:h="16838" w:orient="portrait"/>
          <w:cols w:equalWidth="0" w:num="1">
            <w:col w:w="11380"/>
          </w:cols>
          <w:pgMar w:left="240" w:top="270" w:right="279" w:bottom="1440" w:gutter="0" w:footer="0" w:header="0"/>
        </w:sectPr>
      </w:pPr>
    </w:p>
    <w:bookmarkStart w:id="9" w:name="page10"/>
    <w:bookmarkEnd w:id="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its internal budgeting process and in monitoring the results of the business, Amdocs’ management uses financial statements that do not include amortization of purchased intangible assets and other acquisition-related costs, changes in fair value of certain acquisition-related liabilities,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Amdocs is the market leader in customer experience software solutions and services for the world’s largest communications, entertainment and media service providers. For more than 30 years, Amdocs solutions, which include BSS, OSS, network control, optimization and network functions virtualization, coupled with professional and managed services, have accelerated business value for its customers by simplifying business complexity, reducing costs and delivering a world-class customer experience.</w:t>
      </w:r>
    </w:p>
    <w:p>
      <w:pPr>
        <w:sectPr>
          <w:pgSz w:w="11900" w:h="16838" w:orient="portrait"/>
          <w:cols w:equalWidth="0" w:num="1">
            <w:col w:w="11360"/>
          </w:cols>
          <w:pgMar w:left="240" w:top="274" w:right="299" w:bottom="1440" w:gutter="0" w:footer="0" w:header="0"/>
        </w:sectPr>
      </w:pPr>
    </w:p>
    <w:bookmarkStart w:id="10" w:name="page11"/>
    <w:bookmarkEnd w:id="1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Amdocs portfolio enables service providers to capture the world of digital immediacy by operating across digital dimensions to engage customers with personalized, omni-channel experiences; creating a diversified business to capture new revenue streams; becoming data empowered to make business and operational decisions based on insight-based and predictive analytics; and achieving service agility to accelerate the fast rollout of new technologies and hybrid network services.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Amdocs and its 24,000 employees serve customers in over 90 countries. Listed on the NASDAQ Global Select Market, Amdocs had revenue of $3.6 billion in fiscal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Amdocs at www.amdocs.com.</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2015 filed on December 10, 2015 and our Form 6-K furnished for the first quarter of fiscal 2016 on February 16, 2016 and for the second quarter of fiscal 2016 on May 17, 2016.</w:t>
      </w:r>
    </w:p>
    <w:p>
      <w:pPr>
        <w:sectPr>
          <w:pgSz w:w="11900" w:h="16838" w:orient="portrait"/>
          <w:cols w:equalWidth="0" w:num="1">
            <w:col w:w="11280"/>
          </w:cols>
          <w:pgMar w:left="240" w:top="274"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dox_info@amdocs.com</w:t>
      </w:r>
    </w:p>
    <w:p>
      <w:pPr>
        <w:sectPr>
          <w:pgSz w:w="11900" w:h="16838" w:orient="portrait"/>
          <w:cols w:equalWidth="0" w:num="1">
            <w:col w:w="10219"/>
          </w:cols>
          <w:pgMar w:left="240" w:top="270"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930,133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907,897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2,777,573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2,716,762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601,249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592,366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1,796,933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1,746,383</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65,051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62,598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191,249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189,044</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113,831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108,128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347,853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328,894</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18,078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76,894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46,193</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805,171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781,170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2,412,929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2,310,514</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124,962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126,727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364,644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126,075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125,683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50,046</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105,060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107,782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148,844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154,101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149,802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155,037</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150,726</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156,581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0.495</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930,133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907,897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2,777,573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2,716,762</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159,814</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155,305</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474,636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461,758</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135,571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131,215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407,756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399,347</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150,726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156,581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151,912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157,352</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-3175</wp:posOffset>
            </wp:positionV>
            <wp:extent cx="34563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ind w:left="796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Equity based</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2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8"/>
              </w:rPr>
              <w:t>Tax effect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$601,249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(4,406)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$ 596,843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65,051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113,831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(4,453)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109,378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(25,040)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805,171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124,962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25,040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4,341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105,060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 (4,341)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6"/>
          </w:tcPr>
          <w:p>
            <w:pPr>
              <w:jc w:val="center"/>
              <w:ind w:left="595"/>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2"/>
              </w:rPr>
              <w:t>June 30, 2015</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6"/>
          </w:tcPr>
          <w:p>
            <w:pPr>
              <w:jc w:val="center"/>
              <w:ind w:left="555"/>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240" w:type="dxa"/>
            <w:vAlign w:val="bottom"/>
          </w:tcPr>
          <w:p>
            <w:pPr>
              <w:spacing w:after="0"/>
              <w:rPr>
                <w:sz w:val="10"/>
                <w:szCs w:val="10"/>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Equity based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2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8"/>
              </w:rPr>
              <w:t>Tax effect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$592,366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(3,786)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$ 588,580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62,598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108,128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(5,898)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18,078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(18,078)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781,170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126,727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18,078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5,145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107,782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 (5,145)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47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4740"/>
        <w:spacing w:after="0"/>
        <w:rPr>
          <w:sz w:val="20"/>
          <w:szCs w:val="20"/>
          <w:color w:val="auto"/>
        </w:rPr>
      </w:pPr>
      <w:r>
        <w:rPr>
          <w:rFonts w:ascii="Arial" w:cs="Arial" w:eastAsia="Arial" w:hAnsi="Arial"/>
          <w:sz w:val="14"/>
          <w:szCs w:val="14"/>
          <w:b w:val="1"/>
          <w:bCs w:val="1"/>
          <w:color w:val="auto"/>
        </w:rPr>
        <w:t>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-3175</wp:posOffset>
            </wp:positionV>
            <wp:extent cx="41249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ind w:left="744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Borders>
              <w:top w:val="single" w:sz="8" w:color="auto"/>
            </w:tcBorders>
            <w:gridSpan w:val="6"/>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3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purchased</w:t>
            </w:r>
          </w:p>
        </w:tc>
        <w:tc>
          <w:tcPr>
            <w:tcW w:w="300" w:type="dxa"/>
            <w:vAlign w:val="bottom"/>
          </w:tcPr>
          <w:p>
            <w:pPr>
              <w:spacing w:after="0"/>
              <w:rPr>
                <w:sz w:val="12"/>
                <w:szCs w:val="12"/>
                <w:color w:val="auto"/>
              </w:rPr>
            </w:pPr>
          </w:p>
        </w:tc>
        <w:tc>
          <w:tcPr>
            <w:tcW w:w="1820" w:type="dxa"/>
            <w:vAlign w:val="bottom"/>
            <w:gridSpan w:val="7"/>
            <w:vMerge w:val="restart"/>
          </w:tcPr>
          <w:p>
            <w:pPr>
              <w:ind w:left="280"/>
              <w:spacing w:after="0"/>
              <w:rPr>
                <w:sz w:val="20"/>
                <w:szCs w:val="20"/>
                <w:color w:val="auto"/>
              </w:rPr>
            </w:pPr>
            <w:r>
              <w:rPr>
                <w:rFonts w:ascii="Arial" w:cs="Arial" w:eastAsia="Arial" w:hAnsi="Arial"/>
                <w:sz w:val="14"/>
                <w:szCs w:val="14"/>
                <w:b w:val="1"/>
                <w:bCs w:val="1"/>
                <w:color w:val="auto"/>
              </w:rPr>
              <w:t>Equity based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300" w:type="dxa"/>
            <w:vAlign w:val="bottom"/>
          </w:tcPr>
          <w:p>
            <w:pPr>
              <w:spacing w:after="0"/>
              <w:rPr>
                <w:sz w:val="12"/>
                <w:szCs w:val="12"/>
                <w:color w:val="auto"/>
              </w:rPr>
            </w:pPr>
          </w:p>
        </w:tc>
        <w:tc>
          <w:tcPr>
            <w:tcW w:w="1820" w:type="dxa"/>
            <w:vAlign w:val="bottom"/>
            <w:gridSpan w:val="7"/>
            <w:vMerge w:val="continue"/>
          </w:tcPr>
          <w:p>
            <w:pPr>
              <w:spacing w:after="0"/>
              <w:rPr>
                <w:sz w:val="12"/>
                <w:szCs w:val="12"/>
                <w:color w:val="auto"/>
              </w:rPr>
            </w:pPr>
          </w:p>
        </w:tc>
        <w:tc>
          <w:tcPr>
            <w:tcW w:w="10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5"/>
          </w:tcPr>
          <w:p>
            <w:pPr>
              <w:ind w:left="60"/>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4"/>
                <w:szCs w:val="14"/>
                <w:color w:val="auto"/>
              </w:rPr>
            </w:pPr>
          </w:p>
        </w:tc>
        <w:tc>
          <w:tcPr>
            <w:tcW w:w="1820" w:type="dxa"/>
            <w:vAlign w:val="bottom"/>
            <w:gridSpan w:val="7"/>
          </w:tcPr>
          <w:p>
            <w:pPr>
              <w:spacing w:after="0"/>
              <w:rPr>
                <w:sz w:val="20"/>
                <w:szCs w:val="20"/>
                <w:color w:val="auto"/>
              </w:rPr>
            </w:pPr>
            <w:r>
              <w:rPr>
                <w:rFonts w:ascii="Arial" w:cs="Arial" w:eastAsia="Arial" w:hAnsi="Arial"/>
                <w:sz w:val="14"/>
                <w:szCs w:val="14"/>
                <w:b w:val="1"/>
                <w:bCs w:val="1"/>
                <w:color w:val="auto"/>
              </w:rPr>
              <w:t>compensation expense</w:t>
            </w:r>
          </w:p>
        </w:tc>
        <w:tc>
          <w:tcPr>
            <w:tcW w:w="10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$1,796,933</w:t>
            </w:r>
          </w:p>
        </w:tc>
        <w:tc>
          <w:tcPr>
            <w:tcW w:w="80" w:type="dxa"/>
            <w:vAlign w:val="bottom"/>
          </w:tcPr>
          <w:p>
            <w:pPr>
              <w:spacing w:after="0"/>
              <w:rPr>
                <w:sz w:val="18"/>
                <w:szCs w:val="18"/>
                <w:color w:val="auto"/>
              </w:rPr>
            </w:pPr>
          </w:p>
        </w:tc>
        <w:tc>
          <w:tcPr>
            <w:tcW w:w="5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30"/>
              <w:spacing w:after="0"/>
              <w:rPr>
                <w:sz w:val="20"/>
                <w:szCs w:val="20"/>
                <w:color w:val="auto"/>
              </w:rPr>
            </w:pPr>
            <w:r>
              <w:rPr>
                <w:rFonts w:ascii="Arial" w:cs="Arial" w:eastAsia="Arial" w:hAnsi="Arial"/>
                <w:sz w:val="18"/>
                <w:szCs w:val="18"/>
                <w:color w:val="auto"/>
                <w:w w:val="89"/>
              </w:rPr>
              <w:t>(13,447)</w:t>
            </w:r>
          </w:p>
        </w:tc>
        <w:tc>
          <w:tcPr>
            <w:tcW w:w="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$1,783,486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191,249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(2,813)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347,853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30"/>
              <w:spacing w:after="0"/>
              <w:rPr>
                <w:sz w:val="20"/>
                <w:szCs w:val="20"/>
                <w:color w:val="auto"/>
              </w:rPr>
            </w:pPr>
            <w:r>
              <w:rPr>
                <w:rFonts w:ascii="Arial" w:cs="Arial" w:eastAsia="Arial" w:hAnsi="Arial"/>
                <w:sz w:val="18"/>
                <w:szCs w:val="18"/>
                <w:color w:val="auto"/>
                <w:w w:val="89"/>
              </w:rPr>
              <w:t>(16,838)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76,894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(76,894)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2,412,929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gridSpan w:val="3"/>
          </w:tcPr>
          <w:p>
            <w:pPr>
              <w:ind w:left="320"/>
              <w:spacing w:after="0"/>
              <w:rPr>
                <w:sz w:val="20"/>
                <w:szCs w:val="20"/>
                <w:color w:val="auto"/>
              </w:rPr>
            </w:pPr>
            <w:r>
              <w:rPr>
                <w:rFonts w:ascii="Arial" w:cs="Arial" w:eastAsia="Arial" w:hAnsi="Arial"/>
                <w:sz w:val="18"/>
                <w:szCs w:val="18"/>
                <w:color w:val="auto"/>
                <w:w w:val="80"/>
              </w:rPr>
              <w:t>(76,894)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(33,098)</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2,302,937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364,644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90"/>
              </w:rPr>
              <w:t>76,894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8"/>
              </w:rPr>
              <w:t>33,098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51,930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15,858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313,622</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90"/>
              </w:rPr>
              <w:t>76,894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8"/>
              </w:rPr>
              <w:t>33,098</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(15,858)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8"/>
          </w:tcPr>
          <w:p>
            <w:pPr>
              <w:jc w:val="center"/>
              <w:ind w:right="580"/>
              <w:spacing w:after="0"/>
              <w:rPr>
                <w:sz w:val="20"/>
                <w:szCs w:val="20"/>
                <w:color w:val="auto"/>
              </w:rPr>
            </w:pPr>
            <w:r>
              <w:rPr>
                <w:rFonts w:ascii="Arial" w:cs="Arial" w:eastAsia="Arial" w:hAnsi="Arial"/>
                <w:sz w:val="14"/>
                <w:szCs w:val="14"/>
                <w:b w:val="1"/>
                <w:bCs w:val="1"/>
                <w:color w:val="auto"/>
                <w:w w:val="90"/>
              </w:rPr>
              <w:t>Nine months ended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center"/>
              <w:ind w:right="900"/>
              <w:spacing w:after="0"/>
              <w:rPr>
                <w:sz w:val="20"/>
                <w:szCs w:val="20"/>
                <w:color w:val="auto"/>
              </w:rPr>
            </w:pPr>
            <w:r>
              <w:rPr>
                <w:rFonts w:ascii="Arial" w:cs="Arial" w:eastAsia="Arial" w:hAnsi="Arial"/>
                <w:sz w:val="14"/>
                <w:szCs w:val="14"/>
                <w:b w:val="1"/>
                <w:bCs w:val="1"/>
                <w:color w:val="auto"/>
                <w:w w:val="92"/>
              </w:rPr>
              <w:t>June 30, 2015</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8"/>
          </w:tcPr>
          <w:p>
            <w:pPr>
              <w:jc w:val="center"/>
              <w:ind w:right="60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Amortization of</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1"/>
              </w:rPr>
              <w:t>Equity based</w:t>
            </w:r>
          </w:p>
        </w:tc>
        <w:tc>
          <w:tcPr>
            <w:tcW w:w="120" w:type="dxa"/>
            <w:vAlign w:val="bottom"/>
          </w:tcPr>
          <w:p>
            <w:pPr>
              <w:spacing w:after="0"/>
              <w:rPr>
                <w:sz w:val="10"/>
                <w:szCs w:val="10"/>
                <w:color w:val="auto"/>
              </w:rPr>
            </w:pPr>
          </w:p>
        </w:tc>
        <w:tc>
          <w:tcPr>
            <w:tcW w:w="1100" w:type="dxa"/>
            <w:vAlign w:val="bottom"/>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Changes in fair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 certain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2"/>
                <w:szCs w:val="12"/>
                <w:color w:val="auto"/>
              </w:rPr>
            </w:pPr>
          </w:p>
        </w:tc>
        <w:tc>
          <w:tcPr>
            <w:tcW w:w="100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intangible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20" w:type="dxa"/>
            <w:vAlign w:val="bottom"/>
          </w:tcPr>
          <w:p>
            <w:pPr>
              <w:spacing w:after="0"/>
              <w:rPr>
                <w:sz w:val="12"/>
                <w:szCs w:val="12"/>
                <w:color w:val="auto"/>
              </w:rPr>
            </w:pPr>
          </w:p>
        </w:tc>
        <w:tc>
          <w:tcPr>
            <w:tcW w:w="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w w:val="88"/>
              </w:rPr>
              <w:t>assets and other</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4"/>
                <w:szCs w:val="14"/>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related liabilities</w:t>
            </w:r>
          </w:p>
        </w:tc>
        <w:tc>
          <w:tcPr>
            <w:tcW w:w="22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w w:val="88"/>
              </w:rPr>
              <w:t>$1,746,383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(11,767)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24,906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$1,759,522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189,044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328,894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(19,886)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46,193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w w:val="92"/>
              </w:rPr>
              <w:t>(46,193)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2,310,514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(46,193)</w:t>
            </w:r>
          </w:p>
        </w:tc>
        <w:tc>
          <w:tcPr>
            <w:tcW w:w="3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(34,223)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24,906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2,255,004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406,248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46,193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34,223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(24,906)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57,321</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355,033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46,193</w:t>
            </w:r>
          </w:p>
        </w:tc>
        <w:tc>
          <w:tcPr>
            <w:tcW w:w="2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34,223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(28,827)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(7,275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1,124,938</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1,354,012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Accounts receivable, net, including unbilled of $111,866 and $80,197, respectively</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738,063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714,784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188,837</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2,051,838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2,378,162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308,799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2,251,191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2,301,610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385,931</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4,997,759</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5,324,652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Accounts payable, accruals and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939,610</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945,033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152,513</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1,092,123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1,363,503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471,853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554,307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3,433,783</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3,406,842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gridSpan w:val="3"/>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4,997,759</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5,324,652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Due to the early adoption of Accounting Standard Update 2015-17, starting the first quarter of fiscal year 2016, all deferred tax assets and liabilities are classified as noncurrent on the balance sheet. Prior balance sheets were not retrospectively adjusted.</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Nine months ended June 30,</w:t>
            </w:r>
          </w:p>
        </w:tc>
      </w:t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income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313,622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355,033</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159,792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123,136</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34,223</w:t>
            </w: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(14,254)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(22,797)</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(4,040)</w:t>
            </w: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(4,163)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(22,081)</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12,612</w:t>
            </w: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1,310</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78,395</w:t>
            </w: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(68,749)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6,597</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18,498</w:t>
            </w:r>
          </w:p>
        </w:tc>
      </w:tr>
      <w:tr>
        <w:trPr>
          <w:trHeight w:val="223"/>
        </w:trPr>
        <w:tc>
          <w:tcPr>
            <w:tcW w:w="20" w:type="dxa"/>
            <w:vAlign w:val="bottom"/>
          </w:tcPr>
          <w:p>
            <w:pPr>
              <w:spacing w:after="0"/>
              <w:rPr>
                <w:sz w:val="19"/>
                <w:szCs w:val="19"/>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14,397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(15,314)</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565,847</w:t>
            </w:r>
          </w:p>
        </w:tc>
        <w:tc>
          <w:tcPr>
            <w:tcW w:w="100" w:type="dxa"/>
            <w:vAlign w:val="bottom"/>
            <w:shd w:val="clear" w:color="auto" w:fill="CCEEFF"/>
          </w:tcPr>
          <w:p>
            <w:pPr>
              <w:spacing w:after="0"/>
              <w:rPr>
                <w:sz w:val="18"/>
                <w:szCs w:val="18"/>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(101,372)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(91,501)</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264,357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180,758</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(269,143)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(184,724)</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(24,993)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(8,099)</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(151,260)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(102,635)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(220,000)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(210,000)</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(323,751)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(272,211)</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67,890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62,951</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(74,663)</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4,040</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(550,652)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(489,890)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(234,386)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(26,678)</w:t>
            </w: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1,035,573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1,103,269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801,187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1,076,591</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70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$591.8</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$623.1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Europe</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126.3</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128.9</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115.3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930.1</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921.5</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4"/>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70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479.2</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4"/>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70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Experience Systems</w:t>
            </w: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$908.1</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$883.7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Directory</w:t>
            </w:r>
          </w:p>
        </w:tc>
        <w:tc>
          <w:tcPr>
            <w:tcW w:w="520" w:type="dxa"/>
            <w:vAlign w:val="bottom"/>
          </w:tcPr>
          <w:p>
            <w:pPr>
              <w:jc w:val="right"/>
              <w:spacing w:after="0"/>
              <w:rPr>
                <w:sz w:val="20"/>
                <w:szCs w:val="20"/>
                <w:color w:val="auto"/>
              </w:rPr>
            </w:pPr>
            <w:r>
              <w:rPr>
                <w:rFonts w:ascii="Arial" w:cs="Arial" w:eastAsia="Arial" w:hAnsi="Arial"/>
                <w:sz w:val="18"/>
                <w:szCs w:val="18"/>
                <w:color w:val="auto"/>
              </w:rPr>
              <w:t>22.0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930.1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921.5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926.8</w:t>
            </w:r>
          </w:p>
        </w:tc>
        <w:tc>
          <w:tcPr>
            <w:tcW w:w="70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70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$ 3,110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2019-12-06T22:21:23Z</dcterms:created>
  <dcterms:modified xsi:type="dcterms:W3CDTF">2019-12-06T22:21:23Z</dcterms:modified>
</cp:coreProperties>
</file>