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7 Pages</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6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99"/>
        <w:spacing w:after="0" w:line="236" w:lineRule="auto"/>
        <w:rPr>
          <w:sz w:val="20"/>
          <w:szCs w:val="20"/>
          <w:color w:val="auto"/>
        </w:rPr>
      </w:pPr>
      <w:r>
        <w:rPr>
          <w:rFonts w:ascii="Courier New" w:cs="Courier New" w:eastAsia="Courier New" w:hAnsi="Courier New"/>
          <w:sz w:val="18"/>
          <w:szCs w:val="18"/>
          <w:color w:val="auto"/>
        </w:rPr>
        <w:t>INFORMATION TO BE INCLUDED IN STATEMENTS FILES PURSUANT TO RULES 13d-1(b)(c), AND (d) AND AMENDMENTS THERETO FILED PURSUANT TO RULE 13d-2(b)</w:t>
      </w:r>
    </w:p>
    <w:p>
      <w:pPr>
        <w:ind w:left="3280"/>
        <w:spacing w:after="0"/>
        <w:rPr>
          <w:sz w:val="20"/>
          <w:szCs w:val="20"/>
          <w:color w:val="auto"/>
        </w:rPr>
      </w:pPr>
      <w:r>
        <w:rPr>
          <w:rFonts w:ascii="Courier New" w:cs="Courier New" w:eastAsia="Courier New" w:hAnsi="Courier New"/>
          <w:sz w:val="18"/>
          <w:szCs w:val="18"/>
          <w:color w:val="auto"/>
        </w:rPr>
        <w:t>(Amendment No. 1) FN1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1700" w:hanging="218"/>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1480" w:right="6859" w:firstLine="2"/>
        <w:spacing w:after="0" w:line="290" w:lineRule="auto"/>
        <w:tabs>
          <w:tab w:leader="none" w:pos="16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699" w:firstLine="1053"/>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VII, L.P.</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5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 X ]</w:t>
      </w:r>
    </w:p>
    <w:p>
      <w:pPr>
        <w:ind w:left="540"/>
        <w:spacing w:after="0" w:line="238" w:lineRule="auto"/>
        <w:tabs>
          <w:tab w:leader="none" w:pos="5040" w:val="left"/>
          <w:tab w:leader="none" w:pos="588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49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139"/>
          </w:cols>
          <w:pgMar w:left="32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20,185,148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20,185,148 Ordinary</w:t>
            </w: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20,185,148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4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142" w:right="1440" w:bottom="1440" w:gutter="0" w:footer="0" w:header="0"/>
        </w:sectPr>
      </w:pPr>
    </w:p>
    <w:bookmarkStart w:id="2" w:name="page3"/>
    <w:bookmarkEnd w:id="2"/>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 L.P.</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5,788,885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5,788,885 Ordinary</w:t>
            </w: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5,788,885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840" w:type="dxa"/>
            <w:vAlign w:val="bottom"/>
          </w:tcPr>
          <w:p>
            <w:pPr>
              <w:spacing w:after="0"/>
              <w:rPr>
                <w:sz w:val="17"/>
                <w:szCs w:val="17"/>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2"/>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8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Information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L.P.</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136,510 Ordinary</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520" w:type="dxa"/>
            <w:vAlign w:val="bottom"/>
            <w:gridSpan w:val="2"/>
          </w:tcPr>
          <w:p>
            <w:pPr>
              <w:ind w:left="42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6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136,510 Ordinary</w:t>
            </w: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120" w:type="dxa"/>
            <w:vAlign w:val="bottom"/>
          </w:tcPr>
          <w:p>
            <w:pPr>
              <w:spacing w:after="0"/>
              <w:rPr>
                <w:sz w:val="17"/>
                <w:szCs w:val="17"/>
                <w:color w:val="auto"/>
              </w:rPr>
            </w:pPr>
          </w:p>
        </w:tc>
        <w:tc>
          <w:tcPr>
            <w:tcW w:w="6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120" w:type="dxa"/>
            <w:vAlign w:val="bottom"/>
          </w:tcPr>
          <w:p>
            <w:pPr>
              <w:spacing w:after="0"/>
              <w:rPr>
                <w:sz w:val="24"/>
                <w:szCs w:val="24"/>
                <w:color w:val="auto"/>
              </w:rPr>
            </w:pPr>
          </w:p>
        </w:tc>
        <w:tc>
          <w:tcPr>
            <w:tcW w:w="63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136,510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00" w:type="dxa"/>
            <w:vAlign w:val="bottom"/>
          </w:tcPr>
          <w:p>
            <w:pPr>
              <w:spacing w:after="0"/>
              <w:rPr>
                <w:sz w:val="17"/>
                <w:szCs w:val="17"/>
                <w:color w:val="auto"/>
              </w:rPr>
            </w:pPr>
          </w:p>
        </w:tc>
      </w:tr>
      <w:tr>
        <w:trPr>
          <w:trHeight w:val="202"/>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III, L.P.</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5,174,797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0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5"/>
              </w:rPr>
              <w:t>--------------------------------------------------------</w:t>
            </w:r>
          </w:p>
        </w:tc>
        <w:tc>
          <w:tcPr>
            <w:tcW w:w="20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20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0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060" w:hanging="525"/>
        <w:spacing w:after="0" w:line="238" w:lineRule="auto"/>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5,174,797  Ordinary</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Shares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tabs>
          <w:tab w:leader="none" w:pos="30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w:t>
      </w:r>
    </w:p>
    <w:p>
      <w:pPr>
        <w:ind w:left="3060"/>
        <w:spacing w:after="0"/>
        <w:tabs>
          <w:tab w:leader="none" w:pos="526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919" w:right="1440" w:bottom="1440" w:gutter="0" w:footer="0" w:header="0"/>
        </w:sect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5,174,797</w:t>
        <w:tab/>
        <w:t>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ectPr>
          <w:pgSz w:w="11900" w:h="16838" w:orient="portrait"/>
          <w:cols w:equalWidth="0" w:num="2">
            <w:col w:w="4020" w:space="720"/>
            <w:col w:w="5399"/>
          </w:cols>
          <w:pgMar w:left="32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00" w:type="dxa"/>
            <w:vAlign w:val="bottom"/>
          </w:tcPr>
          <w:p>
            <w:pPr>
              <w:spacing w:after="0"/>
              <w:rPr>
                <w:sz w:val="17"/>
                <w:szCs w:val="17"/>
                <w:color w:val="auto"/>
              </w:rPr>
            </w:pPr>
          </w:p>
        </w:tc>
      </w:tr>
      <w:tr>
        <w:trPr>
          <w:trHeight w:val="202"/>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type w:val="continuous"/>
        </w:sectPr>
      </w:pPr>
    </w:p>
    <w:bookmarkStart w:id="5" w:name="page6"/>
    <w:bookmarkEnd w:id="5"/>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AMENDMENT NO. 1 TO SCHEDULE 13G</w:t>
      </w:r>
    </w:p>
    <w:p>
      <w:pPr>
        <w:spacing w:after="0" w:line="207" w:lineRule="exact"/>
        <w:rPr>
          <w:sz w:val="20"/>
          <w:szCs w:val="20"/>
          <w:color w:val="auto"/>
        </w:rPr>
      </w:pPr>
    </w:p>
    <w:p>
      <w:pPr>
        <w:jc w:val="both"/>
        <w:ind w:right="1919" w:firstLine="1053"/>
        <w:spacing w:after="0" w:line="236" w:lineRule="auto"/>
        <w:rPr>
          <w:sz w:val="20"/>
          <w:szCs w:val="20"/>
          <w:color w:val="auto"/>
        </w:rPr>
      </w:pPr>
      <w:r>
        <w:rPr>
          <w:rFonts w:ascii="Courier New" w:cs="Courier New" w:eastAsia="Courier New" w:hAnsi="Courier New"/>
          <w:sz w:val="18"/>
          <w:szCs w:val="18"/>
          <w:color w:val="auto"/>
        </w:rPr>
        <w:t>Reference is hereby made to the statement on Schedule 13G originally filed on January 29, 1999 (the "Schedule 13G"). Terms used in the Schedule 13G are used herein as so defined.</w:t>
      </w:r>
    </w:p>
    <w:p>
      <w:pPr>
        <w:spacing w:after="0" w:line="208" w:lineRule="exact"/>
        <w:rPr>
          <w:sz w:val="20"/>
          <w:szCs w:val="20"/>
          <w:color w:val="auto"/>
        </w:rPr>
      </w:pPr>
    </w:p>
    <w:p>
      <w:pPr>
        <w:ind w:right="2559" w:firstLine="1053"/>
        <w:spacing w:after="0" w:line="235" w:lineRule="auto"/>
        <w:rPr>
          <w:sz w:val="20"/>
          <w:szCs w:val="20"/>
          <w:color w:val="auto"/>
        </w:rPr>
      </w:pPr>
      <w:r>
        <w:rPr>
          <w:rFonts w:ascii="Courier New" w:cs="Courier New" w:eastAsia="Courier New" w:hAnsi="Courier New"/>
          <w:sz w:val="18"/>
          <w:szCs w:val="18"/>
          <w:color w:val="auto"/>
        </w:rPr>
        <w:t>The following Items of the Schedule 13G are hereby amended and restated to read in their entirety as follows:</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4 -</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120" w:hanging="533"/>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0" w:lineRule="exact"/>
        <w:rPr>
          <w:sz w:val="20"/>
          <w:szCs w:val="20"/>
          <w:color w:val="auto"/>
        </w:rPr>
      </w:pPr>
    </w:p>
    <w:p>
      <w:pPr>
        <w:ind w:left="2120" w:hanging="533"/>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9.8%</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2.8%</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0.1%</w:t>
      </w:r>
    </w:p>
    <w:p>
      <w:pPr>
        <w:ind w:left="1580"/>
        <w:spacing w:after="0"/>
        <w:rPr>
          <w:sz w:val="20"/>
          <w:szCs w:val="20"/>
          <w:color w:val="auto"/>
        </w:rPr>
      </w:pPr>
      <w:r>
        <w:rPr>
          <w:rFonts w:ascii="Courier New" w:cs="Courier New" w:eastAsia="Courier New" w:hAnsi="Courier New"/>
          <w:sz w:val="18"/>
          <w:szCs w:val="18"/>
          <w:color w:val="auto"/>
        </w:rPr>
        <w:t>WCAS CP III: 2.5%</w:t>
      </w:r>
    </w:p>
    <w:p>
      <w:pPr>
        <w:spacing w:after="0" w:line="200" w:lineRule="exact"/>
        <w:rPr>
          <w:sz w:val="20"/>
          <w:szCs w:val="20"/>
          <w:color w:val="auto"/>
        </w:rPr>
      </w:pPr>
    </w:p>
    <w:p>
      <w:pPr>
        <w:spacing w:after="0" w:line="203" w:lineRule="exact"/>
        <w:rPr>
          <w:sz w:val="20"/>
          <w:szCs w:val="20"/>
          <w:color w:val="auto"/>
        </w:rPr>
      </w:pPr>
    </w:p>
    <w:p>
      <w:pPr>
        <w:ind w:left="2120" w:hanging="533"/>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120" w:hanging="533"/>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0" w:lineRule="exact"/>
        <w:rPr>
          <w:sz w:val="20"/>
          <w:szCs w:val="20"/>
          <w:color w:val="auto"/>
        </w:rPr>
      </w:pPr>
    </w:p>
    <w:p>
      <w:pPr>
        <w:ind w:left="2220" w:hanging="633"/>
        <w:spacing w:after="0"/>
        <w:tabs>
          <w:tab w:leader="none" w:pos="2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220" w:hanging="633"/>
        <w:spacing w:after="0"/>
        <w:tabs>
          <w:tab w:leader="none" w:pos="2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6" w:lineRule="exact"/>
        <w:rPr>
          <w:sz w:val="20"/>
          <w:szCs w:val="20"/>
          <w:color w:val="auto"/>
        </w:rPr>
      </w:pPr>
    </w:p>
    <w:p>
      <w:pPr>
        <w:ind w:left="2540" w:right="3399" w:hanging="953"/>
        <w:spacing w:after="0" w:line="235" w:lineRule="auto"/>
        <w:tabs>
          <w:tab w:leader="none" w:pos="2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139"/>
          </w:cols>
          <w:pgMar w:left="320" w:top="919" w:right="1440" w:bottom="1440" w:gutter="0" w:footer="0" w:header="0"/>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69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WELSH, CARSON, ANDERSON &amp; STOWE VII, L.P.</w:t>
      </w:r>
    </w:p>
    <w:p>
      <w:pPr>
        <w:ind w:left="3380"/>
        <w:spacing w:after="0" w:line="238" w:lineRule="auto"/>
        <w:tabs>
          <w:tab w:leader="none" w:pos="3880" w:val="left"/>
        </w:tabs>
        <w:rPr>
          <w:sz w:val="20"/>
          <w:szCs w:val="20"/>
          <w:color w:val="auto"/>
        </w:rPr>
      </w:pPr>
      <w:r>
        <w:rPr>
          <w:rFonts w:ascii="Courier New" w:cs="Courier New" w:eastAsia="Courier New" w:hAnsi="Courier New"/>
          <w:sz w:val="18"/>
          <w:szCs w:val="18"/>
          <w:color w:val="auto"/>
        </w:rPr>
        <w:t>By:</w:t>
        <w:tab/>
        <w:t>WCAS VII Associates, L.P., General Partner</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JONATHAN RATHER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ectPr>
          <w:pgSz w:w="11900" w:h="16838" w:orient="portrait"/>
          <w:cols w:equalWidth="0" w:num="2">
            <w:col w:w="3580" w:space="0"/>
            <w:col w:w="6559"/>
          </w:cols>
          <w:pgMar w:left="320" w:top="919" w:right="1440" w:bottom="1440" w:gutter="0" w:footer="0" w:header="0"/>
          <w:type w:val="continuous"/>
        </w:sect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WELSH, CARSON, ANDERSON &amp; STOWE VI, L.P.</w:t>
      </w:r>
    </w:p>
    <w:p>
      <w:pPr>
        <w:spacing w:after="0" w:line="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6"/>
          <w:szCs w:val="16"/>
          <w:color w:val="auto"/>
        </w:rPr>
        <w:t>By:</w:t>
        <w:tab/>
        <w:t>WCAS VI Partners, L.P., General Partner</w:t>
      </w:r>
    </w:p>
    <w:p>
      <w:pPr>
        <w:sectPr>
          <w:pgSz w:w="11900" w:h="16838" w:orient="portrait"/>
          <w:cols w:equalWidth="0" w:num="1">
            <w:col w:w="10139"/>
          </w:cols>
          <w:pgMar w:left="320" w:top="91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JONATHAN RATHER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WCAS INFORMATION PARTNERS, L.P.</w:t>
      </w:r>
    </w:p>
    <w:p>
      <w:pPr>
        <w:ind w:left="3380"/>
        <w:spacing w:after="0" w:line="238" w:lineRule="auto"/>
        <w:tabs>
          <w:tab w:leader="none" w:pos="3880" w:val="left"/>
        </w:tabs>
        <w:rPr>
          <w:sz w:val="20"/>
          <w:szCs w:val="20"/>
          <w:color w:val="auto"/>
        </w:rPr>
      </w:pPr>
      <w:r>
        <w:rPr>
          <w:rFonts w:ascii="Courier New" w:cs="Courier New" w:eastAsia="Courier New" w:hAnsi="Courier New"/>
          <w:sz w:val="18"/>
          <w:szCs w:val="18"/>
          <w:color w:val="auto"/>
        </w:rPr>
        <w:t>By:</w:t>
        <w:tab/>
        <w:t>WCAS IP Partners, General Partner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JONATHAN RATHER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WCAS CAPITAL PARTNERS III, L.P.</w:t>
      </w:r>
    </w:p>
    <w:p>
      <w:pPr>
        <w:spacing w:after="0" w:line="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6"/>
          <w:szCs w:val="16"/>
          <w:color w:val="auto"/>
        </w:rPr>
        <w:t>By:</w:t>
        <w:tab/>
        <w:t>WCAS CP III Associates, L.L.C., General</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Partner</w:t>
      </w:r>
    </w:p>
    <w:p>
      <w:pPr>
        <w:sectPr>
          <w:pgSz w:w="11900" w:h="16838" w:orient="portrait"/>
          <w:cols w:equalWidth="0" w:num="1">
            <w:col w:w="10139"/>
          </w:cols>
          <w:pgMar w:left="320" w:top="91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JONATHAN RATHER</w:t>
      </w:r>
    </w:p>
    <w:p>
      <w:pPr>
        <w:spacing w:after="0" w:line="21" w:lineRule="exact"/>
        <w:rPr>
          <w:sz w:val="20"/>
          <w:szCs w:val="20"/>
          <w:color w:val="auto"/>
        </w:rPr>
      </w:pPr>
    </w:p>
    <w:p>
      <w:pPr>
        <w:sectPr>
          <w:pgSz w:w="11900" w:h="16838" w:orient="portrait"/>
          <w:cols w:equalWidth="0" w:num="2">
            <w:col w:w="3580" w:space="320"/>
            <w:col w:w="6239"/>
          </w:cols>
          <w:pgMar w:left="320" w:top="919"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7, 2000</w:t>
      </w:r>
    </w:p>
    <w:p>
      <w:pPr>
        <w:sectPr>
          <w:pgSz w:w="11900" w:h="16838" w:orient="portrait"/>
          <w:cols w:equalWidth="0" w:num="1">
            <w:col w:w="10139"/>
          </w:cols>
          <w:pgMar w:left="320" w:top="919" w:right="1440" w:bottom="144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2020-10-06T05:00:32Z</dcterms:created>
  <dcterms:modified xsi:type="dcterms:W3CDTF">2020-10-06T05:00:32Z</dcterms:modified>
</cp:coreProperties>
</file>